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b/>
          <w:sz w:val="20"/>
          <w:szCs w:val="20"/>
        </w:rPr>
        <w:t xml:space="preserve">Table S1. </w:t>
      </w:r>
      <w:r>
        <w:rPr>
          <w:rFonts w:hint="default" w:ascii="Times New Roman" w:hAnsi="Times New Roman" w:cs="Times New Roman"/>
          <w:sz w:val="20"/>
          <w:szCs w:val="20"/>
        </w:rPr>
        <w:t>High throughput sequence parameters in</w:t>
      </w:r>
      <w:r>
        <w:rPr>
          <w:rFonts w:hint="default" w:ascii="Times New Roman" w:hAnsi="Times New Roman" w:cs="Times New Roman"/>
          <w:sz w:val="20"/>
          <w:szCs w:val="20"/>
        </w:rPr>
        <w:t xml:space="preserve"> the control and truffle surrounding soils, and fungal tissues of </w:t>
      </w:r>
      <w:r>
        <w:rPr>
          <w:rFonts w:hint="default" w:ascii="Times New Roman" w:hAnsi="Times New Roman" w:cs="Times New Roman"/>
          <w:i/>
          <w:sz w:val="20"/>
          <w:szCs w:val="20"/>
        </w:rPr>
        <w:t>Tuber indicum</w:t>
      </w:r>
      <w:r>
        <w:rPr>
          <w:rFonts w:hint="default" w:ascii="Times New Roman" w:hAnsi="Times New Roman" w:cs="Times New Roman"/>
          <w:sz w:val="20"/>
          <w:szCs w:val="20"/>
        </w:rPr>
        <w:t xml:space="preserve"> and </w:t>
      </w:r>
      <w:r>
        <w:rPr>
          <w:rFonts w:hint="default" w:ascii="Times New Roman" w:hAnsi="Times New Roman" w:cs="Times New Roman"/>
          <w:i/>
          <w:sz w:val="20"/>
          <w:szCs w:val="20"/>
        </w:rPr>
        <w:t xml:space="preserve">T. pseudohymalyense </w:t>
      </w:r>
      <w:r>
        <w:rPr>
          <w:rFonts w:hint="default" w:ascii="Times New Roman" w:hAnsi="Times New Roman" w:cs="Times New Roman"/>
          <w:sz w:val="20"/>
          <w:szCs w:val="20"/>
        </w:rPr>
        <w:t xml:space="preserve">occurring in a </w:t>
      </w:r>
      <w:r>
        <w:rPr>
          <w:rFonts w:hint="default" w:ascii="Times New Roman" w:hAnsi="Times New Roman" w:cs="Times New Roman"/>
          <w:i/>
          <w:sz w:val="20"/>
          <w:szCs w:val="20"/>
        </w:rPr>
        <w:t>P. armandii</w:t>
      </w:r>
      <w:r>
        <w:rPr>
          <w:rFonts w:hint="default" w:ascii="Times New Roman" w:hAnsi="Times New Roman" w:cs="Times New Roman"/>
          <w:sz w:val="20"/>
          <w:szCs w:val="20"/>
        </w:rPr>
        <w:t xml:space="preserve"> forest.</w:t>
      </w:r>
      <w:r>
        <w:rPr>
          <w:rFonts w:hint="default" w:ascii="Times New Roman" w:hAnsi="Times New Roman" w:cs="Times New Roman"/>
          <w:sz w:val="20"/>
          <w:szCs w:val="20"/>
        </w:rPr>
        <w:t xml:space="preserve">  </w:t>
      </w:r>
    </w:p>
    <w:tbl>
      <w:tblPr>
        <w:tblStyle w:val="2"/>
        <w:tblW w:w="9951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0"/>
        <w:gridCol w:w="940"/>
        <w:gridCol w:w="980"/>
        <w:gridCol w:w="997"/>
        <w:gridCol w:w="985"/>
        <w:gridCol w:w="974"/>
        <w:gridCol w:w="1020"/>
        <w:gridCol w:w="1080"/>
        <w:gridCol w:w="1060"/>
        <w:gridCol w:w="97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4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b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b/>
                <w:color w:val="000000"/>
                <w:kern w:val="0"/>
              </w:rPr>
              <w:t>Sample ID</w:t>
            </w:r>
          </w:p>
        </w:tc>
        <w:tc>
          <w:tcPr>
            <w:tcW w:w="94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b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b/>
                <w:color w:val="000000"/>
                <w:kern w:val="0"/>
              </w:rPr>
              <w:t xml:space="preserve">Raw Reads </w:t>
            </w:r>
          </w:p>
        </w:tc>
        <w:tc>
          <w:tcPr>
            <w:tcW w:w="98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b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b/>
                <w:color w:val="000000"/>
                <w:kern w:val="0"/>
              </w:rPr>
              <w:t xml:space="preserve">Clean Reads </w:t>
            </w:r>
          </w:p>
        </w:tc>
        <w:tc>
          <w:tcPr>
            <w:tcW w:w="99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b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b/>
                <w:color w:val="000000"/>
                <w:kern w:val="0"/>
              </w:rPr>
              <w:t>MaxLen (nt)</w:t>
            </w:r>
          </w:p>
        </w:tc>
        <w:tc>
          <w:tcPr>
            <w:tcW w:w="98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b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b/>
                <w:color w:val="000000"/>
                <w:kern w:val="0"/>
              </w:rPr>
              <w:t>MinLen (nt)</w:t>
            </w:r>
          </w:p>
        </w:tc>
        <w:tc>
          <w:tcPr>
            <w:tcW w:w="97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b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b/>
                <w:color w:val="000000"/>
                <w:kern w:val="0"/>
              </w:rPr>
              <w:t>AvgLen (nt)</w:t>
            </w:r>
          </w:p>
        </w:tc>
        <w:tc>
          <w:tcPr>
            <w:tcW w:w="102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b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b/>
                <w:color w:val="000000"/>
                <w:kern w:val="0"/>
              </w:rPr>
              <w:t>No. of seqs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b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b/>
                <w:color w:val="000000"/>
                <w:kern w:val="0"/>
              </w:rPr>
              <w:t>Effective (%)</w:t>
            </w:r>
          </w:p>
        </w:tc>
        <w:tc>
          <w:tcPr>
            <w:tcW w:w="106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b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b/>
                <w:color w:val="000000"/>
                <w:kern w:val="0"/>
              </w:rPr>
              <w:t>Quality seqs</w:t>
            </w:r>
          </w:p>
        </w:tc>
        <w:tc>
          <w:tcPr>
            <w:tcW w:w="97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b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b/>
                <w:color w:val="000000"/>
                <w:kern w:val="0"/>
              </w:rPr>
              <w:t>OTUs</w:t>
            </w:r>
          </w:p>
          <w:p>
            <w:pPr>
              <w:jc w:val="center"/>
              <w:rPr>
                <w:rFonts w:hint="default" w:ascii="Times New Roman" w:hAnsi="Times New Roman" w:eastAsia="等线" w:cs="Times New Roman"/>
                <w:b/>
              </w:rPr>
            </w:pPr>
            <w:r>
              <w:rPr>
                <w:rFonts w:hint="default" w:ascii="Times New Roman" w:hAnsi="Times New Roman" w:eastAsia="等线" w:cs="Times New Roman"/>
                <w:b/>
              </w:rPr>
              <w:t>number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S</w:t>
            </w: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vertAlign w:val="subscript"/>
              </w:rPr>
              <w:t>c</w:t>
            </w: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 xml:space="preserve"> 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192588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191120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438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252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357.2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181571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99.32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181327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849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S</w:t>
            </w: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vertAlign w:val="subscript"/>
              </w:rPr>
              <w:t>c</w:t>
            </w: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 xml:space="preserve"> 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171241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169943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437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251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356.7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161117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99.16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160819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899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S</w:t>
            </w: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vertAlign w:val="subscript"/>
              </w:rPr>
              <w:t>c</w:t>
            </w: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 xml:space="preserve"> 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138854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137813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435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250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358.1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130600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99.41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130532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707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S</w:t>
            </w: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vertAlign w:val="subscript"/>
              </w:rPr>
              <w:t>Ti</w:t>
            </w: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262527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260662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436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251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359.7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249579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99.56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249444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587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S</w:t>
            </w: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vertAlign w:val="subscript"/>
              </w:rPr>
              <w:t>Ti</w:t>
            </w: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230559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228879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432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264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359.7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218344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99.61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218304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543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S</w:t>
            </w: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vertAlign w:val="subscript"/>
              </w:rPr>
              <w:t>Ti</w:t>
            </w: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224124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222648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435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250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359.1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211412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99.53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211242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653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S</w:t>
            </w: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vertAlign w:val="subscript"/>
              </w:rPr>
              <w:t>Tp</w:t>
            </w: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272087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270148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435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250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358.5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258440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99.42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258393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692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S</w:t>
            </w: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vertAlign w:val="subscript"/>
              </w:rPr>
              <w:t>Tp</w:t>
            </w: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238530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236943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435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250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356.6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226606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99.31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226545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765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S</w:t>
            </w: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vertAlign w:val="subscript"/>
              </w:rPr>
              <w:t>Tp</w:t>
            </w: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262272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260603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435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250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354.5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247297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99.24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247253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868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G</w:t>
            </w: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vertAlign w:val="subscript"/>
              </w:rPr>
              <w:t>Ti</w:t>
            </w: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195912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194630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435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251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356.9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186574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99.53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186567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254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G</w:t>
            </w: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vertAlign w:val="subscript"/>
              </w:rPr>
              <w:t>Ti</w:t>
            </w: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377205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375025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431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251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354.8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358123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99.68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358101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351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G</w:t>
            </w: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vertAlign w:val="subscript"/>
              </w:rPr>
              <w:t>Ti</w:t>
            </w: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290831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288665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435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251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358.8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275612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99.49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275602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314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G</w:t>
            </w: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vertAlign w:val="subscript"/>
              </w:rPr>
              <w:t>Tp</w:t>
            </w: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566115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563968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431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250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348.1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546611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99.57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546586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382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G</w:t>
            </w: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vertAlign w:val="subscript"/>
              </w:rPr>
              <w:t>Tp</w:t>
            </w: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559838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557381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433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255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348.7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535424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99.52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535387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414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G</w:t>
            </w: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vertAlign w:val="subscript"/>
              </w:rPr>
              <w:t>Tp</w:t>
            </w: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456464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454432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435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250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348.5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438058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99.45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438029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382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P</w:t>
            </w: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vertAlign w:val="subscript"/>
              </w:rPr>
              <w:t>Ti</w:t>
            </w: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268815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267120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431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251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355.4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255139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99.36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255133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320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P</w:t>
            </w: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vertAlign w:val="subscript"/>
              </w:rPr>
              <w:t>Ti</w:t>
            </w: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317798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316093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435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251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355.5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301200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99.67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301191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366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P</w:t>
            </w: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vertAlign w:val="subscript"/>
              </w:rPr>
              <w:t>Ti</w:t>
            </w: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280985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279101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429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250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359.3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267540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99.54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267525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274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P</w:t>
            </w: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vertAlign w:val="subscript"/>
              </w:rPr>
              <w:t>Tp</w:t>
            </w: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469780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467895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436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264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348.8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452989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99.52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452968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385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P</w:t>
            </w: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vertAlign w:val="subscript"/>
              </w:rPr>
              <w:t>Tp</w:t>
            </w: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552214</w:t>
            </w:r>
          </w:p>
        </w:tc>
        <w:tc>
          <w:tcPr>
            <w:tcW w:w="9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549883</w:t>
            </w:r>
          </w:p>
        </w:tc>
        <w:tc>
          <w:tcPr>
            <w:tcW w:w="99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436</w:t>
            </w:r>
          </w:p>
        </w:tc>
        <w:tc>
          <w:tcPr>
            <w:tcW w:w="98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252</w:t>
            </w:r>
          </w:p>
        </w:tc>
        <w:tc>
          <w:tcPr>
            <w:tcW w:w="97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349</w:t>
            </w:r>
          </w:p>
        </w:tc>
        <w:tc>
          <w:tcPr>
            <w:tcW w:w="10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530260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99.43</w:t>
            </w:r>
          </w:p>
        </w:tc>
        <w:tc>
          <w:tcPr>
            <w:tcW w:w="10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530239</w:t>
            </w:r>
          </w:p>
        </w:tc>
        <w:tc>
          <w:tcPr>
            <w:tcW w:w="975" w:type="dxa"/>
            <w:tcBorders>
              <w:top w:val="nil"/>
              <w:left w:val="nil"/>
              <w:right w:val="nil"/>
            </w:tcBorders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404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P</w:t>
            </w: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vertAlign w:val="subscript"/>
              </w:rPr>
              <w:t>Tp</w:t>
            </w: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3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652726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650147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433</w:t>
            </w:r>
          </w:p>
        </w:tc>
        <w:tc>
          <w:tcPr>
            <w:tcW w:w="98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251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348.3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626089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99.58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626071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>
            <w:pPr>
              <w:widowControl/>
              <w:jc w:val="right"/>
              <w:rPr>
                <w:rFonts w:hint="default" w:ascii="Times New Roman" w:hAnsi="Times New Roman" w:eastAsia="等线" w:cs="Times New Roman"/>
                <w:color w:val="000000"/>
                <w:kern w:val="0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</w:rPr>
              <w:t>466</w:t>
            </w:r>
          </w:p>
        </w:tc>
      </w:tr>
    </w:tbl>
    <w:p>
      <w:pPr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</w:rPr>
        <w:t xml:space="preserve">Abbreviations: </w:t>
      </w:r>
      <w:r>
        <w:rPr>
          <w:rFonts w:hint="default" w:ascii="Times New Roman" w:hAnsi="Times New Roman" w:cs="Times New Roman"/>
          <w:sz w:val="20"/>
          <w:szCs w:val="20"/>
        </w:rPr>
        <w:t>S</w:t>
      </w:r>
      <w:r>
        <w:rPr>
          <w:rFonts w:hint="default" w:ascii="Times New Roman" w:hAnsi="Times New Roman" w:cs="Times New Roman"/>
          <w:sz w:val="20"/>
          <w:szCs w:val="20"/>
          <w:vertAlign w:val="subscript"/>
        </w:rPr>
        <w:t xml:space="preserve">C </w:t>
      </w:r>
      <w:r>
        <w:rPr>
          <w:rFonts w:hint="default" w:ascii="Times New Roman" w:hAnsi="Times New Roman" w:cs="Times New Roman"/>
          <w:sz w:val="20"/>
          <w:szCs w:val="20"/>
        </w:rPr>
        <w:t>= bulk or control soils (ten meters away where had no any truffle); S</w:t>
      </w:r>
      <w:r>
        <w:rPr>
          <w:rFonts w:hint="default" w:ascii="Times New Roman" w:hAnsi="Times New Roman" w:cs="Times New Roman"/>
          <w:sz w:val="20"/>
          <w:szCs w:val="20"/>
          <w:vertAlign w:val="subscript"/>
        </w:rPr>
        <w:t xml:space="preserve">Ti </w:t>
      </w:r>
      <w:r>
        <w:rPr>
          <w:rFonts w:hint="default" w:ascii="Times New Roman" w:hAnsi="Times New Roman" w:cs="Times New Roman"/>
          <w:sz w:val="20"/>
          <w:szCs w:val="20"/>
        </w:rPr>
        <w:t xml:space="preserve">= soils around and below the ascocarps of </w:t>
      </w:r>
      <w:r>
        <w:rPr>
          <w:rFonts w:hint="default" w:ascii="Times New Roman" w:hAnsi="Times New Roman" w:cs="Times New Roman"/>
          <w:i/>
          <w:sz w:val="20"/>
          <w:szCs w:val="20"/>
        </w:rPr>
        <w:t xml:space="preserve">T. indicum; </w:t>
      </w:r>
      <w:r>
        <w:rPr>
          <w:rFonts w:hint="default" w:ascii="Times New Roman" w:hAnsi="Times New Roman" w:cs="Times New Roman"/>
          <w:sz w:val="20"/>
          <w:szCs w:val="20"/>
        </w:rPr>
        <w:t>S</w:t>
      </w:r>
      <w:r>
        <w:rPr>
          <w:rFonts w:hint="default" w:ascii="Times New Roman" w:hAnsi="Times New Roman" w:cs="Times New Roman"/>
          <w:sz w:val="20"/>
          <w:szCs w:val="20"/>
          <w:vertAlign w:val="subscript"/>
        </w:rPr>
        <w:t xml:space="preserve">Tp </w:t>
      </w:r>
      <w:r>
        <w:rPr>
          <w:rFonts w:hint="default" w:ascii="Times New Roman" w:hAnsi="Times New Roman" w:cs="Times New Roman"/>
          <w:sz w:val="20"/>
          <w:szCs w:val="20"/>
        </w:rPr>
        <w:t>=</w:t>
      </w:r>
      <w:r>
        <w:rPr>
          <w:rFonts w:hint="default" w:ascii="Times New Roman" w:hAnsi="Times New Roman" w:cs="Times New Roman"/>
          <w:sz w:val="20"/>
          <w:szCs w:val="20"/>
          <w:vertAlign w:val="subscript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 xml:space="preserve">soils around and below the ascocarps of </w:t>
      </w:r>
      <w:r>
        <w:rPr>
          <w:rFonts w:hint="default" w:ascii="Times New Roman" w:hAnsi="Times New Roman" w:cs="Times New Roman"/>
          <w:i/>
          <w:sz w:val="20"/>
          <w:szCs w:val="20"/>
        </w:rPr>
        <w:t xml:space="preserve">T. pseudohimalayense; </w:t>
      </w:r>
      <w:r>
        <w:rPr>
          <w:rFonts w:hint="default" w:ascii="Times New Roman" w:hAnsi="Times New Roman" w:cs="Times New Roman"/>
          <w:sz w:val="20"/>
          <w:szCs w:val="20"/>
        </w:rPr>
        <w:t>TC = total carbon; TN = total nitrogen.</w:t>
      </w:r>
    </w:p>
    <w:p>
      <w:pPr>
        <w:rPr>
          <w:rFonts w:hint="default" w:ascii="Times New Roman" w:hAnsi="Times New Roman" w:cs="Times New Roman"/>
          <w:sz w:val="20"/>
          <w:szCs w:val="20"/>
        </w:rPr>
      </w:pPr>
    </w:p>
    <w:p>
      <w:pPr>
        <w:rPr>
          <w:rFonts w:hint="default" w:ascii="Times New Roman" w:hAnsi="Times New Roman" w:cs="Times New Roman"/>
          <w:sz w:val="20"/>
          <w:szCs w:val="20"/>
        </w:rPr>
      </w:pPr>
    </w:p>
    <w:p>
      <w:pPr>
        <w:rPr>
          <w:rFonts w:hint="default" w:ascii="Times New Roman" w:hAnsi="Times New Roman" w:cs="Times New Roman"/>
          <w:sz w:val="20"/>
          <w:szCs w:val="20"/>
        </w:rPr>
      </w:pPr>
    </w:p>
    <w:p>
      <w:pPr>
        <w:rPr>
          <w:rFonts w:hint="default" w:ascii="Times New Roman" w:hAnsi="Times New Roman" w:cs="Times New Roman"/>
          <w:sz w:val="20"/>
          <w:szCs w:val="20"/>
        </w:rPr>
      </w:pPr>
    </w:p>
    <w:p>
      <w:pPr>
        <w:rPr>
          <w:rFonts w:hint="default" w:ascii="Times New Roman" w:hAnsi="Times New Roman" w:cs="Times New Roman"/>
          <w:sz w:val="20"/>
          <w:szCs w:val="20"/>
        </w:rPr>
      </w:pPr>
    </w:p>
    <w:p>
      <w:pPr>
        <w:rPr>
          <w:rFonts w:hint="default" w:ascii="Times New Roman" w:hAnsi="Times New Roman" w:cs="Times New Roman"/>
          <w:sz w:val="20"/>
          <w:szCs w:val="20"/>
        </w:rPr>
      </w:pPr>
    </w:p>
    <w:p>
      <w:pPr>
        <w:rPr>
          <w:rFonts w:hint="default" w:ascii="Times New Roman" w:hAnsi="Times New Roman" w:cs="Times New Roman"/>
          <w:sz w:val="20"/>
          <w:szCs w:val="20"/>
        </w:rPr>
      </w:pPr>
    </w:p>
    <w:p>
      <w:pPr>
        <w:rPr>
          <w:rFonts w:hint="default" w:ascii="Times New Roman" w:hAnsi="Times New Roman" w:cs="Times New Roman"/>
          <w:sz w:val="20"/>
          <w:szCs w:val="20"/>
        </w:rPr>
      </w:pPr>
    </w:p>
    <w:p>
      <w:pPr>
        <w:rPr>
          <w:rFonts w:hint="default" w:ascii="Times New Roman" w:hAnsi="Times New Roman" w:cs="Times New Roman"/>
          <w:sz w:val="20"/>
          <w:szCs w:val="20"/>
        </w:rPr>
      </w:pPr>
    </w:p>
    <w:p>
      <w:pPr>
        <w:rPr>
          <w:rFonts w:hint="default" w:ascii="Times New Roman" w:hAnsi="Times New Roman" w:cs="Times New Roman"/>
          <w:sz w:val="20"/>
          <w:szCs w:val="20"/>
        </w:rPr>
      </w:pPr>
    </w:p>
    <w:p>
      <w:pPr>
        <w:rPr>
          <w:rFonts w:hint="default" w:ascii="Times New Roman" w:hAnsi="Times New Roman" w:cs="Times New Roman"/>
          <w:sz w:val="20"/>
          <w:szCs w:val="20"/>
        </w:rPr>
      </w:pPr>
    </w:p>
    <w:p>
      <w:pPr>
        <w:rPr>
          <w:rFonts w:hint="default" w:ascii="Times New Roman" w:hAnsi="Times New Roman" w:cs="Times New Roman"/>
          <w:sz w:val="20"/>
          <w:szCs w:val="20"/>
        </w:rPr>
      </w:pPr>
    </w:p>
    <w:p>
      <w:pPr>
        <w:rPr>
          <w:rFonts w:hint="default" w:ascii="Times New Roman" w:hAnsi="Times New Roman" w:cs="Times New Roman"/>
          <w:sz w:val="20"/>
          <w:szCs w:val="20"/>
        </w:rPr>
      </w:pPr>
    </w:p>
    <w:p>
      <w:pPr>
        <w:rPr>
          <w:rFonts w:hint="default" w:ascii="Times New Roman" w:hAnsi="Times New Roman" w:cs="Times New Roman"/>
          <w:sz w:val="20"/>
          <w:szCs w:val="20"/>
        </w:rPr>
      </w:pPr>
    </w:p>
    <w:p>
      <w:pPr>
        <w:rPr>
          <w:rFonts w:hint="default" w:ascii="Times New Roman" w:hAnsi="Times New Roman" w:cs="Times New Roman"/>
          <w:bCs/>
          <w:color w:val="000000"/>
          <w:kern w:val="0"/>
          <w:sz w:val="20"/>
          <w:szCs w:val="20"/>
        </w:rPr>
      </w:pPr>
    </w:p>
    <w:p>
      <w:pPr>
        <w:rPr>
          <w:rFonts w:hint="default" w:ascii="Times New Roman" w:hAnsi="Times New Roman" w:cs="Times New Roman"/>
          <w:bCs/>
          <w:color w:val="000000"/>
          <w:kern w:val="0"/>
          <w:sz w:val="20"/>
          <w:szCs w:val="20"/>
        </w:rPr>
      </w:pPr>
      <w:r>
        <w:rPr>
          <w:rFonts w:hint="default" w:ascii="Times New Roman" w:hAnsi="Times New Roman" w:cs="Times New Roman"/>
          <w:bCs/>
          <w:color w:val="000000"/>
          <w:kern w:val="0"/>
          <w:sz w:val="20"/>
          <w:szCs w:val="20"/>
        </w:rPr>
        <w:drawing>
          <wp:inline distT="0" distB="0" distL="114300" distR="114300">
            <wp:extent cx="5267325" cy="5183505"/>
            <wp:effectExtent l="0" t="0" r="9525" b="17145"/>
            <wp:docPr id="2" name="图片 1" descr="BSTI热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BSTI热图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5183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cs="Times New Roman"/>
          <w:bCs/>
          <w:color w:val="000000"/>
          <w:kern w:val="0"/>
          <w:sz w:val="20"/>
          <w:szCs w:val="20"/>
        </w:rPr>
      </w:pPr>
      <w:r>
        <w:rPr>
          <w:rFonts w:hint="default" w:ascii="Times New Roman" w:hAnsi="Times New Roman" w:cs="Times New Roman"/>
          <w:b/>
          <w:sz w:val="20"/>
          <w:szCs w:val="20"/>
        </w:rPr>
        <w:t xml:space="preserve">Figure S1. </w:t>
      </w:r>
      <w:r>
        <w:rPr>
          <w:rFonts w:hint="default" w:ascii="Times New Roman" w:hAnsi="Times New Roman" w:cs="Times New Roman"/>
          <w:color w:val="000000" w:themeColor="text1"/>
          <w:kern w:val="0"/>
          <w:sz w:val="20"/>
          <w:szCs w:val="20"/>
          <w14:textFill>
            <w14:solidFill>
              <w14:schemeClr w14:val="tx1"/>
            </w14:solidFill>
          </w14:textFill>
        </w:rPr>
        <w:t xml:space="preserve">Spearman co-relationships between fungal taxa (top 30 genera) and soil properties </w:t>
      </w:r>
      <w:r>
        <w:rPr>
          <w:rFonts w:hint="default" w:ascii="Times New Roman" w:hAnsi="Times New Roman" w:cs="Times New Roman"/>
          <w:bCs/>
          <w:color w:val="000000"/>
          <w:kern w:val="0"/>
          <w:sz w:val="20"/>
          <w:szCs w:val="20"/>
        </w:rPr>
        <w:t xml:space="preserve">in </w:t>
      </w:r>
      <w:r>
        <w:rPr>
          <w:rFonts w:hint="default" w:ascii="Times New Roman" w:hAnsi="Times New Roman" w:cs="Times New Roman"/>
          <w:sz w:val="20"/>
          <w:szCs w:val="20"/>
        </w:rPr>
        <w:t xml:space="preserve">the fungal tissues of </w:t>
      </w:r>
      <w:r>
        <w:rPr>
          <w:rFonts w:hint="default" w:ascii="Times New Roman" w:hAnsi="Times New Roman" w:cs="Times New Roman"/>
          <w:i/>
          <w:sz w:val="20"/>
          <w:szCs w:val="20"/>
        </w:rPr>
        <w:t>T. pseudohymalyense</w:t>
      </w:r>
      <w:r>
        <w:rPr>
          <w:rFonts w:hint="default" w:ascii="Times New Roman" w:hAnsi="Times New Roman" w:cs="Times New Roman"/>
          <w:sz w:val="20"/>
          <w:szCs w:val="20"/>
        </w:rPr>
        <w:t xml:space="preserve"> associated with </w:t>
      </w:r>
      <w:r>
        <w:rPr>
          <w:rFonts w:hint="default" w:ascii="Times New Roman" w:hAnsi="Times New Roman" w:cs="Times New Roman"/>
          <w:i/>
          <w:sz w:val="20"/>
          <w:szCs w:val="20"/>
        </w:rPr>
        <w:t>P. armandii</w:t>
      </w:r>
      <w:r>
        <w:rPr>
          <w:rFonts w:hint="default" w:ascii="Times New Roman" w:hAnsi="Times New Roman" w:cs="Times New Roman"/>
          <w:sz w:val="20"/>
          <w:szCs w:val="20"/>
        </w:rPr>
        <w:t>.</w:t>
      </w:r>
      <w:r>
        <w:rPr>
          <w:rFonts w:hint="default" w:ascii="Times New Roman" w:hAnsi="Times New Roman" w:cs="Times New Roman"/>
          <w:b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bCs/>
          <w:color w:val="000000"/>
          <w:kern w:val="0"/>
          <w:sz w:val="20"/>
          <w:szCs w:val="20"/>
        </w:rPr>
        <w:t xml:space="preserve">Red and green color indicates positive and negative co-relationship, respectively. *** </w:t>
      </w:r>
      <w:r>
        <w:rPr>
          <w:rFonts w:hint="default" w:ascii="Times New Roman" w:hAnsi="Times New Roman" w:cs="Times New Roman"/>
          <w:bCs/>
          <w:i/>
          <w:color w:val="000000"/>
          <w:kern w:val="0"/>
          <w:sz w:val="20"/>
          <w:szCs w:val="20"/>
        </w:rPr>
        <w:t>P</w:t>
      </w:r>
      <w:r>
        <w:rPr>
          <w:rFonts w:hint="default" w:ascii="Times New Roman" w:hAnsi="Times New Roman" w:cs="Times New Roman"/>
          <w:bCs/>
          <w:color w:val="000000"/>
          <w:kern w:val="0"/>
          <w:sz w:val="20"/>
          <w:szCs w:val="20"/>
        </w:rPr>
        <w:t xml:space="preserve"> &lt; 0.001.</w:t>
      </w:r>
    </w:p>
    <w:p>
      <w:pPr>
        <w:rPr>
          <w:rFonts w:hint="default" w:ascii="Times New Roman" w:hAnsi="Times New Roman" w:cs="Times New Roman"/>
          <w:bCs/>
          <w:color w:val="000000"/>
          <w:kern w:val="0"/>
          <w:sz w:val="20"/>
          <w:szCs w:val="20"/>
        </w:rPr>
      </w:pPr>
      <w:r>
        <w:rPr>
          <w:rFonts w:hint="default" w:ascii="Times New Roman" w:hAnsi="Times New Roman" w:cs="Times New Roman"/>
          <w:bCs/>
          <w:color w:val="000000"/>
          <w:kern w:val="0"/>
          <w:sz w:val="20"/>
          <w:szCs w:val="20"/>
        </w:rPr>
        <w:drawing>
          <wp:inline distT="0" distB="0" distL="114300" distR="114300">
            <wp:extent cx="5280025" cy="5093335"/>
            <wp:effectExtent l="0" t="0" r="15875" b="12065"/>
            <wp:docPr id="3" name="图片 2" descr="BSTp热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BSTp热图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80025" cy="5093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cs="Times New Roman"/>
          <w:b/>
          <w:sz w:val="20"/>
          <w:szCs w:val="20"/>
        </w:rPr>
      </w:pPr>
      <w:r>
        <w:rPr>
          <w:rFonts w:hint="default" w:ascii="Times New Roman" w:hAnsi="Times New Roman" w:cs="Times New Roman"/>
          <w:b/>
          <w:sz w:val="20"/>
          <w:szCs w:val="20"/>
        </w:rPr>
        <w:t xml:space="preserve">Figure S2. </w:t>
      </w:r>
      <w:r>
        <w:rPr>
          <w:rFonts w:hint="default" w:ascii="Times New Roman" w:hAnsi="Times New Roman" w:cs="Times New Roman"/>
          <w:color w:val="000000" w:themeColor="text1"/>
          <w:kern w:val="0"/>
          <w:sz w:val="20"/>
          <w:szCs w:val="20"/>
          <w14:textFill>
            <w14:solidFill>
              <w14:schemeClr w14:val="tx1"/>
            </w14:solidFill>
          </w14:textFill>
        </w:rPr>
        <w:t xml:space="preserve">Spearman co-relationships between fungal taxa (top 30 genera) and soil properties </w:t>
      </w:r>
      <w:r>
        <w:rPr>
          <w:rFonts w:hint="default" w:ascii="Times New Roman" w:hAnsi="Times New Roman" w:cs="Times New Roman"/>
          <w:bCs/>
          <w:color w:val="000000"/>
          <w:kern w:val="0"/>
          <w:sz w:val="20"/>
          <w:szCs w:val="20"/>
        </w:rPr>
        <w:t>in</w:t>
      </w:r>
      <w:r>
        <w:rPr>
          <w:rFonts w:hint="default" w:ascii="Times New Roman" w:hAnsi="Times New Roman" w:cs="Times New Roman"/>
          <w:sz w:val="20"/>
          <w:szCs w:val="20"/>
        </w:rPr>
        <w:t xml:space="preserve"> the fungal tissues of </w:t>
      </w:r>
      <w:r>
        <w:rPr>
          <w:rFonts w:hint="default" w:ascii="Times New Roman" w:hAnsi="Times New Roman" w:cs="Times New Roman"/>
          <w:i/>
          <w:sz w:val="20"/>
          <w:szCs w:val="20"/>
        </w:rPr>
        <w:t>T. indicum</w:t>
      </w:r>
      <w:r>
        <w:rPr>
          <w:rFonts w:hint="default" w:ascii="Times New Roman" w:hAnsi="Times New Roman" w:cs="Times New Roman"/>
          <w:sz w:val="20"/>
          <w:szCs w:val="20"/>
        </w:rPr>
        <w:t xml:space="preserve"> associated with </w:t>
      </w:r>
      <w:r>
        <w:rPr>
          <w:rFonts w:hint="default" w:ascii="Times New Roman" w:hAnsi="Times New Roman" w:cs="Times New Roman"/>
          <w:i/>
          <w:sz w:val="20"/>
          <w:szCs w:val="20"/>
        </w:rPr>
        <w:t>P. armandii</w:t>
      </w:r>
      <w:r>
        <w:rPr>
          <w:rFonts w:hint="default" w:ascii="Times New Roman" w:hAnsi="Times New Roman" w:cs="Times New Roman"/>
          <w:sz w:val="20"/>
          <w:szCs w:val="20"/>
        </w:rPr>
        <w:t>.</w:t>
      </w:r>
      <w:r>
        <w:rPr>
          <w:rFonts w:hint="default" w:ascii="Times New Roman" w:hAnsi="Times New Roman" w:cs="Times New Roman"/>
          <w:b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bCs/>
          <w:color w:val="000000"/>
          <w:kern w:val="0"/>
          <w:sz w:val="20"/>
          <w:szCs w:val="20"/>
        </w:rPr>
        <w:t xml:space="preserve">Red and green color indicates positive and negative co-relationship, respectively. *** </w:t>
      </w:r>
      <w:r>
        <w:rPr>
          <w:rFonts w:hint="default" w:ascii="Times New Roman" w:hAnsi="Times New Roman" w:cs="Times New Roman"/>
          <w:bCs/>
          <w:i/>
          <w:color w:val="000000"/>
          <w:kern w:val="0"/>
          <w:sz w:val="20"/>
          <w:szCs w:val="20"/>
        </w:rPr>
        <w:t>P</w:t>
      </w:r>
      <w:r>
        <w:rPr>
          <w:rFonts w:hint="default" w:ascii="Times New Roman" w:hAnsi="Times New Roman" w:cs="Times New Roman"/>
          <w:bCs/>
          <w:color w:val="000000"/>
          <w:kern w:val="0"/>
          <w:sz w:val="20"/>
          <w:szCs w:val="20"/>
        </w:rPr>
        <w:t xml:space="preserve"> &lt; 0.001.</w:t>
      </w:r>
    </w:p>
    <w:p>
      <w:pPr>
        <w:rPr>
          <w:rFonts w:hint="default" w:ascii="Times New Roman" w:hAnsi="Times New Roman" w:cs="Times New Roman"/>
          <w:bCs/>
          <w:color w:val="000000"/>
          <w:kern w:val="0"/>
          <w:sz w:val="20"/>
          <w:szCs w:val="20"/>
        </w:rPr>
      </w:pPr>
    </w:p>
    <w:p>
      <w:pPr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</w:rPr>
        <w:drawing>
          <wp:inline distT="0" distB="0" distL="0" distR="0">
            <wp:extent cx="3765550" cy="3973830"/>
            <wp:effectExtent l="0" t="0" r="6350" b="7620"/>
            <wp:docPr id="1" name="图片 1" descr="D:\liudong\liudong\Desktop\01 文章\1.1 SCI汇总\6 MS Tuber Geochip\Manusript Fungi\Figures and Tables\Supplementary figures\Fig. S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D:\liudong\liudong\Desktop\01 文章\1.1 SCI汇总\6 MS Tuber Geochip\Manusript Fungi\Figures and Tables\Supplementary figures\Fig. S4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67009" cy="39759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cs="Times New Roman"/>
          <w:b/>
          <w:sz w:val="20"/>
          <w:szCs w:val="20"/>
        </w:rPr>
      </w:pPr>
      <w:r>
        <w:rPr>
          <w:rFonts w:hint="default" w:ascii="Times New Roman" w:hAnsi="Times New Roman" w:cs="Times New Roman"/>
          <w:b/>
          <w:sz w:val="20"/>
          <w:szCs w:val="20"/>
        </w:rPr>
        <w:t xml:space="preserve">Figure S3. </w:t>
      </w:r>
      <w:r>
        <w:rPr>
          <w:rFonts w:hint="default" w:ascii="Times New Roman" w:hAnsi="Times New Roman" w:cs="Times New Roman"/>
          <w:color w:val="000000" w:themeColor="text1"/>
          <w:kern w:val="0"/>
          <w:sz w:val="20"/>
          <w:szCs w:val="20"/>
          <w14:textFill>
            <w14:solidFill>
              <w14:schemeClr w14:val="tx1"/>
            </w14:solidFill>
          </w14:textFill>
        </w:rPr>
        <w:t xml:space="preserve">Spearman co-relationships between fungal diversity indices and soil properties </w:t>
      </w:r>
      <w:r>
        <w:rPr>
          <w:rFonts w:hint="default" w:ascii="Times New Roman" w:hAnsi="Times New Roman" w:cs="Times New Roman"/>
          <w:bCs/>
          <w:color w:val="000000"/>
          <w:kern w:val="0"/>
          <w:sz w:val="20"/>
          <w:szCs w:val="20"/>
        </w:rPr>
        <w:t>in</w:t>
      </w:r>
      <w:r>
        <w:rPr>
          <w:rFonts w:hint="default" w:ascii="Times New Roman" w:hAnsi="Times New Roman" w:cs="Times New Roman"/>
          <w:sz w:val="20"/>
          <w:szCs w:val="20"/>
        </w:rPr>
        <w:t xml:space="preserve"> the fungal tissues of </w:t>
      </w:r>
      <w:r>
        <w:rPr>
          <w:rFonts w:hint="default" w:ascii="Times New Roman" w:hAnsi="Times New Roman" w:cs="Times New Roman"/>
          <w:i/>
          <w:sz w:val="20"/>
          <w:szCs w:val="20"/>
        </w:rPr>
        <w:t>T. indicum</w:t>
      </w:r>
      <w:r>
        <w:rPr>
          <w:rFonts w:hint="default" w:ascii="Times New Roman" w:hAnsi="Times New Roman" w:cs="Times New Roman"/>
          <w:sz w:val="20"/>
          <w:szCs w:val="20"/>
        </w:rPr>
        <w:t xml:space="preserve"> associated with </w:t>
      </w:r>
      <w:r>
        <w:rPr>
          <w:rFonts w:hint="default" w:ascii="Times New Roman" w:hAnsi="Times New Roman" w:cs="Times New Roman"/>
          <w:i/>
          <w:sz w:val="20"/>
          <w:szCs w:val="20"/>
        </w:rPr>
        <w:t>P. armandii</w:t>
      </w:r>
      <w:r>
        <w:rPr>
          <w:rFonts w:hint="default" w:ascii="Times New Roman" w:hAnsi="Times New Roman" w:cs="Times New Roman"/>
          <w:sz w:val="20"/>
          <w:szCs w:val="20"/>
        </w:rPr>
        <w:t>.</w:t>
      </w:r>
      <w:r>
        <w:rPr>
          <w:rFonts w:hint="default" w:ascii="Times New Roman" w:hAnsi="Times New Roman" w:cs="Times New Roman"/>
          <w:b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bCs/>
          <w:color w:val="000000"/>
          <w:kern w:val="0"/>
          <w:sz w:val="20"/>
          <w:szCs w:val="20"/>
        </w:rPr>
        <w:t xml:space="preserve">Red and green color indicates positive and negative co-relationship, respectively. ** </w:t>
      </w:r>
      <w:r>
        <w:rPr>
          <w:rFonts w:hint="default" w:ascii="Times New Roman" w:hAnsi="Times New Roman" w:cs="Times New Roman"/>
          <w:bCs/>
          <w:i/>
          <w:color w:val="000000"/>
          <w:kern w:val="0"/>
          <w:sz w:val="20"/>
          <w:szCs w:val="20"/>
        </w:rPr>
        <w:t>P</w:t>
      </w:r>
      <w:r>
        <w:rPr>
          <w:rFonts w:hint="default" w:ascii="Times New Roman" w:hAnsi="Times New Roman" w:cs="Times New Roman"/>
          <w:bCs/>
          <w:color w:val="000000"/>
          <w:kern w:val="0"/>
          <w:sz w:val="20"/>
          <w:szCs w:val="20"/>
        </w:rPr>
        <w:t xml:space="preserve"> &lt; 0.01, * </w:t>
      </w:r>
      <w:r>
        <w:rPr>
          <w:rFonts w:hint="default" w:ascii="Times New Roman" w:hAnsi="Times New Roman" w:cs="Times New Roman"/>
          <w:bCs/>
          <w:i/>
          <w:color w:val="000000"/>
          <w:kern w:val="0"/>
          <w:sz w:val="20"/>
          <w:szCs w:val="20"/>
        </w:rPr>
        <w:t>P</w:t>
      </w:r>
      <w:r>
        <w:rPr>
          <w:rFonts w:hint="default" w:ascii="Times New Roman" w:hAnsi="Times New Roman" w:cs="Times New Roman"/>
          <w:bCs/>
          <w:color w:val="000000"/>
          <w:kern w:val="0"/>
          <w:sz w:val="20"/>
          <w:szCs w:val="20"/>
        </w:rPr>
        <w:t xml:space="preserve"> &lt; 0.05.</w:t>
      </w:r>
    </w:p>
    <w:p>
      <w:pPr>
        <w:rPr>
          <w:rFonts w:hint="default" w:ascii="Times New Roman" w:hAnsi="Times New Roman" w:cs="Times New Roma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Palatino Linotype">
    <w:panose1 w:val="02040502050505030304"/>
    <w:charset w:val="00"/>
    <w:family w:val="roman"/>
    <w:pitch w:val="default"/>
    <w:sig w:usb0="E0000287" w:usb1="40000013" w:usb2="00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AC036C"/>
    <w:rsid w:val="78AC03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tiff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Office_11.1.0.10000_F1E327BC-269C-435d-A152-05C5408002CA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2020-10-23T06:55:00Z</dcterms:created>
  <dc:creator>刘栋</dc:creator>
  <cp:lastModifiedBy>刘栋</cp:lastModifiedBy>
  <dcterms:modified xsi:type="dcterms:W3CDTF">2020-10-23T06:57:04Z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2052-11.1.0.10000</vt:lpwstr>
  </property>
</Properties>
</file>