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21194D" w14:textId="77777777" w:rsidR="0052667B" w:rsidRPr="00820EA8" w:rsidRDefault="0052667B" w:rsidP="0052667B">
      <w:pPr>
        <w:pStyle w:val="Titolo2"/>
      </w:pPr>
      <w:r w:rsidRPr="00820EA8">
        <w:t xml:space="preserve">Visual assessment </w:t>
      </w:r>
    </w:p>
    <w:p w14:paraId="32BDDFA4" w14:textId="4DCC3600" w:rsidR="00602370" w:rsidRPr="00820EA8" w:rsidRDefault="0052667B" w:rsidP="0052667B">
      <w:pPr>
        <w:pStyle w:val="Titolo3"/>
      </w:pPr>
      <w:r w:rsidRPr="00820EA8">
        <w:t>Methodology</w:t>
      </w:r>
    </w:p>
    <w:p w14:paraId="2A4BBEA2" w14:textId="321E8975" w:rsidR="0052667B" w:rsidRPr="00820EA8" w:rsidRDefault="0052667B" w:rsidP="0052667B">
      <w:pPr>
        <w:spacing w:after="0" w:line="480" w:lineRule="auto"/>
        <w:ind w:firstLine="720"/>
        <w:jc w:val="both"/>
        <w:rPr>
          <w:rFonts w:eastAsia="Times New Roman" w:cs="Times New Roman"/>
          <w:sz w:val="24"/>
          <w:szCs w:val="24"/>
          <w:lang w:val="en-GB"/>
        </w:rPr>
      </w:pPr>
      <w:r w:rsidRPr="00820EA8">
        <w:rPr>
          <w:rFonts w:eastAsia="Times New Roman" w:cs="Times New Roman"/>
          <w:sz w:val="24"/>
          <w:szCs w:val="24"/>
          <w:lang w:val="en-GB"/>
        </w:rPr>
        <w:t>Information on the structural integrity of the binding, cover and spine (e.g., detached boards, broken sewing) and structural and aesthetic damage to the text block (e.g., mould, ink degradation, pest damage) were recorded</w:t>
      </w:r>
      <w:r w:rsidR="005954C0" w:rsidRPr="00820EA8">
        <w:rPr>
          <w:rFonts w:eastAsia="Times New Roman" w:cs="Times New Roman"/>
          <w:sz w:val="24"/>
          <w:szCs w:val="24"/>
          <w:lang w:val="en-GB"/>
        </w:rPr>
        <w:t>. B</w:t>
      </w:r>
      <w:r w:rsidRPr="00820EA8">
        <w:rPr>
          <w:rFonts w:eastAsia="Times New Roman" w:cs="Times New Roman"/>
          <w:sz w:val="24"/>
          <w:szCs w:val="24"/>
          <w:lang w:val="en-GB"/>
        </w:rPr>
        <w:t xml:space="preserve">ibliographic information that included title, author, </w:t>
      </w:r>
      <w:r w:rsidR="00695AAC" w:rsidRPr="00820EA8">
        <w:rPr>
          <w:rFonts w:eastAsia="Times New Roman" w:cs="Times New Roman"/>
          <w:sz w:val="24"/>
          <w:szCs w:val="24"/>
          <w:lang w:val="en-GB"/>
        </w:rPr>
        <w:t xml:space="preserve">and </w:t>
      </w:r>
      <w:r w:rsidRPr="00820EA8">
        <w:rPr>
          <w:rFonts w:eastAsia="Times New Roman" w:cs="Times New Roman"/>
          <w:sz w:val="24"/>
          <w:szCs w:val="24"/>
          <w:lang w:val="en-GB"/>
        </w:rPr>
        <w:t>date of publication</w:t>
      </w:r>
      <w:r w:rsidR="005954C0" w:rsidRPr="00820EA8">
        <w:rPr>
          <w:rFonts w:eastAsia="Times New Roman" w:cs="Times New Roman"/>
          <w:sz w:val="24"/>
          <w:szCs w:val="24"/>
          <w:lang w:val="en-GB"/>
        </w:rPr>
        <w:t xml:space="preserve"> were also recorded</w:t>
      </w:r>
      <w:r w:rsidR="00695AAC" w:rsidRPr="00820EA8">
        <w:rPr>
          <w:rFonts w:eastAsia="Times New Roman" w:cs="Times New Roman"/>
          <w:sz w:val="24"/>
          <w:szCs w:val="24"/>
          <w:lang w:val="en-GB"/>
        </w:rPr>
        <w:t xml:space="preserve"> </w:t>
      </w:r>
      <w:r w:rsidRPr="00820EA8">
        <w:rPr>
          <w:rFonts w:eastAsia="Times New Roman" w:cs="Times New Roman"/>
          <w:sz w:val="24"/>
          <w:szCs w:val="24"/>
          <w:lang w:val="en-GB"/>
        </w:rPr>
        <w:t xml:space="preserve">(Additional file </w:t>
      </w:r>
      <w:r w:rsidR="005954C0" w:rsidRPr="00820EA8">
        <w:rPr>
          <w:rFonts w:eastAsia="Times New Roman" w:cs="Times New Roman"/>
          <w:sz w:val="24"/>
          <w:szCs w:val="24"/>
          <w:lang w:val="en-GB"/>
        </w:rPr>
        <w:t>2</w:t>
      </w:r>
      <w:r w:rsidRPr="00820EA8">
        <w:rPr>
          <w:rFonts w:eastAsia="Times New Roman" w:cs="Times New Roman"/>
          <w:sz w:val="24"/>
          <w:szCs w:val="24"/>
          <w:lang w:val="en-GB"/>
        </w:rPr>
        <w:t xml:space="preserve">). Ink degradation was evaluated on a four-level scale (Table </w:t>
      </w:r>
      <w:r w:rsidR="00BF0B90" w:rsidRPr="00820EA8">
        <w:rPr>
          <w:rFonts w:eastAsia="Times New Roman" w:cs="Times New Roman"/>
          <w:sz w:val="24"/>
          <w:szCs w:val="24"/>
          <w:lang w:val="en-GB"/>
        </w:rPr>
        <w:t>S</w:t>
      </w:r>
      <w:r w:rsidRPr="00820EA8">
        <w:rPr>
          <w:rFonts w:eastAsia="Times New Roman" w:cs="Times New Roman"/>
          <w:sz w:val="24"/>
          <w:szCs w:val="24"/>
          <w:lang w:val="en-GB"/>
        </w:rPr>
        <w:t>1).</w:t>
      </w:r>
      <w:r w:rsidR="002C4755" w:rsidRPr="00820EA8">
        <w:rPr>
          <w:rFonts w:eastAsia="Times New Roman" w:cs="Times New Roman"/>
          <w:sz w:val="24"/>
          <w:szCs w:val="24"/>
          <w:lang w:val="en-GB"/>
        </w:rPr>
        <w:t xml:space="preserve"> </w:t>
      </w:r>
    </w:p>
    <w:p w14:paraId="36DD1682" w14:textId="692E5FD9" w:rsidR="0052667B" w:rsidRPr="00820EA8" w:rsidRDefault="0052667B" w:rsidP="0052667B">
      <w:pPr>
        <w:keepNext/>
        <w:spacing w:before="120" w:after="360" w:line="240" w:lineRule="auto"/>
        <w:jc w:val="both"/>
        <w:rPr>
          <w:rFonts w:eastAsia="Calibri" w:cs="Times New Roman"/>
          <w:iCs/>
          <w:color w:val="44546A"/>
          <w:sz w:val="18"/>
          <w:szCs w:val="18"/>
          <w:lang w:val="en-GB"/>
        </w:rPr>
      </w:pPr>
      <w:r w:rsidRPr="00820EA8">
        <w:rPr>
          <w:rFonts w:eastAsia="Calibri" w:cs="Times New Roman"/>
          <w:b/>
          <w:bCs/>
          <w:iCs/>
          <w:color w:val="44546A"/>
          <w:sz w:val="18"/>
          <w:szCs w:val="18"/>
          <w:lang w:val="en-GB"/>
        </w:rPr>
        <w:t xml:space="preserve">Table </w:t>
      </w:r>
      <w:r w:rsidR="00695AAC" w:rsidRPr="00820EA8">
        <w:rPr>
          <w:rFonts w:eastAsia="Calibri" w:cs="Times New Roman"/>
          <w:b/>
          <w:bCs/>
          <w:iCs/>
          <w:color w:val="44546A"/>
          <w:sz w:val="18"/>
          <w:szCs w:val="18"/>
          <w:lang w:val="en-GB"/>
        </w:rPr>
        <w:t>S</w:t>
      </w:r>
      <w:r w:rsidRPr="00820EA8">
        <w:rPr>
          <w:rFonts w:eastAsia="Calibri" w:cs="Times New Roman"/>
          <w:b/>
          <w:bCs/>
          <w:iCs/>
          <w:color w:val="44546A"/>
          <w:sz w:val="18"/>
          <w:szCs w:val="18"/>
          <w:lang w:val="en-GB"/>
        </w:rPr>
        <w:fldChar w:fldCharType="begin"/>
      </w:r>
      <w:r w:rsidRPr="00820EA8">
        <w:rPr>
          <w:rFonts w:eastAsia="Calibri" w:cs="Times New Roman"/>
          <w:b/>
          <w:bCs/>
          <w:iCs/>
          <w:color w:val="44546A"/>
          <w:sz w:val="18"/>
          <w:szCs w:val="18"/>
          <w:lang w:val="en-GB"/>
        </w:rPr>
        <w:instrText xml:space="preserve"> SEQ Table \* ARABIC </w:instrText>
      </w:r>
      <w:r w:rsidRPr="00820EA8">
        <w:rPr>
          <w:rFonts w:eastAsia="Calibri" w:cs="Times New Roman"/>
          <w:b/>
          <w:bCs/>
          <w:iCs/>
          <w:color w:val="44546A"/>
          <w:sz w:val="18"/>
          <w:szCs w:val="18"/>
          <w:lang w:val="en-GB"/>
        </w:rPr>
        <w:fldChar w:fldCharType="separate"/>
      </w:r>
      <w:r w:rsidRPr="00820EA8">
        <w:rPr>
          <w:rFonts w:eastAsia="Calibri" w:cs="Times New Roman"/>
          <w:b/>
          <w:bCs/>
          <w:iCs/>
          <w:noProof/>
          <w:color w:val="44546A"/>
          <w:sz w:val="18"/>
          <w:szCs w:val="18"/>
          <w:lang w:val="en-GB"/>
        </w:rPr>
        <w:t>1</w:t>
      </w:r>
      <w:r w:rsidRPr="00820EA8">
        <w:rPr>
          <w:rFonts w:eastAsia="Calibri" w:cs="Times New Roman"/>
          <w:b/>
          <w:bCs/>
          <w:iCs/>
          <w:color w:val="44546A"/>
          <w:sz w:val="18"/>
          <w:szCs w:val="18"/>
          <w:lang w:val="en-GB"/>
        </w:rPr>
        <w:fldChar w:fldCharType="end"/>
      </w:r>
      <w:r w:rsidRPr="00820EA8">
        <w:rPr>
          <w:rFonts w:eastAsia="Calibri" w:cs="Times New Roman"/>
          <w:b/>
          <w:bCs/>
          <w:iCs/>
          <w:color w:val="44546A"/>
          <w:sz w:val="18"/>
          <w:szCs w:val="18"/>
          <w:lang w:val="en-GB"/>
        </w:rPr>
        <w:t>.</w:t>
      </w:r>
      <w:r w:rsidRPr="00820EA8">
        <w:rPr>
          <w:rFonts w:eastAsia="Calibri" w:cs="Times New Roman"/>
          <w:iCs/>
          <w:color w:val="44546A"/>
          <w:sz w:val="18"/>
          <w:szCs w:val="18"/>
          <w:lang w:val="en-GB"/>
        </w:rPr>
        <w:t xml:space="preserve"> Ink degradation level descriptions.</w:t>
      </w:r>
    </w:p>
    <w:tbl>
      <w:tblPr>
        <w:tblW w:w="0" w:type="auto"/>
        <w:jc w:val="center"/>
        <w:tblLook w:val="04A0" w:firstRow="1" w:lastRow="0" w:firstColumn="1" w:lastColumn="0" w:noHBand="0" w:noVBand="1"/>
      </w:tblPr>
      <w:tblGrid>
        <w:gridCol w:w="730"/>
        <w:gridCol w:w="4915"/>
      </w:tblGrid>
      <w:tr w:rsidR="0052667B" w:rsidRPr="00820EA8" w14:paraId="16389943" w14:textId="77777777" w:rsidTr="000367FB">
        <w:trPr>
          <w:trHeight w:val="126"/>
          <w:jc w:val="center"/>
        </w:trPr>
        <w:tc>
          <w:tcPr>
            <w:tcW w:w="0" w:type="auto"/>
            <w:tcBorders>
              <w:top w:val="single" w:sz="12" w:space="0" w:color="auto"/>
              <w:bottom w:val="single" w:sz="12" w:space="0" w:color="auto"/>
            </w:tcBorders>
            <w:shd w:val="clear" w:color="auto" w:fill="auto"/>
            <w:vAlign w:val="center"/>
          </w:tcPr>
          <w:p w14:paraId="5AB541E8" w14:textId="77777777" w:rsidR="0052667B" w:rsidRPr="00820EA8" w:rsidRDefault="0052667B" w:rsidP="0052667B">
            <w:pPr>
              <w:spacing w:before="120" w:after="120" w:line="240" w:lineRule="auto"/>
              <w:jc w:val="center"/>
              <w:rPr>
                <w:rFonts w:eastAsia="Calibri" w:cs="Times New Roman"/>
                <w:b/>
                <w:bCs/>
                <w:lang w:val="en-GB"/>
              </w:rPr>
            </w:pPr>
            <w:r w:rsidRPr="00820EA8">
              <w:rPr>
                <w:rFonts w:eastAsia="Calibri" w:cs="Times New Roman"/>
                <w:b/>
                <w:bCs/>
                <w:lang w:val="en-GB"/>
              </w:rPr>
              <w:t>Level</w:t>
            </w:r>
          </w:p>
        </w:tc>
        <w:tc>
          <w:tcPr>
            <w:tcW w:w="0" w:type="auto"/>
            <w:tcBorders>
              <w:top w:val="single" w:sz="12" w:space="0" w:color="auto"/>
              <w:bottom w:val="single" w:sz="12" w:space="0" w:color="auto"/>
            </w:tcBorders>
            <w:vAlign w:val="center"/>
          </w:tcPr>
          <w:p w14:paraId="76AE4276" w14:textId="77777777" w:rsidR="0052667B" w:rsidRPr="00820EA8" w:rsidRDefault="0052667B" w:rsidP="0052667B">
            <w:pPr>
              <w:spacing w:before="120" w:after="120" w:line="240" w:lineRule="auto"/>
              <w:rPr>
                <w:rFonts w:eastAsia="Calibri" w:cs="Times New Roman"/>
                <w:b/>
                <w:bCs/>
                <w:lang w:val="en-GB"/>
              </w:rPr>
            </w:pPr>
            <w:r w:rsidRPr="00820EA8">
              <w:rPr>
                <w:rFonts w:eastAsia="Calibri" w:cs="Times New Roman"/>
                <w:b/>
                <w:bCs/>
                <w:lang w:val="en-GB"/>
              </w:rPr>
              <w:t>Description</w:t>
            </w:r>
          </w:p>
        </w:tc>
      </w:tr>
      <w:tr w:rsidR="0052667B" w:rsidRPr="00AF53B1" w14:paraId="034E7E2C" w14:textId="77777777" w:rsidTr="000367FB">
        <w:trPr>
          <w:trHeight w:val="285"/>
          <w:jc w:val="center"/>
        </w:trPr>
        <w:tc>
          <w:tcPr>
            <w:tcW w:w="0" w:type="auto"/>
            <w:tcBorders>
              <w:top w:val="single" w:sz="12" w:space="0" w:color="auto"/>
              <w:bottom w:val="single" w:sz="4" w:space="0" w:color="auto"/>
            </w:tcBorders>
            <w:shd w:val="clear" w:color="auto" w:fill="auto"/>
            <w:vAlign w:val="center"/>
          </w:tcPr>
          <w:p w14:paraId="145C6480" w14:textId="77777777" w:rsidR="0052667B" w:rsidRPr="00820EA8" w:rsidRDefault="0052667B" w:rsidP="0052667B">
            <w:pPr>
              <w:spacing w:after="0" w:line="240" w:lineRule="auto"/>
              <w:jc w:val="center"/>
              <w:rPr>
                <w:rFonts w:eastAsia="Calibri" w:cs="Times New Roman"/>
                <w:lang w:val="en-GB"/>
              </w:rPr>
            </w:pPr>
            <w:r w:rsidRPr="00820EA8">
              <w:rPr>
                <w:rFonts w:eastAsia="Calibri" w:cs="Times New Roman"/>
                <w:lang w:val="en-GB"/>
              </w:rPr>
              <w:t>1</w:t>
            </w:r>
          </w:p>
        </w:tc>
        <w:tc>
          <w:tcPr>
            <w:tcW w:w="0" w:type="auto"/>
            <w:tcBorders>
              <w:top w:val="single" w:sz="12" w:space="0" w:color="auto"/>
              <w:bottom w:val="single" w:sz="4" w:space="0" w:color="auto"/>
            </w:tcBorders>
            <w:vAlign w:val="center"/>
          </w:tcPr>
          <w:p w14:paraId="37884F14" w14:textId="77777777" w:rsidR="0052667B" w:rsidRPr="00820EA8" w:rsidRDefault="0052667B" w:rsidP="0052667B">
            <w:pPr>
              <w:spacing w:after="0" w:line="240" w:lineRule="auto"/>
              <w:rPr>
                <w:rFonts w:eastAsia="Calibri" w:cs="Times New Roman"/>
                <w:lang w:val="en-GB"/>
              </w:rPr>
            </w:pPr>
            <w:r w:rsidRPr="00820EA8">
              <w:rPr>
                <w:rFonts w:eastAsia="Calibri" w:cs="Times New Roman"/>
                <w:lang w:val="en-GB"/>
              </w:rPr>
              <w:t>No indication of ink transfer on opposite side of page</w:t>
            </w:r>
          </w:p>
        </w:tc>
      </w:tr>
      <w:tr w:rsidR="0052667B" w:rsidRPr="00AF53B1" w14:paraId="1CF9E16B" w14:textId="77777777" w:rsidTr="000367FB">
        <w:trPr>
          <w:trHeight w:val="285"/>
          <w:jc w:val="center"/>
        </w:trPr>
        <w:tc>
          <w:tcPr>
            <w:tcW w:w="0" w:type="auto"/>
            <w:tcBorders>
              <w:top w:val="single" w:sz="4" w:space="0" w:color="auto"/>
              <w:bottom w:val="single" w:sz="4" w:space="0" w:color="auto"/>
            </w:tcBorders>
            <w:shd w:val="clear" w:color="auto" w:fill="auto"/>
            <w:vAlign w:val="center"/>
          </w:tcPr>
          <w:p w14:paraId="754B1188" w14:textId="77777777" w:rsidR="0052667B" w:rsidRPr="00820EA8" w:rsidRDefault="0052667B" w:rsidP="0052667B">
            <w:pPr>
              <w:spacing w:after="0" w:line="240" w:lineRule="auto"/>
              <w:jc w:val="center"/>
              <w:rPr>
                <w:rFonts w:eastAsia="Calibri" w:cs="Times New Roman"/>
                <w:lang w:val="en-GB"/>
              </w:rPr>
            </w:pPr>
            <w:r w:rsidRPr="00820EA8">
              <w:rPr>
                <w:rFonts w:eastAsia="Calibri" w:cs="Times New Roman"/>
                <w:lang w:val="en-GB"/>
              </w:rPr>
              <w:t>2</w:t>
            </w:r>
          </w:p>
        </w:tc>
        <w:tc>
          <w:tcPr>
            <w:tcW w:w="0" w:type="auto"/>
            <w:tcBorders>
              <w:top w:val="single" w:sz="4" w:space="0" w:color="auto"/>
              <w:bottom w:val="single" w:sz="4" w:space="0" w:color="auto"/>
            </w:tcBorders>
            <w:vAlign w:val="center"/>
          </w:tcPr>
          <w:p w14:paraId="5BEC8D69" w14:textId="77777777" w:rsidR="0052667B" w:rsidRPr="00820EA8" w:rsidRDefault="0052667B" w:rsidP="0052667B">
            <w:pPr>
              <w:spacing w:after="0" w:line="240" w:lineRule="auto"/>
              <w:rPr>
                <w:rFonts w:eastAsia="Calibri" w:cs="Times New Roman"/>
                <w:lang w:val="en-GB"/>
              </w:rPr>
            </w:pPr>
            <w:r w:rsidRPr="00820EA8">
              <w:rPr>
                <w:rFonts w:eastAsia="Calibri" w:cs="Times New Roman"/>
                <w:lang w:val="en-GB"/>
              </w:rPr>
              <w:t>Visible ink transfer on opposite side of page</w:t>
            </w:r>
          </w:p>
        </w:tc>
      </w:tr>
      <w:tr w:rsidR="0052667B" w:rsidRPr="00AF53B1" w14:paraId="25CC3868" w14:textId="77777777" w:rsidTr="000367FB">
        <w:trPr>
          <w:trHeight w:val="265"/>
          <w:jc w:val="center"/>
        </w:trPr>
        <w:tc>
          <w:tcPr>
            <w:tcW w:w="0" w:type="auto"/>
            <w:tcBorders>
              <w:top w:val="single" w:sz="4" w:space="0" w:color="auto"/>
              <w:bottom w:val="single" w:sz="4" w:space="0" w:color="auto"/>
            </w:tcBorders>
            <w:shd w:val="clear" w:color="auto" w:fill="auto"/>
            <w:vAlign w:val="center"/>
          </w:tcPr>
          <w:p w14:paraId="39498B68" w14:textId="77777777" w:rsidR="0052667B" w:rsidRPr="00820EA8" w:rsidRDefault="0052667B" w:rsidP="0052667B">
            <w:pPr>
              <w:spacing w:after="0" w:line="240" w:lineRule="auto"/>
              <w:jc w:val="center"/>
              <w:rPr>
                <w:rFonts w:eastAsia="Calibri" w:cs="Times New Roman"/>
                <w:lang w:val="en-GB"/>
              </w:rPr>
            </w:pPr>
            <w:r w:rsidRPr="00820EA8">
              <w:rPr>
                <w:rFonts w:eastAsia="Calibri" w:cs="Times New Roman"/>
                <w:lang w:val="en-GB"/>
              </w:rPr>
              <w:t>3</w:t>
            </w:r>
          </w:p>
        </w:tc>
        <w:tc>
          <w:tcPr>
            <w:tcW w:w="0" w:type="auto"/>
            <w:tcBorders>
              <w:top w:val="single" w:sz="4" w:space="0" w:color="auto"/>
              <w:bottom w:val="single" w:sz="4" w:space="0" w:color="auto"/>
            </w:tcBorders>
            <w:vAlign w:val="center"/>
          </w:tcPr>
          <w:p w14:paraId="5575DDD6" w14:textId="77777777" w:rsidR="0052667B" w:rsidRPr="00820EA8" w:rsidRDefault="0052667B" w:rsidP="0052667B">
            <w:pPr>
              <w:spacing w:after="0" w:line="240" w:lineRule="auto"/>
              <w:rPr>
                <w:rFonts w:eastAsia="Calibri" w:cs="Times New Roman"/>
                <w:lang w:val="en-GB"/>
              </w:rPr>
            </w:pPr>
            <w:r w:rsidRPr="00820EA8">
              <w:rPr>
                <w:rFonts w:eastAsia="Calibri" w:cs="Times New Roman"/>
                <w:lang w:val="en-GB"/>
              </w:rPr>
              <w:t xml:space="preserve">Visible ink transfer with possible paper corrosion </w:t>
            </w:r>
          </w:p>
        </w:tc>
      </w:tr>
      <w:tr w:rsidR="0052667B" w:rsidRPr="00AF53B1" w14:paraId="1741A4DB" w14:textId="77777777" w:rsidTr="000367FB">
        <w:trPr>
          <w:trHeight w:val="285"/>
          <w:jc w:val="center"/>
        </w:trPr>
        <w:tc>
          <w:tcPr>
            <w:tcW w:w="0" w:type="auto"/>
            <w:tcBorders>
              <w:top w:val="single" w:sz="4" w:space="0" w:color="auto"/>
              <w:bottom w:val="single" w:sz="12" w:space="0" w:color="auto"/>
            </w:tcBorders>
            <w:shd w:val="clear" w:color="auto" w:fill="auto"/>
            <w:vAlign w:val="center"/>
          </w:tcPr>
          <w:p w14:paraId="269CA335" w14:textId="77777777" w:rsidR="0052667B" w:rsidRPr="00820EA8" w:rsidRDefault="0052667B" w:rsidP="0052667B">
            <w:pPr>
              <w:spacing w:after="0" w:line="240" w:lineRule="auto"/>
              <w:jc w:val="center"/>
              <w:rPr>
                <w:rFonts w:eastAsia="Calibri" w:cs="Times New Roman"/>
                <w:lang w:val="en-GB"/>
              </w:rPr>
            </w:pPr>
            <w:r w:rsidRPr="00820EA8">
              <w:rPr>
                <w:rFonts w:eastAsia="Calibri" w:cs="Times New Roman"/>
                <w:lang w:val="en-GB"/>
              </w:rPr>
              <w:t>4</w:t>
            </w:r>
          </w:p>
        </w:tc>
        <w:tc>
          <w:tcPr>
            <w:tcW w:w="0" w:type="auto"/>
            <w:tcBorders>
              <w:top w:val="single" w:sz="4" w:space="0" w:color="auto"/>
              <w:bottom w:val="single" w:sz="12" w:space="0" w:color="auto"/>
            </w:tcBorders>
            <w:vAlign w:val="center"/>
          </w:tcPr>
          <w:p w14:paraId="622DEF49" w14:textId="77777777" w:rsidR="0052667B" w:rsidRPr="00820EA8" w:rsidRDefault="0052667B" w:rsidP="0052667B">
            <w:pPr>
              <w:spacing w:after="0" w:line="240" w:lineRule="auto"/>
              <w:rPr>
                <w:rFonts w:eastAsia="Calibri" w:cs="Times New Roman"/>
                <w:lang w:val="en-GB"/>
              </w:rPr>
            </w:pPr>
            <w:r w:rsidRPr="00820EA8">
              <w:rPr>
                <w:rFonts w:eastAsia="Calibri" w:cs="Times New Roman"/>
                <w:lang w:val="en-GB"/>
              </w:rPr>
              <w:t>Ink has fully corroded paper leaving holes</w:t>
            </w:r>
          </w:p>
        </w:tc>
      </w:tr>
    </w:tbl>
    <w:p w14:paraId="50AB632C" w14:textId="4F7D98D5" w:rsidR="0052667B" w:rsidRPr="00820EA8" w:rsidRDefault="0052667B" w:rsidP="00365D3F">
      <w:pPr>
        <w:spacing w:before="240" w:after="0" w:line="480" w:lineRule="auto"/>
        <w:ind w:firstLine="720"/>
        <w:jc w:val="both"/>
        <w:rPr>
          <w:rFonts w:eastAsia="Times New Roman" w:cs="Times New Roman"/>
          <w:sz w:val="24"/>
          <w:szCs w:val="24"/>
          <w:lang w:val="en-GB"/>
        </w:rPr>
      </w:pPr>
      <w:r w:rsidRPr="00820EA8">
        <w:rPr>
          <w:rFonts w:eastAsia="Times New Roman" w:cs="Times New Roman"/>
          <w:sz w:val="24"/>
          <w:szCs w:val="24"/>
          <w:lang w:val="en-GB"/>
        </w:rPr>
        <w:t xml:space="preserve">It has been reported that discolouration and mechanical deterioration (e.g., tears and missing pieces) affect readers/visitors’ subjective judgments of fitness-for-use of a book to different extents </w:t>
      </w:r>
      <w:r w:rsidRPr="00820EA8">
        <w:rPr>
          <w:rFonts w:eastAsia="Times New Roman" w:cs="Times New Roman"/>
          <w:sz w:val="24"/>
          <w:szCs w:val="24"/>
          <w:lang w:val="en-GB"/>
        </w:rPr>
        <w:fldChar w:fldCharType="begin"/>
      </w:r>
      <w:r w:rsidR="002C1BD2" w:rsidRPr="00820EA8">
        <w:rPr>
          <w:rFonts w:eastAsia="Times New Roman" w:cs="Times New Roman"/>
          <w:sz w:val="24"/>
          <w:szCs w:val="24"/>
          <w:lang w:val="en-GB"/>
        </w:rPr>
        <w:instrText xml:space="preserve"> ADDIN ZOTERO_ITEM CSL_CITATION {"citationID":"RqksWwfS","properties":{"formattedCitation":"[1]","plainCitation":"[1]","noteIndex":0},"citationItems":[{"id":2212,"uris":["http://zotero.org/users/5220692/items/NR65MDDZ"],"uri":["http://zotero.org/users/5220692/items/NR65MDDZ"],"itemData":{"id":2212,"type":"article-journal","abstract":"Background: As a result of use of library and archival documents, defined as reading with handling in the context of general access, mechanical degradation (wear and tear) accumulates. In contrast to chemical degradation of paper, the accumulation of wear and tear is less well studied. Previous work explored the threshold of mechanical degradation at which a paper document is no longer considered to be fit for the purpose of use by a reader, while in this paper we explore the rate of accumulation of such damage in the context of object handling. Results: The degree of polymerisation (DP) of historic paper of European origin from mid-19th-mid-20th Century was shown to affect the rate of accumulation of wear and tear. While at DP \\textgreater 800, this accumulation no longer depends on the number of handlings (the process is random), a wear-out function could be developed for documents with DP between 300 and 800. For objects with DP \\textless 300, one large missing piece (i.e. such that contains text) developed on average with each instance of handling, which is why we propose this DP value as a threshold value for safe handling. Conclusions: The developed model of accumulation of large missing pieces per number of handlings of a document depending on DP, enables us to calculate the time required for an object to become unfit for use by readers in the context of general access. In the context of the average frequency of document use at The UK National Archives (Kew), this period is 60 years for the category of papers with DP 300, and 450 years for papers with DP 500. At higher DP values, this period of time increases beyond the long-term planning horizon of 500 years, leading to the conclusion that for such papers, accumulation of wear and tear is not a significant collection management concern. © 2015 Strlič et al.","container-title":"Heritage Science","DOI":"10.1186/s40494-015-0065-y","page":"36","title":"Damage function for historic paper. Part II: Wear and tear","title-short":"Damage function for historic paper. Part II","volume":"3","author":[{"family":"Strlič","given":"M."},{"family":"Grossi","given":"C.M."},{"family":"Dillon","given":"C."},{"family":"Bell","given":"N."},{"family":"Fouseki","given":"K."},{"family":"Brimblecombe","given":"P."},{"family":"Menart","given":"E."},{"family":"Ntanos","given":"K."},{"family":"Lindsay","given":"W."},{"family":"Thickett","given":"D."},{"family":"France","given":"F."},{"family":"De Bruin","given":"G."}],"issued":{"date-parts":[["2015"]]}}}],"schema":"https://github.com/citation-style-language/schema/raw/master/csl-citation.json"} </w:instrText>
      </w:r>
      <w:r w:rsidRPr="00820EA8">
        <w:rPr>
          <w:rFonts w:eastAsia="Times New Roman" w:cs="Times New Roman"/>
          <w:sz w:val="24"/>
          <w:szCs w:val="24"/>
          <w:lang w:val="en-GB"/>
        </w:rPr>
        <w:fldChar w:fldCharType="separate"/>
      </w:r>
      <w:r w:rsidR="002C1BD2" w:rsidRPr="00820EA8">
        <w:rPr>
          <w:rFonts w:cs="Times New Roman"/>
          <w:sz w:val="24"/>
          <w:lang w:val="en-GB"/>
        </w:rPr>
        <w:t>[1]</w:t>
      </w:r>
      <w:r w:rsidRPr="00820EA8">
        <w:rPr>
          <w:rFonts w:eastAsia="Times New Roman" w:cs="Times New Roman"/>
          <w:sz w:val="24"/>
          <w:szCs w:val="24"/>
          <w:lang w:val="en-GB"/>
        </w:rPr>
        <w:fldChar w:fldCharType="end"/>
      </w:r>
      <w:r w:rsidRPr="00820EA8">
        <w:rPr>
          <w:rFonts w:eastAsia="Times New Roman" w:cs="Times New Roman"/>
          <w:sz w:val="24"/>
          <w:szCs w:val="24"/>
          <w:lang w:val="en-GB"/>
        </w:rPr>
        <w:t>. Regardless of the length, if a tear of a book page was observed it was recorded, as well as missing pages or pieces. As far as the latter are concerned, it was also recorded if they included text or not. Discolouration was recorded when the borders appeared darker than the centre of the page. Previous repairs and/or replacements of parts of the books (e.g., tape repair, rebinding, rehousing) were recorded, although this data is not discussed.</w:t>
      </w:r>
    </w:p>
    <w:p w14:paraId="7AF47CC1" w14:textId="05BCD0F5" w:rsidR="0052667B" w:rsidRPr="00820EA8" w:rsidRDefault="0052667B" w:rsidP="0052667B">
      <w:pPr>
        <w:pStyle w:val="Titolo3"/>
      </w:pPr>
      <w:r w:rsidRPr="00820EA8">
        <w:t>Results</w:t>
      </w:r>
    </w:p>
    <w:p w14:paraId="1F700941" w14:textId="2ED55F4F" w:rsidR="0052667B" w:rsidRPr="00820EA8" w:rsidRDefault="0052667B" w:rsidP="0052667B">
      <w:pPr>
        <w:spacing w:after="0" w:line="480" w:lineRule="auto"/>
        <w:ind w:firstLine="720"/>
        <w:jc w:val="both"/>
        <w:rPr>
          <w:rFonts w:eastAsia="Times New Roman" w:cs="Times New Roman"/>
          <w:sz w:val="24"/>
          <w:szCs w:val="24"/>
          <w:lang w:val="en-GB"/>
        </w:rPr>
      </w:pPr>
      <w:r w:rsidRPr="00820EA8">
        <w:rPr>
          <w:rFonts w:eastAsia="Times New Roman" w:cs="Times New Roman"/>
          <w:sz w:val="24"/>
          <w:szCs w:val="24"/>
          <w:lang w:val="en-GB"/>
        </w:rPr>
        <w:t xml:space="preserve">Visual assessment was of interest as it has been observed that visually observable change can influence a reader’s subjective judgement of the object’s fitness-for-use </w:t>
      </w:r>
      <w:r w:rsidRPr="00820EA8">
        <w:rPr>
          <w:rFonts w:eastAsia="Times New Roman" w:cs="Times New Roman"/>
          <w:sz w:val="24"/>
          <w:szCs w:val="24"/>
          <w:lang w:val="en-GB"/>
        </w:rPr>
        <w:fldChar w:fldCharType="begin"/>
      </w:r>
      <w:r w:rsidR="002C1BD2" w:rsidRPr="00820EA8">
        <w:rPr>
          <w:rFonts w:eastAsia="Times New Roman" w:cs="Times New Roman"/>
          <w:sz w:val="24"/>
          <w:szCs w:val="24"/>
          <w:lang w:val="en-GB"/>
        </w:rPr>
        <w:instrText xml:space="preserve"> ADDIN ZOTERO_ITEM CSL_CITATION {"citationID":"dhzDoo15","properties":{"formattedCitation":"[2]","plainCitation":"[2]","noteIndex":0},"citationItems":[{"id":2445,"uris":["http://zotero.org/users/5220692/items/5WLUXLEE"],"uri":["http://zotero.org/users/5220692/items/5WLUXLEE"],"itemData":{"id":2445,"type":"article-journal","abstract":"Background: In heritage science literature and in preventive conservation practice, damage functions are used to model material behaviour and specifically damage (unacceptable change), as a result of the presence of a stressor over time. For such functions to be of use in the context of collection management, it is important to define a range of parameters, such as who the stakeholders are (e.g. the public, curators, researchers), the mode of use (e.g. display, storage, manual handling), the long-term planning horizon (i.e. when in the future it is deemed acceptable for an item to become damaged or unfit for use), and what the threshold of damage is, i.e. extent of physical change assessed as damage. Results: In this paper, we explore the threshold of fitness for use for archival and library paper documents used for display or reading in the context of access in reading rooms by the general public. Change is considered in the context of discolouration and mechanical deterioration such as tears and missing pieces: forms of physical deterioration that accumulate with time in libraries and archives. We also explore whether the threshold fitness for use is defined differently for objects perceived to be of different value, and for different modes of use. The data were collected in a series of fitness-for-use workshops carried out with readers/visitors in heritage institutions using principles of Design of Experiments. Conclusions: The results show that when no particular value is pre-assigned to an archival or library document, missing pieces influenced readers/visitors' subjective judgements of fitness-for-use to a greater extent than did discolouration and tears (which had little or no influence). This finding was most apparent in the display context in comparison to the reading room context. The finding also best applied when readers/visitors were not given a value scenario (in comparison to when they were asked to think about the document having personal or historic value). It can be estimated that, in general, items become unfit when text is evidently missing. However, if the visitor/reader is prompted to think of a document in terms of its historic value, then change in a document has little impact on fitness for use.","container-title":"Heritage Science","DOI":"10.1186/s40494-015-0062-1","ISSN":"2050-7445","language":"en","page":"33","title":"Damage function for historic paper. Part I: Fitness for use","title-short":"Damage function for historic paper. Part I","volume":"3","author":[{"family":"Strlič","given":"Matija"},{"family":"Grossi","given":"Carlota M."},{"family":"Dillon","given":"Catherine"},{"family":"Bell","given":"Nancy"},{"family":"Fouseki","given":"Kalliopi"},{"family":"Brimblecombe","given":"Peter"},{"family":"Menart","given":"Eva"},{"family":"Ntanos","given":"Kostas"},{"family":"Lindsay","given":"William"},{"family":"Thickett","given":"David"},{"family":"France","given":"Fenella"},{"family":"De Bruin","given":"Gerrit"}],"issued":{"date-parts":[["2015",12]]}}}],"schema":"https://github.com/citation-style-language/schema/raw/master/csl-citation.json"} </w:instrText>
      </w:r>
      <w:r w:rsidRPr="00820EA8">
        <w:rPr>
          <w:rFonts w:eastAsia="Times New Roman" w:cs="Times New Roman"/>
          <w:sz w:val="24"/>
          <w:szCs w:val="24"/>
          <w:lang w:val="en-GB"/>
        </w:rPr>
        <w:fldChar w:fldCharType="separate"/>
      </w:r>
      <w:r w:rsidR="002C1BD2" w:rsidRPr="00820EA8">
        <w:rPr>
          <w:rFonts w:cs="Times New Roman"/>
          <w:sz w:val="24"/>
        </w:rPr>
        <w:t>[2]</w:t>
      </w:r>
      <w:r w:rsidRPr="00820EA8">
        <w:rPr>
          <w:rFonts w:eastAsia="Times New Roman" w:cs="Times New Roman"/>
          <w:sz w:val="24"/>
          <w:szCs w:val="24"/>
          <w:lang w:val="en-GB"/>
        </w:rPr>
        <w:fldChar w:fldCharType="end"/>
      </w:r>
      <w:r w:rsidRPr="00820EA8">
        <w:rPr>
          <w:rFonts w:eastAsia="Times New Roman" w:cs="Times New Roman"/>
          <w:sz w:val="24"/>
          <w:szCs w:val="24"/>
          <w:lang w:val="en-GB"/>
        </w:rPr>
        <w:t xml:space="preserve">. Figure </w:t>
      </w:r>
      <w:r w:rsidR="00A24837" w:rsidRPr="00820EA8">
        <w:rPr>
          <w:rFonts w:eastAsia="Times New Roman" w:cs="Times New Roman"/>
          <w:sz w:val="24"/>
          <w:szCs w:val="24"/>
          <w:lang w:val="en-GB"/>
        </w:rPr>
        <w:t>S</w:t>
      </w:r>
      <w:r w:rsidRPr="00820EA8">
        <w:rPr>
          <w:rFonts w:eastAsia="Times New Roman" w:cs="Times New Roman"/>
          <w:sz w:val="24"/>
          <w:szCs w:val="24"/>
          <w:lang w:val="en-GB"/>
        </w:rPr>
        <w:t xml:space="preserve">1 displays several aspects which potentially affect book functionality (e.g., damage that may require remedial action prior to being issued to a </w:t>
      </w:r>
      <w:proofErr w:type="gramStart"/>
      <w:r w:rsidRPr="00820EA8">
        <w:rPr>
          <w:rFonts w:eastAsia="Times New Roman" w:cs="Times New Roman"/>
          <w:sz w:val="24"/>
          <w:szCs w:val="24"/>
          <w:lang w:val="en-GB"/>
        </w:rPr>
        <w:t>reader, or</w:t>
      </w:r>
      <w:proofErr w:type="gramEnd"/>
      <w:r w:rsidRPr="00820EA8">
        <w:rPr>
          <w:rFonts w:eastAsia="Times New Roman" w:cs="Times New Roman"/>
          <w:sz w:val="24"/>
          <w:szCs w:val="24"/>
          <w:lang w:val="en-GB"/>
        </w:rPr>
        <w:t xml:space="preserve"> represent a potential health-and-safety issue) and an aspect (discolouration) which may affect aesthetic appreciation.</w:t>
      </w:r>
    </w:p>
    <w:p w14:paraId="640F3CB9" w14:textId="2F7C8F62" w:rsidR="0052667B" w:rsidRPr="00820EA8" w:rsidRDefault="0052667B" w:rsidP="00224E67">
      <w:pPr>
        <w:spacing w:before="120" w:after="120" w:line="240" w:lineRule="auto"/>
        <w:jc w:val="center"/>
        <w:rPr>
          <w:rFonts w:eastAsia="Times New Roman" w:cs="Times New Roman"/>
          <w:iCs/>
          <w:noProof/>
          <w:color w:val="44546A"/>
          <w:sz w:val="24"/>
          <w:szCs w:val="24"/>
          <w:lang w:val="en-GB" w:eastAsia="en-GB"/>
        </w:rPr>
      </w:pPr>
      <w:r w:rsidRPr="00820EA8">
        <w:rPr>
          <w:rFonts w:eastAsia="Calibri" w:cs="Times New Roman"/>
          <w:iCs/>
          <w:noProof/>
          <w:color w:val="44546A"/>
          <w:sz w:val="18"/>
          <w:szCs w:val="18"/>
          <w:lang w:val="en-GB" w:eastAsia="en-GB"/>
        </w:rPr>
        <w:lastRenderedPageBreak/>
        <w:drawing>
          <wp:anchor distT="0" distB="0" distL="114300" distR="114300" simplePos="0" relativeHeight="251658240" behindDoc="0" locked="0" layoutInCell="1" allowOverlap="1" wp14:anchorId="68733129" wp14:editId="38A9AB39">
            <wp:simplePos x="0" y="0"/>
            <wp:positionH relativeFrom="margin">
              <wp:align>center</wp:align>
            </wp:positionH>
            <wp:positionV relativeFrom="paragraph">
              <wp:posOffset>0</wp:posOffset>
            </wp:positionV>
            <wp:extent cx="2825115" cy="2934335"/>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4-15 at 09.26.50.png"/>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825119" cy="293496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20EA8">
        <w:rPr>
          <w:rFonts w:eastAsia="Calibri" w:cs="Times New Roman"/>
          <w:b/>
          <w:bCs/>
          <w:iCs/>
          <w:color w:val="44546A"/>
          <w:sz w:val="18"/>
          <w:szCs w:val="18"/>
          <w:lang w:val="en-GB"/>
        </w:rPr>
        <w:t xml:space="preserve">Fig. </w:t>
      </w:r>
      <w:r w:rsidR="00695AAC" w:rsidRPr="00820EA8">
        <w:rPr>
          <w:rFonts w:eastAsia="Calibri" w:cs="Times New Roman"/>
          <w:b/>
          <w:bCs/>
          <w:iCs/>
          <w:color w:val="44546A"/>
          <w:sz w:val="18"/>
          <w:szCs w:val="18"/>
          <w:lang w:val="en-GB"/>
        </w:rPr>
        <w:t>S</w:t>
      </w:r>
      <w:r w:rsidRPr="00820EA8">
        <w:rPr>
          <w:rFonts w:eastAsia="Calibri" w:cs="Times New Roman"/>
          <w:b/>
          <w:bCs/>
          <w:iCs/>
          <w:color w:val="44546A"/>
          <w:sz w:val="18"/>
          <w:szCs w:val="18"/>
          <w:lang w:val="en-GB"/>
        </w:rPr>
        <w:fldChar w:fldCharType="begin"/>
      </w:r>
      <w:r w:rsidRPr="00820EA8">
        <w:rPr>
          <w:rFonts w:eastAsia="Calibri" w:cs="Times New Roman"/>
          <w:b/>
          <w:bCs/>
          <w:iCs/>
          <w:color w:val="44546A"/>
          <w:sz w:val="18"/>
          <w:szCs w:val="18"/>
          <w:lang w:val="en-GB"/>
        </w:rPr>
        <w:instrText xml:space="preserve"> SEQ Figure \* ARABIC </w:instrText>
      </w:r>
      <w:r w:rsidRPr="00820EA8">
        <w:rPr>
          <w:rFonts w:eastAsia="Calibri" w:cs="Times New Roman"/>
          <w:b/>
          <w:bCs/>
          <w:iCs/>
          <w:color w:val="44546A"/>
          <w:sz w:val="18"/>
          <w:szCs w:val="18"/>
          <w:lang w:val="en-GB"/>
        </w:rPr>
        <w:fldChar w:fldCharType="separate"/>
      </w:r>
      <w:r w:rsidRPr="00820EA8">
        <w:rPr>
          <w:rFonts w:eastAsia="Calibri" w:cs="Times New Roman"/>
          <w:b/>
          <w:bCs/>
          <w:iCs/>
          <w:noProof/>
          <w:color w:val="44546A"/>
          <w:sz w:val="18"/>
          <w:szCs w:val="18"/>
          <w:lang w:val="en-GB"/>
        </w:rPr>
        <w:t>1</w:t>
      </w:r>
      <w:r w:rsidRPr="00820EA8">
        <w:rPr>
          <w:rFonts w:eastAsia="Calibri" w:cs="Times New Roman"/>
          <w:b/>
          <w:bCs/>
          <w:iCs/>
          <w:color w:val="44546A"/>
          <w:sz w:val="18"/>
          <w:szCs w:val="18"/>
          <w:lang w:val="en-GB"/>
        </w:rPr>
        <w:fldChar w:fldCharType="end"/>
      </w:r>
      <w:r w:rsidRPr="00820EA8">
        <w:rPr>
          <w:rFonts w:eastAsia="Calibri" w:cs="Times New Roman"/>
          <w:b/>
          <w:bCs/>
          <w:iCs/>
          <w:color w:val="44546A"/>
          <w:sz w:val="18"/>
          <w:szCs w:val="18"/>
          <w:lang w:val="en-GB"/>
        </w:rPr>
        <w:t>.</w:t>
      </w:r>
      <w:r w:rsidRPr="00820EA8">
        <w:rPr>
          <w:rFonts w:eastAsia="Calibri" w:cs="Times New Roman"/>
          <w:iCs/>
          <w:color w:val="44546A"/>
          <w:sz w:val="18"/>
          <w:szCs w:val="18"/>
          <w:lang w:val="en-GB"/>
        </w:rPr>
        <w:t xml:space="preserve"> Observed deterioration affecting book functionality and aesthetic appreciation.</w:t>
      </w:r>
    </w:p>
    <w:p w14:paraId="37997573" w14:textId="0B60866C" w:rsidR="0052667B" w:rsidRPr="00820EA8" w:rsidRDefault="0052667B" w:rsidP="0052667B">
      <w:pPr>
        <w:spacing w:after="0" w:line="480" w:lineRule="auto"/>
        <w:ind w:firstLine="720"/>
        <w:jc w:val="both"/>
        <w:rPr>
          <w:rFonts w:eastAsia="Times New Roman" w:cs="Times New Roman"/>
          <w:color w:val="000000"/>
          <w:sz w:val="24"/>
          <w:szCs w:val="24"/>
          <w:lang w:val="en-GB"/>
        </w:rPr>
      </w:pPr>
      <w:r w:rsidRPr="00820EA8">
        <w:rPr>
          <w:rFonts w:eastAsia="Times New Roman" w:cs="Times New Roman"/>
          <w:sz w:val="24"/>
          <w:szCs w:val="24"/>
          <w:lang w:val="en-GB"/>
        </w:rPr>
        <w:t xml:space="preserve">It was observed that structural changes to the text block were more frequent than those to the binding, however this could be due to a considerable number of books (around 65%) of the C collection showing evidence of conservation to the binding structure. </w:t>
      </w:r>
      <w:r w:rsidRPr="00820EA8">
        <w:rPr>
          <w:rFonts w:eastAsia="Times New Roman" w:cs="Times New Roman"/>
          <w:color w:val="000000"/>
          <w:sz w:val="24"/>
          <w:szCs w:val="24"/>
          <w:lang w:val="en-GB"/>
        </w:rPr>
        <w:t xml:space="preserve">The relatively high frequency of tears in the C collection (about 41%) is comparable with that reported by </w:t>
      </w:r>
      <w:proofErr w:type="spellStart"/>
      <w:r w:rsidRPr="00820EA8">
        <w:rPr>
          <w:rFonts w:eastAsia="Times New Roman" w:cs="Times New Roman"/>
          <w:color w:val="000000"/>
          <w:sz w:val="24"/>
          <w:szCs w:val="24"/>
          <w:lang w:val="en-GB"/>
        </w:rPr>
        <w:t>Teper</w:t>
      </w:r>
      <w:proofErr w:type="spellEnd"/>
      <w:r w:rsidRPr="00820EA8">
        <w:rPr>
          <w:rFonts w:eastAsia="Times New Roman" w:cs="Times New Roman"/>
          <w:color w:val="000000"/>
          <w:sz w:val="24"/>
          <w:szCs w:val="24"/>
          <w:lang w:val="en-GB"/>
        </w:rPr>
        <w:t xml:space="preserve"> &amp; </w:t>
      </w:r>
      <w:proofErr w:type="spellStart"/>
      <w:r w:rsidRPr="00820EA8">
        <w:rPr>
          <w:rFonts w:eastAsia="Times New Roman" w:cs="Times New Roman"/>
          <w:color w:val="000000"/>
          <w:sz w:val="24"/>
          <w:szCs w:val="24"/>
          <w:lang w:val="en-GB"/>
        </w:rPr>
        <w:t>Erekson</w:t>
      </w:r>
      <w:proofErr w:type="spellEnd"/>
      <w:r w:rsidRPr="00820EA8">
        <w:rPr>
          <w:rFonts w:eastAsia="Times New Roman" w:cs="Times New Roman"/>
          <w:color w:val="000000"/>
          <w:sz w:val="24"/>
          <w:szCs w:val="24"/>
          <w:lang w:val="en-GB"/>
        </w:rPr>
        <w:t xml:space="preserve"> </w:t>
      </w:r>
      <w:r w:rsidRPr="00820EA8">
        <w:rPr>
          <w:rFonts w:eastAsia="Times New Roman" w:cs="Times New Roman"/>
          <w:color w:val="000000"/>
          <w:sz w:val="24"/>
          <w:szCs w:val="24"/>
          <w:lang w:val="en-GB"/>
        </w:rPr>
        <w:fldChar w:fldCharType="begin"/>
      </w:r>
      <w:r w:rsidR="002C1BD2" w:rsidRPr="00820EA8">
        <w:rPr>
          <w:rFonts w:eastAsia="Times New Roman" w:cs="Times New Roman"/>
          <w:color w:val="000000"/>
          <w:sz w:val="24"/>
          <w:szCs w:val="24"/>
          <w:lang w:val="en-GB"/>
        </w:rPr>
        <w:instrText xml:space="preserve"> ADDIN ZOTERO_ITEM CSL_CITATION {"citationID":"k3ElPQ16","properties":{"formattedCitation":"[3]","plainCitation":"[3]","noteIndex":0},"citationItems":[{"id":2085,"uris":["http://zotero.org/users/5220692/items/NNUYKAXA"],"uri":["http://zotero.org/users/5220692/items/NNUYKAXA"],"itemData":{"id":2085,"type":"article-journal","abstract":"In response to the Association of Research Libraries' Special Collections Task Force's interest in \"hidden\" special collection materials, the University of Illinois at Urbana-Champaign's Conservation Unit undertook a conservation needs survey of the Rare Book and Special Collections Library's backlog of uncataloged rare book materials. The survey evaluated the binding structure; physical, biological, and chemical damage; and unique features of more than 4,000 randomly sampled pieces front the collection. The information gathered would aid in planning for the integration of immediate preservation actions with future cataloging projects and to better direct future conservation efforts. This paper details the development of the survey, interprets the results, and suggests methodologies for assessing other rare collections as well as approaches to integrating the identified immediate preservation needs with cataloging and processing projects.","container-title":"Libr. Res. Tech. Serv.","DOI":"10.5860/lrts.50n3.200","ISSN":"0024-2527","issue":"3","language":"English","page":"200–213","title":"The condition of our \"hidden\" rare book collections - A conservation survey at the University of Illinois at Urbana-Champaign","volume":"50","author":[{"family":"Teper","given":"J. H."},{"family":"Erekson","given":"S. M."}],"issued":{"date-parts":[["2006",7]]}}}],"schema":"https://github.com/citation-style-language/schema/raw/master/csl-citation.json"} </w:instrText>
      </w:r>
      <w:r w:rsidRPr="00820EA8">
        <w:rPr>
          <w:rFonts w:eastAsia="Times New Roman" w:cs="Times New Roman"/>
          <w:color w:val="000000"/>
          <w:sz w:val="24"/>
          <w:szCs w:val="24"/>
          <w:lang w:val="en-GB"/>
        </w:rPr>
        <w:fldChar w:fldCharType="separate"/>
      </w:r>
      <w:r w:rsidR="002C1BD2" w:rsidRPr="00820EA8">
        <w:rPr>
          <w:rFonts w:cs="Times New Roman"/>
          <w:sz w:val="24"/>
          <w:lang w:val="en-GB"/>
        </w:rPr>
        <w:t>[3]</w:t>
      </w:r>
      <w:r w:rsidRPr="00820EA8">
        <w:rPr>
          <w:rFonts w:eastAsia="Times New Roman" w:cs="Times New Roman"/>
          <w:color w:val="000000"/>
          <w:sz w:val="24"/>
          <w:szCs w:val="24"/>
          <w:lang w:val="en-GB"/>
        </w:rPr>
        <w:fldChar w:fldCharType="end"/>
      </w:r>
      <w:r w:rsidRPr="00820EA8">
        <w:rPr>
          <w:rFonts w:eastAsia="Times New Roman" w:cs="Times New Roman"/>
          <w:color w:val="000000"/>
          <w:sz w:val="24"/>
          <w:szCs w:val="24"/>
          <w:lang w:val="en-GB"/>
        </w:rPr>
        <w:t xml:space="preserve"> for 16th and 17th-century books. Most of the tears in both collections are localised along the edges of the pages, only 5% and 13% being extended to the text in the C and NC collection, respectively. The identification of pages with missing pieces is important as it has been demonstrated that large missing pieces including text may make a document unfit for use, unless the document has a strong historic and cultural value, in which case such deterioration is generally viewed with more tolerance </w:t>
      </w:r>
      <w:r w:rsidRPr="00820EA8">
        <w:rPr>
          <w:rFonts w:eastAsia="Times New Roman" w:cs="Times New Roman"/>
          <w:color w:val="000000"/>
          <w:sz w:val="24"/>
          <w:szCs w:val="24"/>
          <w:lang w:val="en-GB"/>
        </w:rPr>
        <w:fldChar w:fldCharType="begin"/>
      </w:r>
      <w:r w:rsidR="002C1BD2" w:rsidRPr="00820EA8">
        <w:rPr>
          <w:rFonts w:eastAsia="Times New Roman" w:cs="Times New Roman"/>
          <w:color w:val="000000"/>
          <w:sz w:val="24"/>
          <w:szCs w:val="24"/>
          <w:lang w:val="en-GB"/>
        </w:rPr>
        <w:instrText xml:space="preserve"> ADDIN ZOTERO_ITEM CSL_CITATION {"citationID":"rBM5jSdr","properties":{"formattedCitation":"[2]","plainCitation":"[2]","noteIndex":0},"citationItems":[{"id":2445,"uris":["http://zotero.org/users/5220692/items/5WLUXLEE"],"uri":["http://zotero.org/users/5220692/items/5WLUXLEE"],"itemData":{"id":2445,"type":"article-journal","abstract":"Background: In heritage science literature and in preventive conservation practice, damage functions are used to model material behaviour and specifically damage (unacceptable change), as a result of the presence of a stressor over time. For such functions to be of use in the context of collection management, it is important to define a range of parameters, such as who the stakeholders are (e.g. the public, curators, researchers), the mode of use (e.g. display, storage, manual handling), the long-term planning horizon (i.e. when in the future it is deemed acceptable for an item to become damaged or unfit for use), and what the threshold of damage is, i.e. extent of physical change assessed as damage. Results: In this paper, we explore the threshold of fitness for use for archival and library paper documents used for display or reading in the context of access in reading rooms by the general public. Change is considered in the context of discolouration and mechanical deterioration such as tears and missing pieces: forms of physical deterioration that accumulate with time in libraries and archives. We also explore whether the threshold fitness for use is defined differently for objects perceived to be of different value, and for different modes of use. The data were collected in a series of fitness-for-use workshops carried out with readers/visitors in heritage institutions using principles of Design of Experiments. Conclusions: The results show that when no particular value is pre-assigned to an archival or library document, missing pieces influenced readers/visitors' subjective judgements of fitness-for-use to a greater extent than did discolouration and tears (which had little or no influence). This finding was most apparent in the display context in comparison to the reading room context. The finding also best applied when readers/visitors were not given a value scenario (in comparison to when they were asked to think about the document having personal or historic value). It can be estimated that, in general, items become unfit when text is evidently missing. However, if the visitor/reader is prompted to think of a document in terms of its historic value, then change in a document has little impact on fitness for use.","container-title":"Heritage Science","DOI":"10.1186/s40494-015-0062-1","ISSN":"2050-7445","language":"en","page":"33","title":"Damage function for historic paper. Part I: Fitness for use","title-short":"Damage function for historic paper. Part I","volume":"3","author":[{"family":"Strlič","given":"Matija"},{"family":"Grossi","given":"Carlota M."},{"family":"Dillon","given":"Catherine"},{"family":"Bell","given":"Nancy"},{"family":"Fouseki","given":"Kalliopi"},{"family":"Brimblecombe","given":"Peter"},{"family":"Menart","given":"Eva"},{"family":"Ntanos","given":"Kostas"},{"family":"Lindsay","given":"William"},{"family":"Thickett","given":"David"},{"family":"France","given":"Fenella"},{"family":"De Bruin","given":"Gerrit"}],"issued":{"date-parts":[["2015",12]]}}}],"schema":"https://github.com/citation-style-language/schema/raw/master/csl-citation.json"} </w:instrText>
      </w:r>
      <w:r w:rsidRPr="00820EA8">
        <w:rPr>
          <w:rFonts w:eastAsia="Times New Roman" w:cs="Times New Roman"/>
          <w:color w:val="000000"/>
          <w:sz w:val="24"/>
          <w:szCs w:val="24"/>
          <w:lang w:val="en-GB"/>
        </w:rPr>
        <w:fldChar w:fldCharType="separate"/>
      </w:r>
      <w:r w:rsidR="002C1BD2" w:rsidRPr="00820EA8">
        <w:rPr>
          <w:rFonts w:cs="Times New Roman"/>
          <w:sz w:val="24"/>
          <w:lang w:val="en-GB"/>
        </w:rPr>
        <w:t>[2]</w:t>
      </w:r>
      <w:r w:rsidRPr="00820EA8">
        <w:rPr>
          <w:rFonts w:eastAsia="Times New Roman" w:cs="Times New Roman"/>
          <w:color w:val="000000"/>
          <w:sz w:val="24"/>
          <w:szCs w:val="24"/>
          <w:lang w:val="en-GB"/>
        </w:rPr>
        <w:fldChar w:fldCharType="end"/>
      </w:r>
      <w:r w:rsidRPr="00820EA8">
        <w:rPr>
          <w:rFonts w:eastAsia="Times New Roman" w:cs="Times New Roman"/>
          <w:color w:val="000000"/>
          <w:sz w:val="24"/>
          <w:szCs w:val="24"/>
          <w:lang w:val="en-GB"/>
        </w:rPr>
        <w:t xml:space="preserve">. About 23% of the C collection books have missing pieces, 13% including text. About 16% of the books of the NC collection have missing pieces, only 3% including text. </w:t>
      </w:r>
    </w:p>
    <w:p w14:paraId="153B9A5E" w14:textId="53053A9A" w:rsidR="0052667B" w:rsidRPr="00820EA8" w:rsidRDefault="0052667B" w:rsidP="0052667B">
      <w:pPr>
        <w:spacing w:after="0" w:line="480" w:lineRule="auto"/>
        <w:ind w:firstLine="720"/>
        <w:jc w:val="both"/>
        <w:rPr>
          <w:rFonts w:eastAsia="Times New Roman" w:cs="Times New Roman"/>
          <w:sz w:val="24"/>
          <w:szCs w:val="24"/>
          <w:lang w:val="en-GB"/>
        </w:rPr>
      </w:pPr>
      <w:r w:rsidRPr="00820EA8">
        <w:rPr>
          <w:rFonts w:eastAsia="Times New Roman" w:cs="Times New Roman"/>
          <w:sz w:val="24"/>
          <w:szCs w:val="24"/>
          <w:lang w:val="en-GB"/>
        </w:rPr>
        <w:t xml:space="preserve">Figure </w:t>
      </w:r>
      <w:r w:rsidR="00A24837" w:rsidRPr="00820EA8">
        <w:rPr>
          <w:rFonts w:eastAsia="Times New Roman" w:cs="Times New Roman"/>
          <w:sz w:val="24"/>
          <w:szCs w:val="24"/>
          <w:lang w:val="en-GB"/>
        </w:rPr>
        <w:t>S</w:t>
      </w:r>
      <w:r w:rsidRPr="00820EA8">
        <w:rPr>
          <w:rFonts w:eastAsia="Times New Roman" w:cs="Times New Roman"/>
          <w:sz w:val="24"/>
          <w:szCs w:val="24"/>
          <w:lang w:val="en-GB"/>
        </w:rPr>
        <w:t xml:space="preserve">2 shows the structural and aesthetic changes, visually observed, per age intervals for both collections. </w:t>
      </w:r>
    </w:p>
    <w:p w14:paraId="2462926B" w14:textId="77777777" w:rsidR="00EA09D2" w:rsidRDefault="0052667B" w:rsidP="002A463A">
      <w:pPr>
        <w:spacing w:before="120" w:after="360" w:line="240" w:lineRule="auto"/>
        <w:jc w:val="center"/>
        <w:rPr>
          <w:rFonts w:eastAsia="Calibri" w:cs="Times New Roman"/>
          <w:b/>
          <w:bCs/>
          <w:iCs/>
          <w:color w:val="44546A"/>
          <w:sz w:val="18"/>
          <w:szCs w:val="18"/>
          <w:lang w:val="en-GB"/>
        </w:rPr>
      </w:pPr>
      <w:r w:rsidRPr="00820EA8">
        <w:rPr>
          <w:rFonts w:eastAsia="Calibri" w:cs="Times New Roman"/>
          <w:iCs/>
          <w:noProof/>
          <w:color w:val="44546A"/>
          <w:sz w:val="18"/>
          <w:szCs w:val="18"/>
          <w:lang w:val="en-GB"/>
        </w:rPr>
        <w:lastRenderedPageBreak/>
        <w:drawing>
          <wp:inline distT="0" distB="0" distL="0" distR="0" wp14:anchorId="648641BC" wp14:editId="3D3C1B27">
            <wp:extent cx="5998076" cy="2764435"/>
            <wp:effectExtent l="0" t="0" r="3175"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98076" cy="2764435"/>
                    </a:xfrm>
                    <a:prstGeom prst="rect">
                      <a:avLst/>
                    </a:prstGeom>
                  </pic:spPr>
                </pic:pic>
              </a:graphicData>
            </a:graphic>
          </wp:inline>
        </w:drawing>
      </w:r>
    </w:p>
    <w:p w14:paraId="7F732375" w14:textId="096FE2F5" w:rsidR="0052667B" w:rsidRPr="002A463A" w:rsidRDefault="0052667B" w:rsidP="008F6B84">
      <w:pPr>
        <w:spacing w:before="120" w:after="120" w:line="240" w:lineRule="auto"/>
        <w:jc w:val="both"/>
        <w:rPr>
          <w:rFonts w:eastAsia="Calibri" w:cs="Times New Roman"/>
          <w:b/>
          <w:bCs/>
          <w:iCs/>
          <w:color w:val="44546A"/>
          <w:sz w:val="18"/>
          <w:szCs w:val="18"/>
          <w:lang w:val="en-GB"/>
        </w:rPr>
      </w:pPr>
      <w:r w:rsidRPr="00820EA8">
        <w:rPr>
          <w:rFonts w:eastAsia="Calibri" w:cs="Times New Roman"/>
          <w:b/>
          <w:bCs/>
          <w:iCs/>
          <w:color w:val="44546A"/>
          <w:sz w:val="18"/>
          <w:szCs w:val="18"/>
          <w:lang w:val="en-GB"/>
        </w:rPr>
        <w:t xml:space="preserve">Fig. </w:t>
      </w:r>
      <w:r w:rsidR="00695AAC" w:rsidRPr="00820EA8">
        <w:rPr>
          <w:rFonts w:eastAsia="Calibri" w:cs="Times New Roman"/>
          <w:b/>
          <w:bCs/>
          <w:iCs/>
          <w:color w:val="44546A"/>
          <w:sz w:val="18"/>
          <w:szCs w:val="18"/>
          <w:lang w:val="en-GB"/>
        </w:rPr>
        <w:t>S</w:t>
      </w:r>
      <w:r w:rsidRPr="00820EA8">
        <w:rPr>
          <w:rFonts w:eastAsia="Calibri" w:cs="Times New Roman"/>
          <w:b/>
          <w:bCs/>
          <w:iCs/>
          <w:color w:val="44546A"/>
          <w:sz w:val="18"/>
          <w:szCs w:val="18"/>
          <w:lang w:val="en-GB"/>
        </w:rPr>
        <w:fldChar w:fldCharType="begin"/>
      </w:r>
      <w:r w:rsidRPr="00820EA8">
        <w:rPr>
          <w:rFonts w:eastAsia="Calibri" w:cs="Times New Roman"/>
          <w:b/>
          <w:bCs/>
          <w:iCs/>
          <w:color w:val="44546A"/>
          <w:sz w:val="18"/>
          <w:szCs w:val="18"/>
          <w:lang w:val="en-GB"/>
        </w:rPr>
        <w:instrText xml:space="preserve"> SEQ Figure \* ARABIC </w:instrText>
      </w:r>
      <w:r w:rsidRPr="00820EA8">
        <w:rPr>
          <w:rFonts w:eastAsia="Calibri" w:cs="Times New Roman"/>
          <w:b/>
          <w:bCs/>
          <w:iCs/>
          <w:color w:val="44546A"/>
          <w:sz w:val="18"/>
          <w:szCs w:val="18"/>
          <w:lang w:val="en-GB"/>
        </w:rPr>
        <w:fldChar w:fldCharType="separate"/>
      </w:r>
      <w:r w:rsidRPr="00820EA8">
        <w:rPr>
          <w:rFonts w:eastAsia="Calibri" w:cs="Times New Roman"/>
          <w:b/>
          <w:bCs/>
          <w:iCs/>
          <w:noProof/>
          <w:color w:val="44546A"/>
          <w:sz w:val="18"/>
          <w:szCs w:val="18"/>
          <w:lang w:val="en-GB"/>
        </w:rPr>
        <w:t>2</w:t>
      </w:r>
      <w:r w:rsidRPr="00820EA8">
        <w:rPr>
          <w:rFonts w:eastAsia="Calibri" w:cs="Times New Roman"/>
          <w:b/>
          <w:bCs/>
          <w:iCs/>
          <w:color w:val="44546A"/>
          <w:sz w:val="18"/>
          <w:szCs w:val="18"/>
          <w:lang w:val="en-GB"/>
        </w:rPr>
        <w:fldChar w:fldCharType="end"/>
      </w:r>
      <w:r w:rsidRPr="00820EA8">
        <w:rPr>
          <w:rFonts w:eastAsia="Calibri" w:cs="Times New Roman"/>
          <w:b/>
          <w:bCs/>
          <w:iCs/>
          <w:color w:val="44546A"/>
          <w:sz w:val="18"/>
          <w:szCs w:val="18"/>
          <w:lang w:val="en-GB"/>
        </w:rPr>
        <w:t>.</w:t>
      </w:r>
      <w:r w:rsidRPr="00820EA8">
        <w:rPr>
          <w:rFonts w:eastAsia="Calibri" w:cs="Times New Roman"/>
          <w:iCs/>
          <w:color w:val="44546A"/>
          <w:sz w:val="18"/>
          <w:szCs w:val="18"/>
          <w:lang w:val="en-GB"/>
        </w:rPr>
        <w:t xml:space="preserve"> Observed deterioration affecting book functionality and aesthetic appreciation per age bracket in the C (left) and NC (right) collection.</w:t>
      </w:r>
    </w:p>
    <w:p w14:paraId="7F2446D2" w14:textId="34F340B8" w:rsidR="0052667B" w:rsidRPr="00820EA8" w:rsidRDefault="0052667B" w:rsidP="0052667B">
      <w:pPr>
        <w:spacing w:after="0" w:line="480" w:lineRule="auto"/>
        <w:ind w:firstLine="720"/>
        <w:jc w:val="both"/>
        <w:rPr>
          <w:rFonts w:eastAsia="Times New Roman" w:cs="Times New Roman"/>
          <w:sz w:val="24"/>
          <w:szCs w:val="24"/>
          <w:lang w:val="en-GB"/>
        </w:rPr>
      </w:pPr>
      <w:r w:rsidRPr="00820EA8">
        <w:rPr>
          <w:rFonts w:eastAsia="Times New Roman" w:cs="Times New Roman"/>
          <w:sz w:val="24"/>
          <w:szCs w:val="24"/>
          <w:lang w:val="en-GB"/>
        </w:rPr>
        <w:t xml:space="preserve">Books with tears are more frequent than those with missing pieces in both collections for all age intervals. These results are in line with those reported by </w:t>
      </w:r>
      <w:proofErr w:type="spellStart"/>
      <w:r w:rsidRPr="00820EA8">
        <w:rPr>
          <w:rFonts w:eastAsia="Times New Roman" w:cs="Times New Roman"/>
          <w:sz w:val="24"/>
          <w:szCs w:val="24"/>
          <w:lang w:val="en-GB"/>
        </w:rPr>
        <w:t>Strlič</w:t>
      </w:r>
      <w:proofErr w:type="spellEnd"/>
      <w:r w:rsidRPr="00820EA8">
        <w:rPr>
          <w:rFonts w:eastAsia="Times New Roman" w:cs="Times New Roman"/>
          <w:sz w:val="24"/>
          <w:szCs w:val="24"/>
          <w:lang w:val="en-GB"/>
        </w:rPr>
        <w:t xml:space="preserve"> et al. </w:t>
      </w:r>
      <w:r w:rsidRPr="00820EA8">
        <w:rPr>
          <w:rFonts w:eastAsia="Times New Roman" w:cs="Times New Roman"/>
          <w:sz w:val="24"/>
          <w:szCs w:val="24"/>
          <w:lang w:val="en-GB"/>
        </w:rPr>
        <w:fldChar w:fldCharType="begin"/>
      </w:r>
      <w:r w:rsidR="002C1BD2" w:rsidRPr="00820EA8">
        <w:rPr>
          <w:rFonts w:eastAsia="Times New Roman" w:cs="Times New Roman"/>
          <w:sz w:val="24"/>
          <w:szCs w:val="24"/>
          <w:lang w:val="en-GB"/>
        </w:rPr>
        <w:instrText xml:space="preserve"> ADDIN ZOTERO_ITEM CSL_CITATION {"citationID":"S7VVNCd1","properties":{"formattedCitation":"[1]","plainCitation":"[1]","noteIndex":0},"citationItems":[{"id":2212,"uris":["http://zotero.org/users/5220692/items/NR65MDDZ"],"uri":["http://zotero.org/users/5220692/items/NR65MDDZ"],"itemData":{"id":2212,"type":"article-journal","abstract":"Background: As a result of use of library and archival documents, defined as reading with handling in the context of general access, mechanical degradation (wear and tear) accumulates. In contrast to chemical degradation of paper, the accumulation of wear and tear is less well studied. Previous work explored the threshold of mechanical degradation at which a paper document is no longer considered to be fit for the purpose of use by a reader, while in this paper we explore the rate of accumulation of such damage in the context of object handling. Results: The degree of polymerisation (DP) of historic paper of European origin from mid-19th-mid-20th Century was shown to affect the rate of accumulation of wear and tear. While at DP \\textgreater 800, this accumulation no longer depends on the number of handlings (the process is random), a wear-out function could be developed for documents with DP between 300 and 800. For objects with DP \\textless 300, one large missing piece (i.e. such that contains text) developed on average with each instance of handling, which is why we propose this DP value as a threshold value for safe handling. Conclusions: The developed model of accumulation of large missing pieces per number of handlings of a document depending on DP, enables us to calculate the time required for an object to become unfit for use by readers in the context of general access. In the context of the average frequency of document use at The UK National Archives (Kew), this period is 60 years for the category of papers with DP 300, and 450 years for papers with DP 500. At higher DP values, this period of time increases beyond the long-term planning horizon of 500 years, leading to the conclusion that for such papers, accumulation of wear and tear is not a significant collection management concern. © 2015 Strlič et al.","container-title":"Heritage Science","DOI":"10.1186/s40494-015-0065-y","page":"36","title":"Damage function for historic paper. Part II: Wear and tear","title-short":"Damage function for historic paper. Part II","volume":"3","author":[{"family":"Strlič","given":"M."},{"family":"Grossi","given":"C.M."},{"family":"Dillon","given":"C."},{"family":"Bell","given":"N."},{"family":"Fouseki","given":"K."},{"family":"Brimblecombe","given":"P."},{"family":"Menart","given":"E."},{"family":"Ntanos","given":"K."},{"family":"Lindsay","given":"W."},{"family":"Thickett","given":"D."},{"family":"France","given":"F."},{"family":"De Bruin","given":"G."}],"issued":{"date-parts":[["2015"]]}}}],"schema":"https://github.com/citation-style-language/schema/raw/master/csl-citation.json"} </w:instrText>
      </w:r>
      <w:r w:rsidRPr="00820EA8">
        <w:rPr>
          <w:rFonts w:eastAsia="Times New Roman" w:cs="Times New Roman"/>
          <w:sz w:val="24"/>
          <w:szCs w:val="24"/>
          <w:lang w:val="en-GB"/>
        </w:rPr>
        <w:fldChar w:fldCharType="separate"/>
      </w:r>
      <w:r w:rsidR="002C1BD2" w:rsidRPr="00820EA8">
        <w:rPr>
          <w:rFonts w:cs="Times New Roman"/>
          <w:sz w:val="24"/>
          <w:lang w:val="en-GB"/>
        </w:rPr>
        <w:t>[1]</w:t>
      </w:r>
      <w:r w:rsidRPr="00820EA8">
        <w:rPr>
          <w:rFonts w:eastAsia="Times New Roman" w:cs="Times New Roman"/>
          <w:sz w:val="24"/>
          <w:szCs w:val="24"/>
          <w:lang w:val="en-GB"/>
        </w:rPr>
        <w:fldChar w:fldCharType="end"/>
      </w:r>
      <w:r w:rsidRPr="00820EA8">
        <w:rPr>
          <w:rFonts w:eastAsia="Times New Roman" w:cs="Times New Roman"/>
          <w:sz w:val="24"/>
          <w:szCs w:val="24"/>
          <w:lang w:val="en-GB"/>
        </w:rPr>
        <w:t xml:space="preserve"> according to which missing pieces develop as a consequence of tears. The high level of biological damage (suspected mould and pest damage) observed in both collections, especially among the most ancient books, </w:t>
      </w:r>
      <w:r w:rsidR="005954C0" w:rsidRPr="00820EA8">
        <w:rPr>
          <w:rFonts w:eastAsia="Times New Roman" w:cs="Times New Roman"/>
          <w:sz w:val="24"/>
          <w:szCs w:val="24"/>
          <w:lang w:val="en-GB"/>
        </w:rPr>
        <w:t xml:space="preserve">may </w:t>
      </w:r>
      <w:r w:rsidRPr="00820EA8">
        <w:rPr>
          <w:rFonts w:eastAsia="Times New Roman" w:cs="Times New Roman"/>
          <w:sz w:val="24"/>
          <w:szCs w:val="24"/>
          <w:lang w:val="en-GB"/>
        </w:rPr>
        <w:t xml:space="preserve">indicate improper past or present storage environments. Discolouration in the form of darkened borders of the text block is much more evident in the NC collection than in the C collection. The 19th and 20th century books of the NC collection contain higher levels of groundwood paper (as reported from the </w:t>
      </w:r>
      <w:proofErr w:type="spellStart"/>
      <w:r w:rsidRPr="00820EA8">
        <w:rPr>
          <w:rFonts w:eastAsia="Times New Roman" w:cs="Times New Roman"/>
          <w:sz w:val="24"/>
          <w:szCs w:val="24"/>
          <w:lang w:val="en-GB"/>
        </w:rPr>
        <w:t>SurveNIR</w:t>
      </w:r>
      <w:proofErr w:type="spellEnd"/>
      <w:r w:rsidRPr="00820EA8">
        <w:rPr>
          <w:rFonts w:eastAsia="Times New Roman" w:cs="Times New Roman"/>
          <w:sz w:val="24"/>
          <w:szCs w:val="24"/>
          <w:lang w:val="en-GB"/>
        </w:rPr>
        <w:t xml:space="preserve"> results) which is well known to be more sensitive to yellowing </w:t>
      </w:r>
      <w:r w:rsidRPr="00820EA8">
        <w:rPr>
          <w:rFonts w:eastAsia="Times New Roman" w:cs="Times New Roman"/>
          <w:sz w:val="24"/>
          <w:szCs w:val="24"/>
          <w:lang w:val="en-GB"/>
        </w:rPr>
        <w:fldChar w:fldCharType="begin"/>
      </w:r>
      <w:r w:rsidR="002C1BD2" w:rsidRPr="00820EA8">
        <w:rPr>
          <w:rFonts w:eastAsia="Times New Roman" w:cs="Times New Roman"/>
          <w:sz w:val="24"/>
          <w:szCs w:val="24"/>
          <w:lang w:val="en-GB"/>
        </w:rPr>
        <w:instrText xml:space="preserve"> ADDIN ZOTERO_ITEM CSL_CITATION {"citationID":"J1lS7bbF","properties":{"formattedCitation":"[4]","plainCitation":"[4]","noteIndex":0},"citationItems":[{"id":1998,"uris":["http://zotero.org/users/5220692/items/ZBQWYKVA"],"uri":["http://zotero.org/users/5220692/items/ZBQWYKVA"],"itemData":{"id":1998,"type":"article-journal","container-title":"Restaurator","DOI":"10.1515/rest.1998.19.3.135","issue":"3","page":"135–154","title":"The impact of lignin on paper permanence: A comprehensive study of the ageing behaviour of handsheets and commercial paper samples","title-short":"The impact of lignin on paper permanence","volume":"19","author":[{"family":"Bégin","given":"P."},{"family":"Deschâtelets","given":"S."},{"family":"Grattan","given":"D."},{"family":"Gurnagul","given":"N."},{"family":"Iraci","given":"J."},{"family":"Kaminska","given":"E."},{"family":"Woods","given":"D."},{"family":"Zou","given":"X."}],"issued":{"date-parts":[["1998"]]}}}],"schema":"https://github.com/citation-style-language/schema/raw/master/csl-citation.json"} </w:instrText>
      </w:r>
      <w:r w:rsidRPr="00820EA8">
        <w:rPr>
          <w:rFonts w:eastAsia="Times New Roman" w:cs="Times New Roman"/>
          <w:sz w:val="24"/>
          <w:szCs w:val="24"/>
          <w:lang w:val="en-GB"/>
        </w:rPr>
        <w:fldChar w:fldCharType="separate"/>
      </w:r>
      <w:r w:rsidR="002C1BD2" w:rsidRPr="00820EA8">
        <w:rPr>
          <w:rFonts w:cs="Times New Roman"/>
          <w:sz w:val="24"/>
          <w:lang w:val="en-GB"/>
        </w:rPr>
        <w:t>[4]</w:t>
      </w:r>
      <w:r w:rsidRPr="00820EA8">
        <w:rPr>
          <w:rFonts w:eastAsia="Times New Roman" w:cs="Times New Roman"/>
          <w:sz w:val="24"/>
          <w:szCs w:val="24"/>
          <w:lang w:val="en-GB"/>
        </w:rPr>
        <w:fldChar w:fldCharType="end"/>
      </w:r>
      <w:r w:rsidRPr="00820EA8">
        <w:rPr>
          <w:rFonts w:eastAsia="Times New Roman" w:cs="Times New Roman"/>
          <w:sz w:val="24"/>
          <w:szCs w:val="24"/>
          <w:lang w:val="en-GB"/>
        </w:rPr>
        <w:t xml:space="preserve">. </w:t>
      </w:r>
    </w:p>
    <w:p w14:paraId="2DBDE84B" w14:textId="1A248930" w:rsidR="0052667B" w:rsidRPr="00820EA8" w:rsidRDefault="0052667B" w:rsidP="0052667B">
      <w:pPr>
        <w:spacing w:after="0" w:line="480" w:lineRule="auto"/>
        <w:ind w:firstLine="720"/>
        <w:jc w:val="both"/>
        <w:rPr>
          <w:rFonts w:eastAsia="Times New Roman" w:cs="Times New Roman"/>
          <w:sz w:val="24"/>
          <w:szCs w:val="24"/>
          <w:lang w:val="en-GB"/>
        </w:rPr>
      </w:pPr>
      <w:r w:rsidRPr="00820EA8">
        <w:rPr>
          <w:rFonts w:eastAsia="Times New Roman" w:cs="Times New Roman"/>
          <w:sz w:val="24"/>
          <w:szCs w:val="24"/>
          <w:lang w:val="en-GB"/>
        </w:rPr>
        <w:t xml:space="preserve">Several types of ink were found during the assessment and were classified according to colour; brown manuscript ink (assumed to be iron gall ink, as it was the most popular ink used from medieval times to the first half of the 20th century), coloured manuscript ink and printing ink (typically black). In the incunabula of the C collection, it was common to find all </w:t>
      </w:r>
      <w:r w:rsidR="005954C0" w:rsidRPr="00820EA8">
        <w:rPr>
          <w:rFonts w:eastAsia="Times New Roman" w:cs="Times New Roman"/>
          <w:sz w:val="24"/>
          <w:szCs w:val="24"/>
          <w:lang w:val="en-GB"/>
        </w:rPr>
        <w:t xml:space="preserve">three </w:t>
      </w:r>
      <w:r w:rsidRPr="00820EA8">
        <w:rPr>
          <w:rFonts w:eastAsia="Times New Roman" w:cs="Times New Roman"/>
          <w:sz w:val="24"/>
          <w:szCs w:val="24"/>
          <w:lang w:val="en-GB"/>
        </w:rPr>
        <w:t xml:space="preserve">ink types in a single item. As reported in Table </w:t>
      </w:r>
      <w:r w:rsidR="00A24837" w:rsidRPr="00820EA8">
        <w:rPr>
          <w:rFonts w:eastAsia="Times New Roman" w:cs="Times New Roman"/>
          <w:sz w:val="24"/>
          <w:szCs w:val="24"/>
          <w:lang w:val="en-GB"/>
        </w:rPr>
        <w:t>S1</w:t>
      </w:r>
      <w:r w:rsidRPr="00820EA8">
        <w:rPr>
          <w:rFonts w:eastAsia="Times New Roman" w:cs="Times New Roman"/>
          <w:sz w:val="24"/>
          <w:szCs w:val="24"/>
          <w:lang w:val="en-GB"/>
        </w:rPr>
        <w:t xml:space="preserve">, ink transfer through the page was classified according to a four-level scale, level 4 indicating the most deteriorated objects (see Fig. </w:t>
      </w:r>
      <w:r w:rsidR="00A24837" w:rsidRPr="00820EA8">
        <w:rPr>
          <w:rFonts w:eastAsia="Times New Roman" w:cs="Times New Roman"/>
          <w:sz w:val="24"/>
          <w:szCs w:val="24"/>
          <w:lang w:val="en-GB"/>
        </w:rPr>
        <w:t>S</w:t>
      </w:r>
      <w:r w:rsidRPr="00820EA8">
        <w:rPr>
          <w:rFonts w:eastAsia="Times New Roman" w:cs="Times New Roman"/>
          <w:sz w:val="24"/>
          <w:szCs w:val="24"/>
          <w:lang w:val="en-GB"/>
        </w:rPr>
        <w:t>3).</w:t>
      </w:r>
    </w:p>
    <w:p w14:paraId="37B8590D" w14:textId="2A52870B" w:rsidR="0052667B" w:rsidRPr="00820EA8" w:rsidRDefault="0052667B" w:rsidP="008F6B84">
      <w:pPr>
        <w:spacing w:before="120" w:after="120" w:line="240" w:lineRule="auto"/>
        <w:jc w:val="both"/>
        <w:rPr>
          <w:rFonts w:eastAsia="Calibri" w:cs="Times New Roman"/>
          <w:iCs/>
          <w:color w:val="44546A"/>
          <w:sz w:val="18"/>
          <w:szCs w:val="18"/>
          <w:lang w:val="en-GB"/>
        </w:rPr>
      </w:pPr>
      <w:r w:rsidRPr="00820EA8">
        <w:rPr>
          <w:rFonts w:eastAsia="Calibri" w:cs="Times New Roman"/>
          <w:iCs/>
          <w:noProof/>
          <w:color w:val="44546A"/>
          <w:sz w:val="18"/>
          <w:szCs w:val="18"/>
          <w:lang w:val="en-GB"/>
        </w:rPr>
        <w:lastRenderedPageBreak/>
        <w:drawing>
          <wp:anchor distT="0" distB="0" distL="114300" distR="114300" simplePos="0" relativeHeight="251659264" behindDoc="0" locked="0" layoutInCell="1" allowOverlap="1" wp14:anchorId="1ECC9324" wp14:editId="01A086CD">
            <wp:simplePos x="0" y="0"/>
            <wp:positionH relativeFrom="margin">
              <wp:align>center</wp:align>
            </wp:positionH>
            <wp:positionV relativeFrom="paragraph">
              <wp:posOffset>0</wp:posOffset>
            </wp:positionV>
            <wp:extent cx="2675890" cy="1797050"/>
            <wp:effectExtent l="0" t="0" r="0" b="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3.jpg"/>
                    <pic:cNvPicPr/>
                  </pic:nvPicPr>
                  <pic:blipFill>
                    <a:blip r:embed="rId9">
                      <a:extLst>
                        <a:ext uri="{28A0092B-C50C-407E-A947-70E740481C1C}">
                          <a14:useLocalDpi xmlns:a14="http://schemas.microsoft.com/office/drawing/2010/main" val="0"/>
                        </a:ext>
                      </a:extLst>
                    </a:blip>
                    <a:stretch>
                      <a:fillRect/>
                    </a:stretch>
                  </pic:blipFill>
                  <pic:spPr>
                    <a:xfrm>
                      <a:off x="0" y="0"/>
                      <a:ext cx="2675950" cy="1797346"/>
                    </a:xfrm>
                    <a:prstGeom prst="rect">
                      <a:avLst/>
                    </a:prstGeom>
                  </pic:spPr>
                </pic:pic>
              </a:graphicData>
            </a:graphic>
            <wp14:sizeRelH relativeFrom="page">
              <wp14:pctWidth>0</wp14:pctWidth>
            </wp14:sizeRelH>
            <wp14:sizeRelV relativeFrom="page">
              <wp14:pctHeight>0</wp14:pctHeight>
            </wp14:sizeRelV>
          </wp:anchor>
        </w:drawing>
      </w:r>
      <w:r w:rsidRPr="00820EA8">
        <w:rPr>
          <w:rFonts w:eastAsia="Calibri" w:cs="Times New Roman"/>
          <w:b/>
          <w:bCs/>
          <w:iCs/>
          <w:color w:val="44546A"/>
          <w:sz w:val="18"/>
          <w:szCs w:val="18"/>
          <w:lang w:val="en-GB"/>
        </w:rPr>
        <w:t xml:space="preserve">Fig. </w:t>
      </w:r>
      <w:r w:rsidR="00695AAC" w:rsidRPr="00820EA8">
        <w:rPr>
          <w:rFonts w:eastAsia="Calibri" w:cs="Times New Roman"/>
          <w:b/>
          <w:bCs/>
          <w:iCs/>
          <w:color w:val="44546A"/>
          <w:sz w:val="18"/>
          <w:szCs w:val="18"/>
          <w:lang w:val="en-GB"/>
        </w:rPr>
        <w:t>S</w:t>
      </w:r>
      <w:r w:rsidRPr="00820EA8">
        <w:rPr>
          <w:rFonts w:eastAsia="Calibri" w:cs="Times New Roman"/>
          <w:b/>
          <w:bCs/>
          <w:iCs/>
          <w:color w:val="44546A"/>
          <w:sz w:val="18"/>
          <w:szCs w:val="18"/>
          <w:lang w:val="en-GB"/>
        </w:rPr>
        <w:fldChar w:fldCharType="begin"/>
      </w:r>
      <w:r w:rsidRPr="00820EA8">
        <w:rPr>
          <w:rFonts w:eastAsia="Calibri" w:cs="Times New Roman"/>
          <w:b/>
          <w:bCs/>
          <w:iCs/>
          <w:color w:val="44546A"/>
          <w:sz w:val="18"/>
          <w:szCs w:val="18"/>
          <w:lang w:val="en-GB"/>
        </w:rPr>
        <w:instrText xml:space="preserve"> SEQ Figure \* ARABIC </w:instrText>
      </w:r>
      <w:r w:rsidRPr="00820EA8">
        <w:rPr>
          <w:rFonts w:eastAsia="Calibri" w:cs="Times New Roman"/>
          <w:b/>
          <w:bCs/>
          <w:iCs/>
          <w:color w:val="44546A"/>
          <w:sz w:val="18"/>
          <w:szCs w:val="18"/>
          <w:lang w:val="en-GB"/>
        </w:rPr>
        <w:fldChar w:fldCharType="separate"/>
      </w:r>
      <w:r w:rsidRPr="00820EA8">
        <w:rPr>
          <w:rFonts w:eastAsia="Calibri" w:cs="Times New Roman"/>
          <w:b/>
          <w:bCs/>
          <w:iCs/>
          <w:noProof/>
          <w:color w:val="44546A"/>
          <w:sz w:val="18"/>
          <w:szCs w:val="18"/>
          <w:lang w:val="en-GB"/>
        </w:rPr>
        <w:t>3</w:t>
      </w:r>
      <w:r w:rsidRPr="00820EA8">
        <w:rPr>
          <w:rFonts w:eastAsia="Calibri" w:cs="Times New Roman"/>
          <w:b/>
          <w:bCs/>
          <w:iCs/>
          <w:color w:val="44546A"/>
          <w:sz w:val="18"/>
          <w:szCs w:val="18"/>
          <w:lang w:val="en-GB"/>
        </w:rPr>
        <w:fldChar w:fldCharType="end"/>
      </w:r>
      <w:r w:rsidRPr="00820EA8">
        <w:rPr>
          <w:rFonts w:eastAsia="Calibri" w:cs="Times New Roman"/>
          <w:b/>
          <w:bCs/>
          <w:iCs/>
          <w:color w:val="44546A"/>
          <w:sz w:val="18"/>
          <w:szCs w:val="18"/>
          <w:lang w:val="en-GB"/>
        </w:rPr>
        <w:t xml:space="preserve">. </w:t>
      </w:r>
      <w:r w:rsidRPr="00820EA8">
        <w:rPr>
          <w:rFonts w:eastAsia="Calibri" w:cs="Times New Roman"/>
          <w:iCs/>
          <w:color w:val="44546A"/>
          <w:sz w:val="18"/>
          <w:szCs w:val="18"/>
          <w:lang w:val="en-GB"/>
        </w:rPr>
        <w:t xml:space="preserve">Photograph of a page from the manuscript </w:t>
      </w:r>
      <w:proofErr w:type="spellStart"/>
      <w:r w:rsidRPr="00820EA8">
        <w:rPr>
          <w:rFonts w:eastAsia="Calibri" w:cs="Times New Roman"/>
          <w:i/>
          <w:iCs/>
          <w:color w:val="44546A"/>
          <w:sz w:val="18"/>
          <w:szCs w:val="18"/>
          <w:lang w:val="en-GB"/>
        </w:rPr>
        <w:t>Protrepticae</w:t>
      </w:r>
      <w:proofErr w:type="spellEnd"/>
      <w:r w:rsidRPr="00820EA8">
        <w:rPr>
          <w:rFonts w:eastAsia="Calibri" w:cs="Times New Roman"/>
          <w:i/>
          <w:iCs/>
          <w:color w:val="44546A"/>
          <w:sz w:val="18"/>
          <w:szCs w:val="18"/>
          <w:lang w:val="en-GB"/>
        </w:rPr>
        <w:t xml:space="preserve"> </w:t>
      </w:r>
      <w:proofErr w:type="spellStart"/>
      <w:r w:rsidRPr="00820EA8">
        <w:rPr>
          <w:rFonts w:eastAsia="Calibri" w:cs="Times New Roman"/>
          <w:i/>
          <w:iCs/>
          <w:color w:val="44546A"/>
          <w:sz w:val="18"/>
          <w:szCs w:val="18"/>
          <w:lang w:val="en-GB"/>
        </w:rPr>
        <w:t>orationes</w:t>
      </w:r>
      <w:proofErr w:type="spellEnd"/>
      <w:r w:rsidRPr="00820EA8">
        <w:rPr>
          <w:rFonts w:eastAsia="Calibri" w:cs="Times New Roman"/>
          <w:i/>
          <w:iCs/>
          <w:color w:val="44546A"/>
          <w:sz w:val="18"/>
          <w:szCs w:val="18"/>
          <w:lang w:val="en-GB"/>
        </w:rPr>
        <w:t xml:space="preserve"> </w:t>
      </w:r>
      <w:proofErr w:type="spellStart"/>
      <w:r w:rsidRPr="00820EA8">
        <w:rPr>
          <w:rFonts w:eastAsia="Calibri" w:cs="Times New Roman"/>
          <w:i/>
          <w:iCs/>
          <w:color w:val="44546A"/>
          <w:sz w:val="18"/>
          <w:szCs w:val="18"/>
          <w:lang w:val="en-GB"/>
        </w:rPr>
        <w:t>ad</w:t>
      </w:r>
      <w:proofErr w:type="spellEnd"/>
      <w:r w:rsidRPr="00820EA8">
        <w:rPr>
          <w:rFonts w:eastAsia="Calibri" w:cs="Times New Roman"/>
          <w:i/>
          <w:iCs/>
          <w:color w:val="44546A"/>
          <w:sz w:val="18"/>
          <w:szCs w:val="18"/>
          <w:lang w:val="en-GB"/>
        </w:rPr>
        <w:t xml:space="preserve"> </w:t>
      </w:r>
      <w:proofErr w:type="spellStart"/>
      <w:r w:rsidRPr="00820EA8">
        <w:rPr>
          <w:rFonts w:eastAsia="Calibri" w:cs="Times New Roman"/>
          <w:i/>
          <w:iCs/>
          <w:color w:val="44546A"/>
          <w:sz w:val="18"/>
          <w:szCs w:val="18"/>
          <w:lang w:val="en-GB"/>
        </w:rPr>
        <w:t>philosophiam</w:t>
      </w:r>
      <w:proofErr w:type="spellEnd"/>
      <w:r w:rsidRPr="00820EA8">
        <w:rPr>
          <w:rFonts w:eastAsia="Calibri" w:cs="Times New Roman"/>
          <w:iCs/>
          <w:color w:val="44546A"/>
          <w:sz w:val="18"/>
          <w:szCs w:val="18"/>
          <w:lang w:val="en-GB"/>
        </w:rPr>
        <w:t xml:space="preserve"> (17th century) with level 4 ink degradation.</w:t>
      </w:r>
    </w:p>
    <w:p w14:paraId="363D1AD2" w14:textId="3B136D50" w:rsidR="0052667B" w:rsidRPr="00820EA8" w:rsidRDefault="00402E38" w:rsidP="0052667B">
      <w:pPr>
        <w:spacing w:after="0" w:line="480" w:lineRule="auto"/>
        <w:ind w:firstLine="720"/>
        <w:jc w:val="both"/>
        <w:rPr>
          <w:rFonts w:eastAsia="Times New Roman" w:cs="Times New Roman"/>
          <w:sz w:val="24"/>
          <w:szCs w:val="24"/>
          <w:lang w:val="en-GB"/>
        </w:rPr>
      </w:pPr>
      <w:r w:rsidRPr="00820EA8">
        <w:rPr>
          <w:rFonts w:eastAsia="Calibri" w:cs="Times New Roman"/>
          <w:iCs/>
          <w:noProof/>
          <w:color w:val="44546A"/>
          <w:sz w:val="18"/>
          <w:szCs w:val="18"/>
          <w:lang w:val="en-GB"/>
        </w:rPr>
        <w:drawing>
          <wp:anchor distT="0" distB="0" distL="114300" distR="114300" simplePos="0" relativeHeight="251660288" behindDoc="0" locked="0" layoutInCell="1" allowOverlap="1" wp14:anchorId="07CF5535" wp14:editId="3AD4D2AE">
            <wp:simplePos x="0" y="0"/>
            <wp:positionH relativeFrom="margin">
              <wp:align>center</wp:align>
            </wp:positionH>
            <wp:positionV relativeFrom="paragraph">
              <wp:posOffset>2374265</wp:posOffset>
            </wp:positionV>
            <wp:extent cx="2614930" cy="2117090"/>
            <wp:effectExtent l="0" t="0" r="0" b="0"/>
            <wp:wrapTopAndBottom/>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 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5075" cy="2117090"/>
                    </a:xfrm>
                    <a:prstGeom prst="rect">
                      <a:avLst/>
                    </a:prstGeom>
                  </pic:spPr>
                </pic:pic>
              </a:graphicData>
            </a:graphic>
            <wp14:sizeRelH relativeFrom="page">
              <wp14:pctWidth>0</wp14:pctWidth>
            </wp14:sizeRelH>
            <wp14:sizeRelV relativeFrom="page">
              <wp14:pctHeight>0</wp14:pctHeight>
            </wp14:sizeRelV>
          </wp:anchor>
        </w:drawing>
      </w:r>
      <w:r w:rsidR="0052667B" w:rsidRPr="00820EA8">
        <w:rPr>
          <w:rFonts w:eastAsia="Times New Roman" w:cs="Times New Roman"/>
          <w:sz w:val="24"/>
          <w:szCs w:val="24"/>
          <w:lang w:val="en-GB"/>
        </w:rPr>
        <w:t xml:space="preserve">Nearly all the books of the NC collection contain printing ink only, while iron gall ink was found in around 80% of the C collection, this was to be expected as much of this collection is comprised of manuscripts and incunabula (often with numerous hand-written notes). The ink was not tested for unbound iron(II) ions, however in about 40 manuscripts (27% of the surveyed items of the C collection) the observed ink level was 3-4, confirming the adverse effect of iron gall ink to the paper </w:t>
      </w:r>
      <w:r w:rsidR="0052667B" w:rsidRPr="00820EA8">
        <w:rPr>
          <w:rFonts w:eastAsia="Times New Roman" w:cs="Times New Roman"/>
          <w:sz w:val="24"/>
          <w:szCs w:val="24"/>
          <w:lang w:val="en-GB"/>
        </w:rPr>
        <w:fldChar w:fldCharType="begin"/>
      </w:r>
      <w:r w:rsidR="002C1BD2" w:rsidRPr="00820EA8">
        <w:rPr>
          <w:rFonts w:eastAsia="Times New Roman" w:cs="Times New Roman"/>
          <w:sz w:val="24"/>
          <w:szCs w:val="24"/>
          <w:lang w:val="en-GB"/>
        </w:rPr>
        <w:instrText xml:space="preserve"> ADDIN ZOTERO_ITEM CSL_CITATION {"citationID":"NUxrSnBd","properties":{"formattedCitation":"[5,6]","plainCitation":"[5,6]","noteIndex":0},"citationItems":[{"id":2799,"uris":["http://zotero.org/users/5220692/items/KE3TNH8D"],"uri":["http://zotero.org/users/5220692/items/KE3TNH8D"],"itemData":{"id":2799,"type":"book","event-place":"Ljubljana","ISBN":"978-961-6551-19-9","number-of-pages":"253","publisher":"National and University Library","publisher-place":"Ljubljana","title":"Iron Gall Inks: On Manufacture, Characterisation, Degradation and Stabilisation","author":[{"family":"Kolar","given":"Jana"},{"family":"Strlic̆","given":"Matija"}],"issued":{"date-parts":[["2006"]]}}},{"id":2460,"uris":["http://zotero.org/users/5220692/items/P9I8B39W"],"uri":["http://zotero.org/users/5220692/items/P9I8B39W"],"itemData":{"id":2460,"type":"article-journal","abstract":"Although degradation of iron gall ink containing paper has been scientifically studied for almost 250 years, we still do not have a good understanding of the kinetics of the process. While many studies focussed on model samples to avoid the inhomogeneity of real historic samples or the need for sampling, this research was conducted on a selection of real documents. Accelerated degradation experiments were performed at six combinations of temperature and relative humidity (RH) in the intervals 50–80 °C/20–80% RH. The analytical methods were optimised such that sample consumption was minimised and errors and uncertainties were evaluated. The results show that the rate of degradation, measured as change in the degree of polymerisation of cellulose in paper beneath ink, can be described in Arrhenius terms, and that the apparent activation energy for the process depends on the moisture content in the material. The variation is consistent with the process of hydrolysis becoming less prominent at lower moisture content values, although the results indicate that hydrolytic degradation predominates during natural ink-induced degradation. In the context of the historic samples used in the study, the presence of ink accelerated the degradation of paper by a constant factor of 1.59 in comparison to paper without ink, across the range of experimental T and RH. This indicates that a dose-response function could be developed for ink-induced degradation of paper. © 2017 The Authors","container-title":"Polymer Degradation and Stability","DOI":"10.1016/j.polymdegradstab.2017.07.010","page":"255–262","title":"Kinetics of accelerated degradation of historic iron gall ink-containing paper","volume":"142","author":[{"family":"Liu","given":"Y."},{"family":"Kralj Cigić","given":"I."},{"family":"Strlič","given":"M."}],"issued":{"date-parts":[["2017"]]}}}],"schema":"https://github.com/citation-style-language/schema/raw/master/csl-citation.json"} </w:instrText>
      </w:r>
      <w:r w:rsidR="0052667B" w:rsidRPr="00820EA8">
        <w:rPr>
          <w:rFonts w:eastAsia="Times New Roman" w:cs="Times New Roman"/>
          <w:sz w:val="24"/>
          <w:szCs w:val="24"/>
          <w:lang w:val="en-GB"/>
        </w:rPr>
        <w:fldChar w:fldCharType="separate"/>
      </w:r>
      <w:r w:rsidR="002C1BD2" w:rsidRPr="00820EA8">
        <w:rPr>
          <w:rFonts w:cs="Times New Roman"/>
          <w:sz w:val="24"/>
          <w:lang w:val="en-GB"/>
        </w:rPr>
        <w:t>[5,6]</w:t>
      </w:r>
      <w:r w:rsidR="0052667B" w:rsidRPr="00820EA8">
        <w:rPr>
          <w:rFonts w:eastAsia="Times New Roman" w:cs="Times New Roman"/>
          <w:sz w:val="24"/>
          <w:szCs w:val="24"/>
          <w:lang w:val="en-GB"/>
        </w:rPr>
        <w:fldChar w:fldCharType="end"/>
      </w:r>
      <w:r w:rsidR="0052667B" w:rsidRPr="00820EA8">
        <w:rPr>
          <w:rFonts w:eastAsia="Times New Roman" w:cs="Times New Roman"/>
          <w:sz w:val="24"/>
          <w:szCs w:val="24"/>
          <w:lang w:val="en-GB"/>
        </w:rPr>
        <w:t xml:space="preserve">. Figure </w:t>
      </w:r>
      <w:r w:rsidR="00A24837" w:rsidRPr="00820EA8">
        <w:rPr>
          <w:rFonts w:eastAsia="Times New Roman" w:cs="Times New Roman"/>
          <w:sz w:val="24"/>
          <w:szCs w:val="24"/>
          <w:lang w:val="en-GB"/>
        </w:rPr>
        <w:t>S</w:t>
      </w:r>
      <w:r w:rsidR="0052667B" w:rsidRPr="00820EA8">
        <w:rPr>
          <w:rFonts w:eastAsia="Times New Roman" w:cs="Times New Roman"/>
          <w:sz w:val="24"/>
          <w:szCs w:val="24"/>
          <w:lang w:val="en-GB"/>
        </w:rPr>
        <w:t xml:space="preserve">4 shows that in the C collection no clear trend of the level of ink transfer per age intervals emerges. </w:t>
      </w:r>
    </w:p>
    <w:p w14:paraId="2349FCC7" w14:textId="167D76B7" w:rsidR="0052667B" w:rsidRPr="00820EA8" w:rsidRDefault="0052667B" w:rsidP="008F6B84">
      <w:pPr>
        <w:spacing w:before="120" w:after="120" w:line="240" w:lineRule="auto"/>
        <w:jc w:val="center"/>
        <w:rPr>
          <w:rFonts w:eastAsia="Calibri" w:cs="Times New Roman"/>
          <w:iCs/>
          <w:color w:val="44546A"/>
          <w:lang w:val="en-GB"/>
        </w:rPr>
      </w:pPr>
      <w:r w:rsidRPr="00820EA8">
        <w:rPr>
          <w:rFonts w:eastAsia="Calibri" w:cs="Times New Roman"/>
          <w:b/>
          <w:bCs/>
          <w:iCs/>
          <w:color w:val="44546A"/>
          <w:sz w:val="18"/>
          <w:szCs w:val="18"/>
          <w:lang w:val="en-GB"/>
        </w:rPr>
        <w:t xml:space="preserve">Fig. </w:t>
      </w:r>
      <w:r w:rsidR="00695AAC" w:rsidRPr="00820EA8">
        <w:rPr>
          <w:rFonts w:eastAsia="Calibri" w:cs="Times New Roman"/>
          <w:b/>
          <w:bCs/>
          <w:iCs/>
          <w:color w:val="44546A"/>
          <w:sz w:val="18"/>
          <w:szCs w:val="18"/>
          <w:lang w:val="en-GB"/>
        </w:rPr>
        <w:t>S</w:t>
      </w:r>
      <w:r w:rsidRPr="00820EA8">
        <w:rPr>
          <w:rFonts w:eastAsia="Calibri" w:cs="Times New Roman"/>
          <w:b/>
          <w:bCs/>
          <w:iCs/>
          <w:color w:val="44546A"/>
          <w:sz w:val="18"/>
          <w:szCs w:val="18"/>
          <w:lang w:val="en-GB"/>
        </w:rPr>
        <w:fldChar w:fldCharType="begin"/>
      </w:r>
      <w:r w:rsidRPr="00820EA8">
        <w:rPr>
          <w:rFonts w:eastAsia="Calibri" w:cs="Times New Roman"/>
          <w:b/>
          <w:bCs/>
          <w:iCs/>
          <w:color w:val="44546A"/>
          <w:sz w:val="18"/>
          <w:szCs w:val="18"/>
          <w:lang w:val="en-GB"/>
        </w:rPr>
        <w:instrText xml:space="preserve"> SEQ Figure \* ARABIC </w:instrText>
      </w:r>
      <w:r w:rsidRPr="00820EA8">
        <w:rPr>
          <w:rFonts w:eastAsia="Calibri" w:cs="Times New Roman"/>
          <w:b/>
          <w:bCs/>
          <w:iCs/>
          <w:color w:val="44546A"/>
          <w:sz w:val="18"/>
          <w:szCs w:val="18"/>
          <w:lang w:val="en-GB"/>
        </w:rPr>
        <w:fldChar w:fldCharType="separate"/>
      </w:r>
      <w:r w:rsidRPr="00820EA8">
        <w:rPr>
          <w:rFonts w:eastAsia="Calibri" w:cs="Times New Roman"/>
          <w:b/>
          <w:bCs/>
          <w:iCs/>
          <w:noProof/>
          <w:color w:val="44546A"/>
          <w:sz w:val="18"/>
          <w:szCs w:val="18"/>
          <w:lang w:val="en-GB"/>
        </w:rPr>
        <w:t>4</w:t>
      </w:r>
      <w:r w:rsidRPr="00820EA8">
        <w:rPr>
          <w:rFonts w:eastAsia="Calibri" w:cs="Times New Roman"/>
          <w:b/>
          <w:bCs/>
          <w:iCs/>
          <w:color w:val="44546A"/>
          <w:sz w:val="18"/>
          <w:szCs w:val="18"/>
          <w:lang w:val="en-GB"/>
        </w:rPr>
        <w:fldChar w:fldCharType="end"/>
      </w:r>
      <w:r w:rsidRPr="00820EA8">
        <w:rPr>
          <w:rFonts w:eastAsia="Calibri" w:cs="Times New Roman"/>
          <w:b/>
          <w:bCs/>
          <w:iCs/>
          <w:color w:val="44546A"/>
          <w:sz w:val="18"/>
          <w:szCs w:val="18"/>
          <w:lang w:val="en-GB"/>
        </w:rPr>
        <w:t>.</w:t>
      </w:r>
      <w:r w:rsidRPr="00820EA8">
        <w:rPr>
          <w:rFonts w:eastAsia="Calibri" w:cs="Times New Roman"/>
          <w:iCs/>
          <w:color w:val="44546A"/>
          <w:sz w:val="18"/>
          <w:szCs w:val="18"/>
          <w:lang w:val="en-GB"/>
        </w:rPr>
        <w:t xml:space="preserve"> Observed levels of ink degradation of the analysed books of the C collection per age intervals.</w:t>
      </w:r>
    </w:p>
    <w:p w14:paraId="5DF407D5" w14:textId="6D2B6B16" w:rsidR="0052667B" w:rsidRPr="00820EA8" w:rsidRDefault="0087629E" w:rsidP="0087629E">
      <w:pPr>
        <w:pStyle w:val="Titolo2"/>
      </w:pPr>
      <w:r w:rsidRPr="00820EA8">
        <w:t>Pairwise Data Correlation</w:t>
      </w:r>
    </w:p>
    <w:p w14:paraId="16C5F169" w14:textId="752D3BE0" w:rsidR="0087629E" w:rsidRPr="00820EA8" w:rsidRDefault="0087629E" w:rsidP="0087629E">
      <w:pPr>
        <w:spacing w:after="0" w:line="480" w:lineRule="auto"/>
        <w:ind w:firstLine="720"/>
        <w:jc w:val="both"/>
        <w:rPr>
          <w:rFonts w:eastAsia="Times New Roman" w:cs="Times New Roman"/>
          <w:sz w:val="24"/>
          <w:szCs w:val="24"/>
          <w:lang w:val="en-GB"/>
        </w:rPr>
      </w:pPr>
      <w:r w:rsidRPr="00820EA8">
        <w:rPr>
          <w:rFonts w:eastAsia="Times New Roman" w:cs="Times New Roman"/>
          <w:sz w:val="24"/>
          <w:szCs w:val="24"/>
          <w:lang w:val="en-GB"/>
        </w:rPr>
        <w:t xml:space="preserve">Figure </w:t>
      </w:r>
      <w:r w:rsidR="00695AAC" w:rsidRPr="00820EA8">
        <w:rPr>
          <w:rFonts w:eastAsia="Times New Roman" w:cs="Times New Roman"/>
          <w:sz w:val="24"/>
          <w:szCs w:val="24"/>
          <w:lang w:val="en-GB"/>
        </w:rPr>
        <w:t>S</w:t>
      </w:r>
      <w:r w:rsidRPr="00820EA8">
        <w:rPr>
          <w:rFonts w:eastAsia="Times New Roman" w:cs="Times New Roman"/>
          <w:sz w:val="24"/>
          <w:szCs w:val="24"/>
          <w:lang w:val="en-GB"/>
        </w:rPr>
        <w:t xml:space="preserve">5 displays the correlation matrix between each pair of quantitative variables. As expected, pH is inversely related to rosin content, while positive correlations between pH and mechanical properties (TS and TSF) are found, indicating that the less acidic the paper, the higher the mechanical properties. Trends emerge in relation to protein content affecting mechanical properties, </w:t>
      </w:r>
      <w:r w:rsidRPr="00820EA8">
        <w:rPr>
          <w:rFonts w:eastAsia="Times New Roman" w:cs="Times New Roman"/>
          <w:sz w:val="24"/>
          <w:szCs w:val="24"/>
          <w:lang w:val="en-GB"/>
        </w:rPr>
        <w:lastRenderedPageBreak/>
        <w:t xml:space="preserve">which could be a consequence of intermolecular and </w:t>
      </w:r>
      <w:proofErr w:type="spellStart"/>
      <w:r w:rsidRPr="00820EA8">
        <w:rPr>
          <w:rFonts w:eastAsia="Times New Roman" w:cs="Times New Roman"/>
          <w:sz w:val="24"/>
          <w:szCs w:val="24"/>
          <w:lang w:val="en-GB"/>
        </w:rPr>
        <w:t>interfibre</w:t>
      </w:r>
      <w:proofErr w:type="spellEnd"/>
      <w:r w:rsidRPr="00820EA8">
        <w:rPr>
          <w:rFonts w:eastAsia="Times New Roman" w:cs="Times New Roman"/>
          <w:sz w:val="24"/>
          <w:szCs w:val="24"/>
          <w:lang w:val="en-GB"/>
        </w:rPr>
        <w:t xml:space="preserve"> bonding affected by the glue, while some trends are only observable for particular paper type, e.g., a higher amount of lignin in groundwood seems to be accompanied by higher acidity, which could be a result of the relative </w:t>
      </w:r>
      <w:r w:rsidR="00402E38" w:rsidRPr="00820EA8">
        <w:rPr>
          <w:rFonts w:eastAsia="Calibri" w:cs="Times New Roman"/>
          <w:iCs/>
          <w:noProof/>
          <w:color w:val="44546A"/>
          <w:sz w:val="18"/>
          <w:szCs w:val="18"/>
          <w:lang w:val="en-GB" w:eastAsia="en-GB"/>
        </w:rPr>
        <w:drawing>
          <wp:anchor distT="0" distB="0" distL="114300" distR="114300" simplePos="0" relativeHeight="251661312" behindDoc="0" locked="0" layoutInCell="1" allowOverlap="1" wp14:anchorId="1973AA69" wp14:editId="6A42E03C">
            <wp:simplePos x="0" y="0"/>
            <wp:positionH relativeFrom="margin">
              <wp:align>center</wp:align>
            </wp:positionH>
            <wp:positionV relativeFrom="paragraph">
              <wp:posOffset>1371600</wp:posOffset>
            </wp:positionV>
            <wp:extent cx="5247005" cy="3942715"/>
            <wp:effectExtent l="0" t="0" r="0" b="635"/>
            <wp:wrapTopAndBottom/>
            <wp:docPr id="15"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 and NC_Cor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47366" cy="3942715"/>
                    </a:xfrm>
                    <a:prstGeom prst="rect">
                      <a:avLst/>
                    </a:prstGeom>
                  </pic:spPr>
                </pic:pic>
              </a:graphicData>
            </a:graphic>
            <wp14:sizeRelH relativeFrom="page">
              <wp14:pctWidth>0</wp14:pctWidth>
            </wp14:sizeRelH>
            <wp14:sizeRelV relativeFrom="page">
              <wp14:pctHeight>0</wp14:pctHeight>
            </wp14:sizeRelV>
          </wp:anchor>
        </w:drawing>
      </w:r>
      <w:r w:rsidRPr="00820EA8">
        <w:rPr>
          <w:rFonts w:eastAsia="Times New Roman" w:cs="Times New Roman"/>
          <w:sz w:val="24"/>
          <w:szCs w:val="24"/>
          <w:lang w:val="en-GB"/>
        </w:rPr>
        <w:t>instability of lignin towards oxygen.</w:t>
      </w:r>
    </w:p>
    <w:p w14:paraId="0294970E" w14:textId="11C2B1D7" w:rsidR="0087629E" w:rsidRPr="00820EA8" w:rsidRDefault="0087629E" w:rsidP="00402E38">
      <w:pPr>
        <w:spacing w:before="120" w:after="120" w:line="240" w:lineRule="auto"/>
        <w:jc w:val="both"/>
        <w:rPr>
          <w:rFonts w:eastAsia="Calibri" w:cs="Times New Roman"/>
          <w:iCs/>
          <w:color w:val="44546A"/>
          <w:sz w:val="18"/>
          <w:szCs w:val="18"/>
          <w:lang w:val="en-GB"/>
        </w:rPr>
      </w:pPr>
      <w:r w:rsidRPr="00820EA8">
        <w:rPr>
          <w:rFonts w:eastAsia="Calibri" w:cs="Times New Roman"/>
          <w:b/>
          <w:bCs/>
          <w:iCs/>
          <w:color w:val="44546A"/>
          <w:sz w:val="18"/>
          <w:szCs w:val="18"/>
          <w:lang w:val="en-GB"/>
        </w:rPr>
        <w:t xml:space="preserve">Fig. </w:t>
      </w:r>
      <w:r w:rsidR="00695AAC" w:rsidRPr="00820EA8">
        <w:rPr>
          <w:rFonts w:eastAsia="Calibri" w:cs="Times New Roman"/>
          <w:b/>
          <w:bCs/>
          <w:iCs/>
          <w:color w:val="44546A"/>
          <w:sz w:val="18"/>
          <w:szCs w:val="18"/>
          <w:lang w:val="en-GB"/>
        </w:rPr>
        <w:t>S</w:t>
      </w:r>
      <w:r w:rsidRPr="00820EA8">
        <w:rPr>
          <w:rFonts w:eastAsia="Calibri" w:cs="Times New Roman"/>
          <w:b/>
          <w:bCs/>
          <w:iCs/>
          <w:color w:val="44546A"/>
          <w:sz w:val="18"/>
          <w:szCs w:val="18"/>
          <w:lang w:val="en-GB"/>
        </w:rPr>
        <w:fldChar w:fldCharType="begin"/>
      </w:r>
      <w:r w:rsidRPr="00820EA8">
        <w:rPr>
          <w:rFonts w:eastAsia="Calibri" w:cs="Times New Roman"/>
          <w:b/>
          <w:bCs/>
          <w:iCs/>
          <w:color w:val="44546A"/>
          <w:sz w:val="18"/>
          <w:szCs w:val="18"/>
          <w:lang w:val="en-GB"/>
        </w:rPr>
        <w:instrText xml:space="preserve"> SEQ Figure \* ARABIC </w:instrText>
      </w:r>
      <w:r w:rsidRPr="00820EA8">
        <w:rPr>
          <w:rFonts w:eastAsia="Calibri" w:cs="Times New Roman"/>
          <w:b/>
          <w:bCs/>
          <w:iCs/>
          <w:color w:val="44546A"/>
          <w:sz w:val="18"/>
          <w:szCs w:val="18"/>
          <w:lang w:val="en-GB"/>
        </w:rPr>
        <w:fldChar w:fldCharType="separate"/>
      </w:r>
      <w:r w:rsidRPr="00820EA8">
        <w:rPr>
          <w:rFonts w:eastAsia="Calibri" w:cs="Times New Roman"/>
          <w:b/>
          <w:bCs/>
          <w:iCs/>
          <w:noProof/>
          <w:color w:val="44546A"/>
          <w:sz w:val="18"/>
          <w:szCs w:val="18"/>
          <w:lang w:val="en-GB"/>
        </w:rPr>
        <w:t>5</w:t>
      </w:r>
      <w:r w:rsidRPr="00820EA8">
        <w:rPr>
          <w:rFonts w:eastAsia="Calibri" w:cs="Times New Roman"/>
          <w:b/>
          <w:bCs/>
          <w:iCs/>
          <w:color w:val="44546A"/>
          <w:sz w:val="18"/>
          <w:szCs w:val="18"/>
          <w:lang w:val="en-GB"/>
        </w:rPr>
        <w:fldChar w:fldCharType="end"/>
      </w:r>
      <w:r w:rsidRPr="00820EA8">
        <w:rPr>
          <w:rFonts w:eastAsia="Calibri" w:cs="Times New Roman"/>
          <w:b/>
          <w:bCs/>
          <w:iCs/>
          <w:color w:val="44546A"/>
          <w:sz w:val="18"/>
          <w:szCs w:val="18"/>
          <w:lang w:val="en-GB"/>
        </w:rPr>
        <w:t>.</w:t>
      </w:r>
      <w:r w:rsidRPr="00820EA8">
        <w:rPr>
          <w:rFonts w:eastAsia="Calibri" w:cs="Times New Roman"/>
          <w:iCs/>
          <w:color w:val="44546A"/>
          <w:sz w:val="18"/>
          <w:szCs w:val="18"/>
          <w:lang w:val="en-GB"/>
        </w:rPr>
        <w:t xml:space="preserve"> Correlation matrix of each pair of quantitative variables. The lower triangle displays pairwise scatter plots, in which the colours represent different pulps. </w:t>
      </w:r>
      <w:r w:rsidRPr="00820EA8">
        <w:rPr>
          <w:rFonts w:eastAsia="Calibri" w:cs="Times New Roman"/>
          <w:iCs/>
          <w:color w:val="1F3864"/>
          <w:sz w:val="18"/>
          <w:szCs w:val="18"/>
          <w:lang w:val="en-GB"/>
        </w:rPr>
        <w:t>The diagonal reports frequency histograms. The upper triangle displays pairwise correlation coefficients.</w:t>
      </w:r>
    </w:p>
    <w:p w14:paraId="1E544D5D" w14:textId="2163009E" w:rsidR="0087629E" w:rsidRPr="00820EA8" w:rsidRDefault="007F313B" w:rsidP="007F313B">
      <w:pPr>
        <w:pStyle w:val="Titolo2"/>
      </w:pPr>
      <w:r w:rsidRPr="00820EA8">
        <w:t>References</w:t>
      </w:r>
    </w:p>
    <w:p w14:paraId="1D97498F" w14:textId="77777777" w:rsidR="002C1BD2" w:rsidRPr="00820EA8" w:rsidRDefault="002C1BD2" w:rsidP="002C1BD2">
      <w:pPr>
        <w:spacing w:after="120" w:line="240" w:lineRule="auto"/>
        <w:ind w:left="227" w:hanging="227"/>
        <w:jc w:val="both"/>
        <w:rPr>
          <w:rFonts w:eastAsia="Times New Roman" w:cs="Times New Roman"/>
          <w:sz w:val="24"/>
          <w:szCs w:val="24"/>
          <w:lang w:val="en-GB"/>
        </w:rPr>
      </w:pPr>
      <w:r w:rsidRPr="00820EA8">
        <w:rPr>
          <w:rFonts w:eastAsia="Times New Roman" w:cs="Times New Roman"/>
          <w:sz w:val="24"/>
          <w:szCs w:val="24"/>
          <w:lang w:val="en-GB"/>
        </w:rPr>
        <w:fldChar w:fldCharType="begin"/>
      </w:r>
      <w:r w:rsidRPr="00820EA8">
        <w:rPr>
          <w:rFonts w:eastAsia="Times New Roman" w:cs="Times New Roman"/>
          <w:sz w:val="24"/>
          <w:szCs w:val="24"/>
          <w:lang w:val="en-GB"/>
        </w:rPr>
        <w:instrText xml:space="preserve"> ADDIN ZOTERO_BIBL {"uncited":[],"omitted":[],"custom":[]} CSL_BIBLIOGRAPHY </w:instrText>
      </w:r>
      <w:r w:rsidRPr="00820EA8">
        <w:rPr>
          <w:rFonts w:eastAsia="Times New Roman" w:cs="Times New Roman"/>
          <w:sz w:val="24"/>
          <w:szCs w:val="24"/>
          <w:lang w:val="en-GB"/>
        </w:rPr>
        <w:fldChar w:fldCharType="separate"/>
      </w:r>
      <w:r w:rsidRPr="00820EA8">
        <w:rPr>
          <w:rFonts w:eastAsia="Times New Roman" w:cs="Times New Roman"/>
          <w:sz w:val="24"/>
          <w:szCs w:val="24"/>
          <w:lang w:val="en-GB"/>
        </w:rPr>
        <w:t xml:space="preserve">1. Strlič M, Grossi CM, Dillon C, Bell N, Fouseki K, Brimblecombe P, et al. Damage function for historic paper. Part II: Wear and tear. Herit Sci. 2015;3:36. </w:t>
      </w:r>
    </w:p>
    <w:p w14:paraId="4FEDA3F4" w14:textId="77777777" w:rsidR="002C1BD2" w:rsidRPr="00820EA8" w:rsidRDefault="002C1BD2" w:rsidP="002C1BD2">
      <w:pPr>
        <w:spacing w:after="120" w:line="240" w:lineRule="auto"/>
        <w:ind w:left="227" w:hanging="227"/>
        <w:jc w:val="both"/>
        <w:rPr>
          <w:rFonts w:eastAsia="Times New Roman" w:cs="Times New Roman"/>
          <w:sz w:val="24"/>
          <w:szCs w:val="24"/>
          <w:lang w:val="en-GB"/>
        </w:rPr>
      </w:pPr>
      <w:r w:rsidRPr="00820EA8">
        <w:rPr>
          <w:rFonts w:eastAsia="Times New Roman" w:cs="Times New Roman"/>
          <w:sz w:val="24"/>
          <w:szCs w:val="24"/>
          <w:lang w:val="en-GB"/>
        </w:rPr>
        <w:t xml:space="preserve">2. Strlič M, Grossi CM, Dillon C, Bell N, Fouseki K, Brimblecombe P, et al. Damage function for historic paper. Part I: Fitness for use. Herit Sci. 2015;3:33. </w:t>
      </w:r>
    </w:p>
    <w:p w14:paraId="6AB79989" w14:textId="77777777" w:rsidR="002C1BD2" w:rsidRPr="00820EA8" w:rsidRDefault="002C1BD2" w:rsidP="002C1BD2">
      <w:pPr>
        <w:spacing w:after="120" w:line="240" w:lineRule="auto"/>
        <w:ind w:left="227" w:hanging="227"/>
        <w:jc w:val="both"/>
        <w:rPr>
          <w:rFonts w:eastAsia="Times New Roman" w:cs="Times New Roman"/>
          <w:sz w:val="24"/>
          <w:szCs w:val="24"/>
          <w:lang w:val="en-GB"/>
        </w:rPr>
      </w:pPr>
      <w:r w:rsidRPr="00820EA8">
        <w:rPr>
          <w:rFonts w:eastAsia="Times New Roman" w:cs="Times New Roman"/>
          <w:sz w:val="24"/>
          <w:szCs w:val="24"/>
          <w:lang w:val="en-GB"/>
        </w:rPr>
        <w:t xml:space="preserve">3. Teper JH, Erekson SM. The condition of our “hidden” rare book collections - A conservation survey at the University of Illinois at Urbana-Champaign. Libr Res Tech Serv. 2006;50:200–213. </w:t>
      </w:r>
    </w:p>
    <w:p w14:paraId="208A0B11" w14:textId="77777777" w:rsidR="002C1BD2" w:rsidRPr="00820EA8" w:rsidRDefault="002C1BD2" w:rsidP="002C1BD2">
      <w:pPr>
        <w:spacing w:after="120" w:line="240" w:lineRule="auto"/>
        <w:ind w:left="227" w:hanging="227"/>
        <w:jc w:val="both"/>
        <w:rPr>
          <w:rFonts w:eastAsia="Times New Roman" w:cs="Times New Roman"/>
          <w:sz w:val="24"/>
          <w:szCs w:val="24"/>
          <w:lang w:val="en-GB"/>
        </w:rPr>
      </w:pPr>
      <w:r w:rsidRPr="00820EA8">
        <w:rPr>
          <w:rFonts w:eastAsia="Times New Roman" w:cs="Times New Roman"/>
          <w:sz w:val="24"/>
          <w:szCs w:val="24"/>
          <w:lang w:val="en-GB"/>
        </w:rPr>
        <w:t xml:space="preserve">4. Bégin P, Deschâtelets S, Grattan D, Gurnagul N, Iraci J, Kaminska E, et al. The impact of lignin on paper permanence: A comprehensive study of the ageing behaviour of handsheets and commercial paper samples. Restaurator. 1998;19:135–154. </w:t>
      </w:r>
    </w:p>
    <w:p w14:paraId="6AD74D09" w14:textId="77777777" w:rsidR="002C1BD2" w:rsidRPr="00820EA8" w:rsidRDefault="002C1BD2" w:rsidP="002C1BD2">
      <w:pPr>
        <w:spacing w:after="120" w:line="240" w:lineRule="auto"/>
        <w:ind w:left="227" w:hanging="227"/>
        <w:jc w:val="both"/>
        <w:rPr>
          <w:rFonts w:eastAsia="Times New Roman" w:cs="Times New Roman"/>
          <w:sz w:val="24"/>
          <w:szCs w:val="24"/>
          <w:lang w:val="en-GB"/>
        </w:rPr>
      </w:pPr>
      <w:r w:rsidRPr="00820EA8">
        <w:rPr>
          <w:rFonts w:eastAsia="Times New Roman" w:cs="Times New Roman"/>
          <w:sz w:val="24"/>
          <w:szCs w:val="24"/>
          <w:lang w:val="en-GB"/>
        </w:rPr>
        <w:t xml:space="preserve">5. Kolar J, Strlic̆ M. Iron Gall Inks: On Manufacture, Characterisation, Degradation and Stabilisation. Ljubljana: National and University Library; 2006. </w:t>
      </w:r>
    </w:p>
    <w:p w14:paraId="6E1B66F1" w14:textId="7CAAFF3D" w:rsidR="007F313B" w:rsidRPr="007F313B" w:rsidRDefault="002C1BD2" w:rsidP="002C1BD2">
      <w:pPr>
        <w:spacing w:after="120" w:line="240" w:lineRule="auto"/>
        <w:ind w:left="227" w:hanging="227"/>
        <w:jc w:val="both"/>
        <w:rPr>
          <w:lang w:val="en-GB"/>
        </w:rPr>
      </w:pPr>
      <w:r w:rsidRPr="00820EA8">
        <w:rPr>
          <w:rFonts w:eastAsia="Times New Roman" w:cs="Times New Roman"/>
          <w:sz w:val="24"/>
          <w:szCs w:val="24"/>
          <w:lang w:val="en-GB"/>
        </w:rPr>
        <w:t xml:space="preserve">6. Liu Y, Kralj Cigić I, Strlič M. Kinetics of accelerated degradation of historic iron gall ink-containing paper. Polym Degrad Stab. 2017;142:255–262. </w:t>
      </w:r>
      <w:r w:rsidRPr="00820EA8">
        <w:rPr>
          <w:rFonts w:eastAsia="Times New Roman" w:cs="Times New Roman"/>
          <w:sz w:val="24"/>
          <w:szCs w:val="24"/>
          <w:lang w:val="en-GB"/>
        </w:rPr>
        <w:fldChar w:fldCharType="end"/>
      </w:r>
    </w:p>
    <w:sectPr w:rsidR="007F313B" w:rsidRPr="007F313B" w:rsidSect="00AF53B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EBFAC9" w14:textId="77777777" w:rsidR="00EB7523" w:rsidRDefault="00EB7523" w:rsidP="00C603AF">
      <w:pPr>
        <w:spacing w:after="0" w:line="240" w:lineRule="auto"/>
      </w:pPr>
      <w:r>
        <w:separator/>
      </w:r>
    </w:p>
  </w:endnote>
  <w:endnote w:type="continuationSeparator" w:id="0">
    <w:p w14:paraId="68BE3F40" w14:textId="77777777" w:rsidR="00EB7523" w:rsidRDefault="00EB7523" w:rsidP="00C60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imes New Roman"/>
        <w:sz w:val="24"/>
        <w:szCs w:val="24"/>
      </w:rPr>
      <w:id w:val="1805574719"/>
      <w:docPartObj>
        <w:docPartGallery w:val="Page Numbers (Bottom of Page)"/>
        <w:docPartUnique/>
      </w:docPartObj>
    </w:sdtPr>
    <w:sdtEndPr/>
    <w:sdtContent>
      <w:p w14:paraId="75706324" w14:textId="023FA327" w:rsidR="00C603AF" w:rsidRPr="00C603AF" w:rsidRDefault="00C603AF" w:rsidP="00C603AF">
        <w:pPr>
          <w:pStyle w:val="Pidipagina"/>
          <w:jc w:val="center"/>
          <w:rPr>
            <w:rFonts w:cs="Times New Roman"/>
            <w:sz w:val="24"/>
            <w:szCs w:val="24"/>
          </w:rPr>
        </w:pPr>
        <w:r w:rsidRPr="00C603AF">
          <w:rPr>
            <w:rFonts w:cs="Times New Roman"/>
            <w:sz w:val="24"/>
            <w:szCs w:val="24"/>
          </w:rPr>
          <w:fldChar w:fldCharType="begin"/>
        </w:r>
        <w:r w:rsidRPr="00C603AF">
          <w:rPr>
            <w:rFonts w:cs="Times New Roman"/>
            <w:sz w:val="24"/>
            <w:szCs w:val="24"/>
          </w:rPr>
          <w:instrText>PAGE   \* MERGEFORMAT</w:instrText>
        </w:r>
        <w:r w:rsidRPr="00C603AF">
          <w:rPr>
            <w:rFonts w:cs="Times New Roman"/>
            <w:sz w:val="24"/>
            <w:szCs w:val="24"/>
          </w:rPr>
          <w:fldChar w:fldCharType="separate"/>
        </w:r>
        <w:r w:rsidRPr="00C603AF">
          <w:rPr>
            <w:rFonts w:cs="Times New Roman"/>
            <w:sz w:val="24"/>
            <w:szCs w:val="24"/>
          </w:rPr>
          <w:t>2</w:t>
        </w:r>
        <w:r w:rsidRPr="00C603AF">
          <w:rPr>
            <w:rFonts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4D9CF2" w14:textId="77777777" w:rsidR="00EB7523" w:rsidRDefault="00EB7523" w:rsidP="00C603AF">
      <w:pPr>
        <w:spacing w:after="0" w:line="240" w:lineRule="auto"/>
      </w:pPr>
      <w:r>
        <w:separator/>
      </w:r>
    </w:p>
  </w:footnote>
  <w:footnote w:type="continuationSeparator" w:id="0">
    <w:p w14:paraId="523A6783" w14:textId="77777777" w:rsidR="00EB7523" w:rsidRDefault="00EB7523" w:rsidP="00C603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AwMTU2MjQ3NDGxMDNT0lEKTi0uzszPAykwNKwFAJ5DAmctAAAA"/>
  </w:docVars>
  <w:rsids>
    <w:rsidRoot w:val="0052667B"/>
    <w:rsid w:val="00027043"/>
    <w:rsid w:val="000348C8"/>
    <w:rsid w:val="000367FB"/>
    <w:rsid w:val="000C45A7"/>
    <w:rsid w:val="00102D30"/>
    <w:rsid w:val="00104F88"/>
    <w:rsid w:val="00224E67"/>
    <w:rsid w:val="0029733C"/>
    <w:rsid w:val="002A463A"/>
    <w:rsid w:val="002C1BD2"/>
    <w:rsid w:val="002C4755"/>
    <w:rsid w:val="00365D3F"/>
    <w:rsid w:val="00402E38"/>
    <w:rsid w:val="00495DE6"/>
    <w:rsid w:val="0052667B"/>
    <w:rsid w:val="005954C0"/>
    <w:rsid w:val="00602370"/>
    <w:rsid w:val="00672429"/>
    <w:rsid w:val="00695AAC"/>
    <w:rsid w:val="007F313B"/>
    <w:rsid w:val="00820EA8"/>
    <w:rsid w:val="0087629E"/>
    <w:rsid w:val="008C583D"/>
    <w:rsid w:val="008F6B84"/>
    <w:rsid w:val="00973398"/>
    <w:rsid w:val="009A60EE"/>
    <w:rsid w:val="009D5FDC"/>
    <w:rsid w:val="00A00A27"/>
    <w:rsid w:val="00A24837"/>
    <w:rsid w:val="00AF53B1"/>
    <w:rsid w:val="00B70745"/>
    <w:rsid w:val="00BF0B90"/>
    <w:rsid w:val="00BF7344"/>
    <w:rsid w:val="00C43674"/>
    <w:rsid w:val="00C603AF"/>
    <w:rsid w:val="00C87A5F"/>
    <w:rsid w:val="00D65145"/>
    <w:rsid w:val="00E356B6"/>
    <w:rsid w:val="00E7632C"/>
    <w:rsid w:val="00EA09D2"/>
    <w:rsid w:val="00EB7523"/>
    <w:rsid w:val="00F942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93683"/>
  <w15:chartTrackingRefBased/>
  <w15:docId w15:val="{C953AA2C-F0C3-4ECC-9BCA-3DF6AF28B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7632C"/>
    <w:rPr>
      <w:rFonts w:ascii="Times New Roman" w:hAnsi="Times New Roman"/>
    </w:rPr>
  </w:style>
  <w:style w:type="paragraph" w:styleId="Titolo2">
    <w:name w:val="heading 2"/>
    <w:basedOn w:val="Normale"/>
    <w:next w:val="Normale"/>
    <w:link w:val="Titolo2Carattere"/>
    <w:uiPriority w:val="9"/>
    <w:unhideWhenUsed/>
    <w:qFormat/>
    <w:rsid w:val="0052667B"/>
    <w:pPr>
      <w:keepNext/>
      <w:keepLines/>
      <w:spacing w:before="240" w:after="240" w:line="240" w:lineRule="auto"/>
      <w:jc w:val="both"/>
      <w:outlineLvl w:val="1"/>
    </w:pPr>
    <w:rPr>
      <w:rFonts w:eastAsiaTheme="majorEastAsia" w:cstheme="majorBidi"/>
      <w:b/>
      <w:sz w:val="32"/>
      <w:szCs w:val="26"/>
      <w:lang w:val="en-GB"/>
    </w:rPr>
  </w:style>
  <w:style w:type="paragraph" w:styleId="Titolo3">
    <w:name w:val="heading 3"/>
    <w:basedOn w:val="Normale"/>
    <w:next w:val="Normale"/>
    <w:link w:val="Titolo3Carattere"/>
    <w:uiPriority w:val="9"/>
    <w:unhideWhenUsed/>
    <w:qFormat/>
    <w:rsid w:val="0052667B"/>
    <w:pPr>
      <w:keepNext/>
      <w:keepLines/>
      <w:spacing w:before="120" w:after="120" w:line="240" w:lineRule="auto"/>
      <w:jc w:val="both"/>
      <w:outlineLvl w:val="2"/>
    </w:pPr>
    <w:rPr>
      <w:rFonts w:eastAsiaTheme="majorEastAsia" w:cstheme="majorBidi"/>
      <w:b/>
      <w:sz w:val="28"/>
      <w:szCs w:val="24"/>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52667B"/>
    <w:rPr>
      <w:rFonts w:ascii="Times New Roman" w:eastAsiaTheme="majorEastAsia" w:hAnsi="Times New Roman" w:cstheme="majorBidi"/>
      <w:b/>
      <w:sz w:val="28"/>
      <w:szCs w:val="24"/>
      <w:lang w:val="en-GB"/>
    </w:rPr>
  </w:style>
  <w:style w:type="character" w:customStyle="1" w:styleId="Titolo2Carattere">
    <w:name w:val="Titolo 2 Carattere"/>
    <w:basedOn w:val="Carpredefinitoparagrafo"/>
    <w:link w:val="Titolo2"/>
    <w:uiPriority w:val="9"/>
    <w:rsid w:val="0052667B"/>
    <w:rPr>
      <w:rFonts w:ascii="Times New Roman" w:eastAsiaTheme="majorEastAsia" w:hAnsi="Times New Roman" w:cstheme="majorBidi"/>
      <w:b/>
      <w:sz w:val="32"/>
      <w:szCs w:val="26"/>
      <w:lang w:val="en-GB"/>
    </w:rPr>
  </w:style>
  <w:style w:type="paragraph" w:styleId="Testofumetto">
    <w:name w:val="Balloon Text"/>
    <w:basedOn w:val="Normale"/>
    <w:link w:val="TestofumettoCarattere"/>
    <w:uiPriority w:val="99"/>
    <w:semiHidden/>
    <w:unhideWhenUsed/>
    <w:rsid w:val="00E356B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356B6"/>
    <w:rPr>
      <w:rFonts w:ascii="Segoe UI" w:hAnsi="Segoe UI" w:cs="Segoe UI"/>
      <w:sz w:val="18"/>
      <w:szCs w:val="18"/>
    </w:rPr>
  </w:style>
  <w:style w:type="paragraph" w:styleId="Bibliografia">
    <w:name w:val="Bibliography"/>
    <w:basedOn w:val="Normale"/>
    <w:next w:val="Normale"/>
    <w:uiPriority w:val="37"/>
    <w:unhideWhenUsed/>
    <w:rsid w:val="002C1BD2"/>
    <w:pPr>
      <w:spacing w:after="240" w:line="240" w:lineRule="auto"/>
    </w:pPr>
  </w:style>
  <w:style w:type="paragraph" w:styleId="Intestazione">
    <w:name w:val="header"/>
    <w:basedOn w:val="Normale"/>
    <w:link w:val="IntestazioneCarattere"/>
    <w:uiPriority w:val="99"/>
    <w:unhideWhenUsed/>
    <w:rsid w:val="00C603A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603AF"/>
  </w:style>
  <w:style w:type="paragraph" w:styleId="Pidipagina">
    <w:name w:val="footer"/>
    <w:basedOn w:val="Normale"/>
    <w:link w:val="PidipaginaCarattere"/>
    <w:uiPriority w:val="99"/>
    <w:unhideWhenUsed/>
    <w:rsid w:val="00C603A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603AF"/>
  </w:style>
  <w:style w:type="character" w:styleId="Numeroriga">
    <w:name w:val="line number"/>
    <w:basedOn w:val="Carpredefinitoparagrafo"/>
    <w:uiPriority w:val="99"/>
    <w:semiHidden/>
    <w:unhideWhenUsed/>
    <w:rsid w:val="00E763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8A2DB0-960C-4C2D-9814-BEE2995F2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5</Pages>
  <Words>3919</Words>
  <Characters>22341</Characters>
  <Application>Microsoft Office Word</Application>
  <DocSecurity>0</DocSecurity>
  <Lines>186</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Floriana Coppola</dc:creator>
  <cp:keywords/>
  <dc:description/>
  <cp:lastModifiedBy>Floriana Coppola</cp:lastModifiedBy>
  <cp:revision>36</cp:revision>
  <dcterms:created xsi:type="dcterms:W3CDTF">2020-03-30T12:35:00Z</dcterms:created>
  <dcterms:modified xsi:type="dcterms:W3CDTF">2020-04-23T14:21:00Z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zotero-version="5.0.85"&gt;&lt;session id="S4mKXE8U"/&gt;&lt;style id="http://www.zotero.org/styles/heritage-science" hasBibliography="1" bibliographyStyleHasBeenSet="1"/&gt;&lt;prefs&gt;&lt;pref name="automaticJournalAbbreviations" value="true"/&gt;&lt;pref nam</vt:lpwstr>
  </property>
  <property fmtid="{D5CDD505-2E9C-101B-9397-08002B2CF9AE}" pid="3" name="ZOTERO_PREF_2">
    <vt:lpwstr>e="fieldType" value="Field"/&gt;&lt;/prefs&gt;&lt;/data&gt;</vt:lpwstr>
  </property>
</Properties>
</file>