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F11C8D" w14:textId="58154401" w:rsidR="009D07D5" w:rsidRDefault="009D07D5" w:rsidP="009D07D5">
      <w:pPr>
        <w:pStyle w:val="RSCH01PaperTitle"/>
        <w:jc w:val="center"/>
      </w:pPr>
      <w:r>
        <w:t>Supporting Information</w:t>
      </w:r>
    </w:p>
    <w:p w14:paraId="225A1B07" w14:textId="45FE32D6" w:rsidR="009D07D5" w:rsidRPr="00C32EDF" w:rsidRDefault="009D07D5" w:rsidP="009D07D5">
      <w:pPr>
        <w:pStyle w:val="RSCH01PaperTitle"/>
      </w:pPr>
      <w:r w:rsidRPr="00286250">
        <w:t xml:space="preserve">Reduced graphene oxide / strontium titanate – investigation of improved photocatalytic activity </w:t>
      </w:r>
    </w:p>
    <w:p w14:paraId="75CB9E60" w14:textId="77777777" w:rsidR="009D07D5" w:rsidRPr="008125A0" w:rsidRDefault="009D07D5" w:rsidP="009D07D5">
      <w:pPr>
        <w:pStyle w:val="RSCB01ARTAbstract"/>
        <w:rPr>
          <w:rFonts w:cs="Times New Roman"/>
          <w:sz w:val="20"/>
          <w:vertAlign w:val="superscript"/>
        </w:rPr>
      </w:pPr>
      <w:r>
        <w:rPr>
          <w:rFonts w:cs="Times New Roman"/>
          <w:sz w:val="20"/>
        </w:rPr>
        <w:t>Tomasz Baran</w:t>
      </w:r>
      <w:r w:rsidRPr="008125A0">
        <w:rPr>
          <w:rFonts w:cs="Times New Roman"/>
          <w:sz w:val="20"/>
        </w:rPr>
        <w:t>*</w:t>
      </w:r>
      <w:r w:rsidRPr="008125A0">
        <w:rPr>
          <w:rFonts w:cs="Times New Roman"/>
          <w:sz w:val="20"/>
          <w:vertAlign w:val="superscript"/>
        </w:rPr>
        <w:t>a</w:t>
      </w:r>
      <w:r w:rsidRPr="008125A0">
        <w:rPr>
          <w:rFonts w:cs="Times New Roman"/>
          <w:sz w:val="20"/>
        </w:rPr>
        <w:t xml:space="preserve"> </w:t>
      </w:r>
      <w:r>
        <w:rPr>
          <w:rFonts w:cs="Times New Roman"/>
          <w:sz w:val="20"/>
        </w:rPr>
        <w:t>and Szymon Wojtyła</w:t>
      </w:r>
    </w:p>
    <w:p w14:paraId="449E8853" w14:textId="10E0B405" w:rsidR="00FD5DF6" w:rsidRPr="009D07D5" w:rsidRDefault="00FD5DF6">
      <w:pPr>
        <w:rPr>
          <w:lang w:val="en-US"/>
        </w:rPr>
      </w:pPr>
    </w:p>
    <w:p w14:paraId="1766CB75" w14:textId="5D97FE5A" w:rsidR="00FD5DF6" w:rsidRPr="009D07D5" w:rsidRDefault="00FD5DF6">
      <w:pPr>
        <w:rPr>
          <w:lang w:val="en-US"/>
        </w:rPr>
      </w:pPr>
    </w:p>
    <w:p w14:paraId="2B059B0A" w14:textId="11198808" w:rsidR="00FD5DF6" w:rsidRPr="009D07D5" w:rsidRDefault="00FD5DF6">
      <w:pPr>
        <w:rPr>
          <w:lang w:val="en-US"/>
        </w:rPr>
      </w:pPr>
    </w:p>
    <w:p w14:paraId="1B8453A1" w14:textId="3E890E39" w:rsidR="00FD5DF6" w:rsidRPr="009D07D5" w:rsidRDefault="00FD5DF6">
      <w:pPr>
        <w:rPr>
          <w:lang w:val="en-US"/>
        </w:rPr>
      </w:pPr>
    </w:p>
    <w:p w14:paraId="2AF3662B" w14:textId="56A341B5" w:rsidR="00FD5DF6" w:rsidRPr="009D07D5" w:rsidRDefault="00FD5DF6">
      <w:pPr>
        <w:rPr>
          <w:lang w:val="en-US"/>
        </w:rPr>
      </w:pPr>
    </w:p>
    <w:p w14:paraId="62DA254D" w14:textId="2E90921F" w:rsidR="00933EDF" w:rsidRPr="00933EDF" w:rsidRDefault="00933EDF" w:rsidP="00933EDF">
      <w:pPr>
        <w:pStyle w:val="Legenda"/>
        <w:keepNext/>
        <w:rPr>
          <w:color w:val="auto"/>
          <w:lang w:val="en-US"/>
        </w:rPr>
      </w:pPr>
      <w:r w:rsidRPr="00933EDF">
        <w:rPr>
          <w:color w:val="auto"/>
          <w:lang w:val="en-US"/>
        </w:rPr>
        <w:t xml:space="preserve">Table </w:t>
      </w:r>
      <w:r w:rsidRPr="00933EDF">
        <w:rPr>
          <w:color w:val="auto"/>
        </w:rPr>
        <w:fldChar w:fldCharType="begin"/>
      </w:r>
      <w:r w:rsidRPr="00933EDF">
        <w:rPr>
          <w:color w:val="auto"/>
          <w:lang w:val="en-US"/>
        </w:rPr>
        <w:instrText xml:space="preserve"> SEQ Table \* ARABIC </w:instrText>
      </w:r>
      <w:r w:rsidRPr="00933EDF">
        <w:rPr>
          <w:color w:val="auto"/>
        </w:rPr>
        <w:fldChar w:fldCharType="separate"/>
      </w:r>
      <w:r w:rsidR="00096CB9">
        <w:rPr>
          <w:noProof/>
          <w:color w:val="auto"/>
          <w:lang w:val="en-US"/>
        </w:rPr>
        <w:t>1</w:t>
      </w:r>
      <w:r w:rsidRPr="00933EDF">
        <w:rPr>
          <w:color w:val="auto"/>
        </w:rPr>
        <w:fldChar w:fldCharType="end"/>
      </w:r>
      <w:r w:rsidRPr="00933EDF">
        <w:rPr>
          <w:color w:val="auto"/>
          <w:lang w:val="en-US"/>
        </w:rPr>
        <w:t>. Calculation of crystallite s</w:t>
      </w:r>
      <w:r>
        <w:rPr>
          <w:color w:val="auto"/>
          <w:lang w:val="en-US"/>
        </w:rPr>
        <w:t xml:space="preserve">ize according to </w:t>
      </w:r>
      <w:r w:rsidRPr="00933EDF">
        <w:rPr>
          <w:color w:val="auto"/>
          <w:lang w:val="en-US"/>
        </w:rPr>
        <w:t>Scherrer's equation</w:t>
      </w:r>
      <w:r>
        <w:rPr>
          <w:color w:val="auto"/>
          <w:lang w:val="en-US"/>
        </w:rPr>
        <w:t xml:space="preserve">. </w:t>
      </w:r>
      <w:r w:rsidRPr="00933EDF">
        <w:rPr>
          <w:color w:val="auto"/>
          <w:lang w:val="en-US"/>
        </w:rPr>
        <w:t xml:space="preserve">X-Ray </w:t>
      </w:r>
      <w:r>
        <w:rPr>
          <w:color w:val="auto"/>
          <w:lang w:val="en-US"/>
        </w:rPr>
        <w:t>w</w:t>
      </w:r>
      <w:r w:rsidRPr="00933EDF">
        <w:rPr>
          <w:color w:val="auto"/>
          <w:lang w:val="en-US"/>
        </w:rPr>
        <w:t>avelength</w:t>
      </w:r>
      <w:r>
        <w:rPr>
          <w:color w:val="auto"/>
          <w:lang w:val="en-US"/>
        </w:rPr>
        <w:t xml:space="preserve"> was </w:t>
      </w:r>
      <w:bookmarkStart w:id="0" w:name="_Hlk60418833"/>
      <w:r w:rsidRPr="00933EDF">
        <w:rPr>
          <w:color w:val="auto"/>
          <w:lang w:val="en-US"/>
        </w:rPr>
        <w:t>0.15418</w:t>
      </w:r>
      <w:bookmarkEnd w:id="0"/>
      <w:r>
        <w:rPr>
          <w:color w:val="auto"/>
          <w:lang w:val="en-US"/>
        </w:rPr>
        <w:t xml:space="preserve"> (</w:t>
      </w:r>
      <w:r w:rsidRPr="00933EDF">
        <w:rPr>
          <w:color w:val="auto"/>
          <w:lang w:val="en-US"/>
        </w:rPr>
        <w:t>Cu K-alpha</w:t>
      </w:r>
      <w:r>
        <w:rPr>
          <w:color w:val="auto"/>
          <w:lang w:val="en-US"/>
        </w:rPr>
        <w:t>) and K factor was 0.94.</w:t>
      </w:r>
    </w:p>
    <w:tbl>
      <w:tblPr>
        <w:tblStyle w:val="Tabelasiatki2"/>
        <w:tblW w:w="0" w:type="auto"/>
        <w:tblLook w:val="04A0" w:firstRow="1" w:lastRow="0" w:firstColumn="1" w:lastColumn="0" w:noHBand="0" w:noVBand="1"/>
      </w:tblPr>
      <w:tblGrid>
        <w:gridCol w:w="1812"/>
        <w:gridCol w:w="1812"/>
        <w:gridCol w:w="1812"/>
        <w:gridCol w:w="1813"/>
        <w:gridCol w:w="1813"/>
      </w:tblGrid>
      <w:tr w:rsidR="00FD5DF6" w14:paraId="6B50148E" w14:textId="77777777" w:rsidTr="00933E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vAlign w:val="center"/>
          </w:tcPr>
          <w:p w14:paraId="2E185AD3" w14:textId="67D10D35" w:rsidR="00FD5DF6" w:rsidRDefault="00FD5DF6" w:rsidP="00933EDF">
            <w:pPr>
              <w:jc w:val="center"/>
            </w:pPr>
            <w:proofErr w:type="spellStart"/>
            <w:r>
              <w:t>Sample</w:t>
            </w:r>
            <w:proofErr w:type="spellEnd"/>
          </w:p>
        </w:tc>
        <w:tc>
          <w:tcPr>
            <w:tcW w:w="1812" w:type="dxa"/>
            <w:vAlign w:val="center"/>
          </w:tcPr>
          <w:p w14:paraId="776129A8" w14:textId="55B9D077" w:rsidR="00FD5DF6" w:rsidRDefault="00FD5DF6" w:rsidP="00933EDF">
            <w:pPr>
              <w:jc w:val="center"/>
              <w:cnfStyle w:val="100000000000" w:firstRow="1" w:lastRow="0" w:firstColumn="0" w:lastColumn="0" w:oddVBand="0" w:evenVBand="0" w:oddHBand="0" w:evenHBand="0" w:firstRowFirstColumn="0" w:firstRowLastColumn="0" w:lastRowFirstColumn="0" w:lastRowLastColumn="0"/>
            </w:pPr>
            <w:r>
              <w:t>2θ (</w:t>
            </w:r>
            <w:proofErr w:type="spellStart"/>
            <w:r>
              <w:t>degree</w:t>
            </w:r>
            <w:proofErr w:type="spellEnd"/>
            <w:r>
              <w:t>)</w:t>
            </w:r>
          </w:p>
        </w:tc>
        <w:tc>
          <w:tcPr>
            <w:tcW w:w="1812" w:type="dxa"/>
            <w:vAlign w:val="center"/>
          </w:tcPr>
          <w:p w14:paraId="6587FAE4" w14:textId="5EE9FEA9" w:rsidR="00FD5DF6" w:rsidRDefault="00FD5DF6" w:rsidP="00933EDF">
            <w:pPr>
              <w:jc w:val="center"/>
              <w:cnfStyle w:val="100000000000" w:firstRow="1" w:lastRow="0" w:firstColumn="0" w:lastColumn="0" w:oddVBand="0" w:evenVBand="0" w:oddHBand="0" w:evenHBand="0" w:firstRowFirstColumn="0" w:firstRowLastColumn="0" w:lastRowFirstColumn="0" w:lastRowLastColumn="0"/>
            </w:pPr>
            <w:r>
              <w:t xml:space="preserve">Miller index </w:t>
            </w:r>
            <w:proofErr w:type="spellStart"/>
            <w:r>
              <w:t>hkl</w:t>
            </w:r>
            <w:proofErr w:type="spellEnd"/>
          </w:p>
        </w:tc>
        <w:tc>
          <w:tcPr>
            <w:tcW w:w="1813" w:type="dxa"/>
            <w:vAlign w:val="center"/>
          </w:tcPr>
          <w:p w14:paraId="2CB0F1CB" w14:textId="24D34CB5" w:rsidR="00FD5DF6" w:rsidRDefault="00FD5DF6" w:rsidP="00933EDF">
            <w:pPr>
              <w:jc w:val="center"/>
              <w:cnfStyle w:val="100000000000" w:firstRow="1" w:lastRow="0" w:firstColumn="0" w:lastColumn="0" w:oddVBand="0" w:evenVBand="0" w:oddHBand="0" w:evenHBand="0" w:firstRowFirstColumn="0" w:firstRowLastColumn="0" w:lastRowFirstColumn="0" w:lastRowLastColumn="0"/>
            </w:pPr>
            <w:r>
              <w:t>FWHM</w:t>
            </w:r>
          </w:p>
        </w:tc>
        <w:tc>
          <w:tcPr>
            <w:tcW w:w="1813" w:type="dxa"/>
            <w:vAlign w:val="center"/>
          </w:tcPr>
          <w:p w14:paraId="1B38C0FB" w14:textId="1FB943F3" w:rsidR="00FD5DF6" w:rsidRDefault="00FD5DF6" w:rsidP="00933EDF">
            <w:pPr>
              <w:jc w:val="center"/>
              <w:cnfStyle w:val="100000000000" w:firstRow="1" w:lastRow="0" w:firstColumn="0" w:lastColumn="0" w:oddVBand="0" w:evenVBand="0" w:oddHBand="0" w:evenHBand="0" w:firstRowFirstColumn="0" w:firstRowLastColumn="0" w:lastRowFirstColumn="0" w:lastRowLastColumn="0"/>
            </w:pPr>
            <w:proofErr w:type="spellStart"/>
            <w:r>
              <w:t>Crystallite</w:t>
            </w:r>
            <w:proofErr w:type="spellEnd"/>
            <w:r>
              <w:t xml:space="preserve"> </w:t>
            </w:r>
            <w:proofErr w:type="spellStart"/>
            <w:r>
              <w:t>size</w:t>
            </w:r>
            <w:proofErr w:type="spellEnd"/>
          </w:p>
        </w:tc>
      </w:tr>
      <w:tr w:rsidR="003C0B1F" w14:paraId="18BFFFBA" w14:textId="77777777" w:rsidTr="00933E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vMerge w:val="restart"/>
            <w:vAlign w:val="center"/>
          </w:tcPr>
          <w:p w14:paraId="7A316E57" w14:textId="24F71839" w:rsidR="003C0B1F" w:rsidRDefault="003C0B1F" w:rsidP="00933EDF">
            <w:pPr>
              <w:jc w:val="center"/>
            </w:pPr>
            <w:r>
              <w:t>STO</w:t>
            </w:r>
          </w:p>
        </w:tc>
        <w:tc>
          <w:tcPr>
            <w:tcW w:w="1812" w:type="dxa"/>
            <w:vAlign w:val="center"/>
          </w:tcPr>
          <w:p w14:paraId="5562E907" w14:textId="47B834F8" w:rsidR="003C0B1F" w:rsidRDefault="003C0B1F" w:rsidP="00933EDF">
            <w:pPr>
              <w:jc w:val="center"/>
              <w:cnfStyle w:val="000000100000" w:firstRow="0" w:lastRow="0" w:firstColumn="0" w:lastColumn="0" w:oddVBand="0" w:evenVBand="0" w:oddHBand="1" w:evenHBand="0" w:firstRowFirstColumn="0" w:firstRowLastColumn="0" w:lastRowFirstColumn="0" w:lastRowLastColumn="0"/>
            </w:pPr>
            <w:r>
              <w:t>32.41</w:t>
            </w:r>
          </w:p>
        </w:tc>
        <w:tc>
          <w:tcPr>
            <w:tcW w:w="1812" w:type="dxa"/>
            <w:vAlign w:val="center"/>
          </w:tcPr>
          <w:p w14:paraId="4E92A143" w14:textId="09EB2BFC" w:rsidR="003C0B1F" w:rsidRDefault="003C0B1F" w:rsidP="00933EDF">
            <w:pPr>
              <w:jc w:val="center"/>
              <w:cnfStyle w:val="000000100000" w:firstRow="0" w:lastRow="0" w:firstColumn="0" w:lastColumn="0" w:oddVBand="0" w:evenVBand="0" w:oddHBand="1" w:evenHBand="0" w:firstRowFirstColumn="0" w:firstRowLastColumn="0" w:lastRowFirstColumn="0" w:lastRowLastColumn="0"/>
            </w:pPr>
            <w:r>
              <w:t>110</w:t>
            </w:r>
          </w:p>
        </w:tc>
        <w:tc>
          <w:tcPr>
            <w:tcW w:w="1813" w:type="dxa"/>
            <w:vAlign w:val="center"/>
          </w:tcPr>
          <w:p w14:paraId="6A415A82" w14:textId="2C8F6243" w:rsidR="003C0B1F" w:rsidRDefault="003C0B1F" w:rsidP="00933EDF">
            <w:pPr>
              <w:jc w:val="center"/>
              <w:cnfStyle w:val="000000100000" w:firstRow="0" w:lastRow="0" w:firstColumn="0" w:lastColumn="0" w:oddVBand="0" w:evenVBand="0" w:oddHBand="1" w:evenHBand="0" w:firstRowFirstColumn="0" w:firstRowLastColumn="0" w:lastRowFirstColumn="0" w:lastRowLastColumn="0"/>
            </w:pPr>
            <w:r>
              <w:t>0.2148</w:t>
            </w:r>
          </w:p>
        </w:tc>
        <w:tc>
          <w:tcPr>
            <w:tcW w:w="1813" w:type="dxa"/>
            <w:vAlign w:val="center"/>
          </w:tcPr>
          <w:p w14:paraId="683A1EE4" w14:textId="4F67AE90" w:rsidR="003C0B1F" w:rsidRDefault="003C0B1F" w:rsidP="00933EDF">
            <w:pPr>
              <w:jc w:val="center"/>
              <w:cnfStyle w:val="000000100000" w:firstRow="0" w:lastRow="0" w:firstColumn="0" w:lastColumn="0" w:oddVBand="0" w:evenVBand="0" w:oddHBand="1" w:evenHBand="0" w:firstRowFirstColumn="0" w:firstRowLastColumn="0" w:lastRowFirstColumn="0" w:lastRowLastColumn="0"/>
            </w:pPr>
            <w:r>
              <w:t xml:space="preserve">40.35 </w:t>
            </w:r>
            <w:proofErr w:type="spellStart"/>
            <w:r>
              <w:t>nm</w:t>
            </w:r>
            <w:proofErr w:type="spellEnd"/>
          </w:p>
        </w:tc>
      </w:tr>
      <w:tr w:rsidR="003C0B1F" w14:paraId="3F7A96DB" w14:textId="77777777" w:rsidTr="00933EDF">
        <w:tc>
          <w:tcPr>
            <w:cnfStyle w:val="001000000000" w:firstRow="0" w:lastRow="0" w:firstColumn="1" w:lastColumn="0" w:oddVBand="0" w:evenVBand="0" w:oddHBand="0" w:evenHBand="0" w:firstRowFirstColumn="0" w:firstRowLastColumn="0" w:lastRowFirstColumn="0" w:lastRowLastColumn="0"/>
            <w:tcW w:w="1812" w:type="dxa"/>
            <w:vMerge/>
            <w:vAlign w:val="center"/>
          </w:tcPr>
          <w:p w14:paraId="47812BE7" w14:textId="77777777" w:rsidR="003C0B1F" w:rsidRDefault="003C0B1F" w:rsidP="00933EDF">
            <w:pPr>
              <w:jc w:val="center"/>
            </w:pPr>
          </w:p>
        </w:tc>
        <w:tc>
          <w:tcPr>
            <w:tcW w:w="1812" w:type="dxa"/>
            <w:vAlign w:val="center"/>
          </w:tcPr>
          <w:p w14:paraId="417E06DF" w14:textId="0C724972" w:rsidR="003C0B1F" w:rsidRDefault="003C0B1F" w:rsidP="00933EDF">
            <w:pPr>
              <w:jc w:val="center"/>
              <w:cnfStyle w:val="000000000000" w:firstRow="0" w:lastRow="0" w:firstColumn="0" w:lastColumn="0" w:oddVBand="0" w:evenVBand="0" w:oddHBand="0" w:evenHBand="0" w:firstRowFirstColumn="0" w:firstRowLastColumn="0" w:lastRowFirstColumn="0" w:lastRowLastColumn="0"/>
            </w:pPr>
            <w:r>
              <w:t>39.98</w:t>
            </w:r>
          </w:p>
        </w:tc>
        <w:tc>
          <w:tcPr>
            <w:tcW w:w="1812" w:type="dxa"/>
            <w:vAlign w:val="center"/>
          </w:tcPr>
          <w:p w14:paraId="1ADA7D91" w14:textId="5601E1B1" w:rsidR="003C0B1F" w:rsidRDefault="003C0B1F" w:rsidP="00933EDF">
            <w:pPr>
              <w:jc w:val="center"/>
              <w:cnfStyle w:val="000000000000" w:firstRow="0" w:lastRow="0" w:firstColumn="0" w:lastColumn="0" w:oddVBand="0" w:evenVBand="0" w:oddHBand="0" w:evenHBand="0" w:firstRowFirstColumn="0" w:firstRowLastColumn="0" w:lastRowFirstColumn="0" w:lastRowLastColumn="0"/>
            </w:pPr>
            <w:r>
              <w:t>111</w:t>
            </w:r>
          </w:p>
        </w:tc>
        <w:tc>
          <w:tcPr>
            <w:tcW w:w="1813" w:type="dxa"/>
            <w:vAlign w:val="center"/>
          </w:tcPr>
          <w:p w14:paraId="4B0FF460" w14:textId="576AFF54" w:rsidR="003C0B1F" w:rsidRDefault="003C0B1F" w:rsidP="00933EDF">
            <w:pPr>
              <w:jc w:val="center"/>
              <w:cnfStyle w:val="000000000000" w:firstRow="0" w:lastRow="0" w:firstColumn="0" w:lastColumn="0" w:oddVBand="0" w:evenVBand="0" w:oddHBand="0" w:evenHBand="0" w:firstRowFirstColumn="0" w:firstRowLastColumn="0" w:lastRowFirstColumn="0" w:lastRowLastColumn="0"/>
            </w:pPr>
            <w:r>
              <w:t>0.2293</w:t>
            </w:r>
          </w:p>
        </w:tc>
        <w:tc>
          <w:tcPr>
            <w:tcW w:w="1813" w:type="dxa"/>
            <w:vAlign w:val="center"/>
          </w:tcPr>
          <w:p w14:paraId="3E1ED267" w14:textId="67461288" w:rsidR="003C0B1F" w:rsidRDefault="003C0B1F" w:rsidP="00933EDF">
            <w:pPr>
              <w:jc w:val="center"/>
              <w:cnfStyle w:val="000000000000" w:firstRow="0" w:lastRow="0" w:firstColumn="0" w:lastColumn="0" w:oddVBand="0" w:evenVBand="0" w:oddHBand="0" w:evenHBand="0" w:firstRowFirstColumn="0" w:firstRowLastColumn="0" w:lastRowFirstColumn="0" w:lastRowLastColumn="0"/>
            </w:pPr>
            <w:r>
              <w:t xml:space="preserve">38.52 </w:t>
            </w:r>
            <w:proofErr w:type="spellStart"/>
            <w:r>
              <w:t>nm</w:t>
            </w:r>
            <w:proofErr w:type="spellEnd"/>
          </w:p>
        </w:tc>
      </w:tr>
      <w:tr w:rsidR="003C0B1F" w14:paraId="3C20383D" w14:textId="77777777" w:rsidTr="00933E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vMerge/>
            <w:vAlign w:val="center"/>
          </w:tcPr>
          <w:p w14:paraId="18C22F75" w14:textId="77777777" w:rsidR="003C0B1F" w:rsidRDefault="003C0B1F" w:rsidP="00933EDF">
            <w:pPr>
              <w:jc w:val="center"/>
            </w:pPr>
          </w:p>
        </w:tc>
        <w:tc>
          <w:tcPr>
            <w:tcW w:w="1812" w:type="dxa"/>
            <w:vAlign w:val="center"/>
          </w:tcPr>
          <w:p w14:paraId="6CA34769" w14:textId="6299BA8B" w:rsidR="003C0B1F" w:rsidRDefault="003C0B1F" w:rsidP="00933EDF">
            <w:pPr>
              <w:jc w:val="center"/>
              <w:cnfStyle w:val="000000100000" w:firstRow="0" w:lastRow="0" w:firstColumn="0" w:lastColumn="0" w:oddVBand="0" w:evenVBand="0" w:oddHBand="1" w:evenHBand="0" w:firstRowFirstColumn="0" w:firstRowLastColumn="0" w:lastRowFirstColumn="0" w:lastRowLastColumn="0"/>
            </w:pPr>
            <w:r>
              <w:t>46.50</w:t>
            </w:r>
          </w:p>
        </w:tc>
        <w:tc>
          <w:tcPr>
            <w:tcW w:w="1812" w:type="dxa"/>
            <w:vAlign w:val="center"/>
          </w:tcPr>
          <w:p w14:paraId="4EF771EB" w14:textId="19A9995E" w:rsidR="003C0B1F" w:rsidRDefault="003C0B1F" w:rsidP="00933EDF">
            <w:pPr>
              <w:jc w:val="center"/>
              <w:cnfStyle w:val="000000100000" w:firstRow="0" w:lastRow="0" w:firstColumn="0" w:lastColumn="0" w:oddVBand="0" w:evenVBand="0" w:oddHBand="1" w:evenHBand="0" w:firstRowFirstColumn="0" w:firstRowLastColumn="0" w:lastRowFirstColumn="0" w:lastRowLastColumn="0"/>
            </w:pPr>
            <w:r>
              <w:t>200</w:t>
            </w:r>
          </w:p>
        </w:tc>
        <w:tc>
          <w:tcPr>
            <w:tcW w:w="1813" w:type="dxa"/>
            <w:vAlign w:val="center"/>
          </w:tcPr>
          <w:p w14:paraId="05DA1812" w14:textId="09406856" w:rsidR="003C0B1F" w:rsidRDefault="003C0B1F" w:rsidP="00933EDF">
            <w:pPr>
              <w:jc w:val="center"/>
              <w:cnfStyle w:val="000000100000" w:firstRow="0" w:lastRow="0" w:firstColumn="0" w:lastColumn="0" w:oddVBand="0" w:evenVBand="0" w:oddHBand="1" w:evenHBand="0" w:firstRowFirstColumn="0" w:firstRowLastColumn="0" w:lastRowFirstColumn="0" w:lastRowLastColumn="0"/>
            </w:pPr>
            <w:r>
              <w:t>0.2453</w:t>
            </w:r>
          </w:p>
        </w:tc>
        <w:tc>
          <w:tcPr>
            <w:tcW w:w="1813" w:type="dxa"/>
            <w:vAlign w:val="center"/>
          </w:tcPr>
          <w:p w14:paraId="1ADA19E5" w14:textId="741CD3F6" w:rsidR="003C0B1F" w:rsidRDefault="003C0B1F" w:rsidP="00933EDF">
            <w:pPr>
              <w:jc w:val="center"/>
              <w:cnfStyle w:val="000000100000" w:firstRow="0" w:lastRow="0" w:firstColumn="0" w:lastColumn="0" w:oddVBand="0" w:evenVBand="0" w:oddHBand="1" w:evenHBand="0" w:firstRowFirstColumn="0" w:firstRowLastColumn="0" w:lastRowFirstColumn="0" w:lastRowLastColumn="0"/>
            </w:pPr>
            <w:r>
              <w:t xml:space="preserve">36.83 </w:t>
            </w:r>
            <w:proofErr w:type="spellStart"/>
            <w:r>
              <w:t>nm</w:t>
            </w:r>
            <w:proofErr w:type="spellEnd"/>
          </w:p>
        </w:tc>
      </w:tr>
      <w:tr w:rsidR="003C0B1F" w14:paraId="62B9B8F6" w14:textId="77777777" w:rsidTr="00933EDF">
        <w:tc>
          <w:tcPr>
            <w:cnfStyle w:val="001000000000" w:firstRow="0" w:lastRow="0" w:firstColumn="1" w:lastColumn="0" w:oddVBand="0" w:evenVBand="0" w:oddHBand="0" w:evenHBand="0" w:firstRowFirstColumn="0" w:firstRowLastColumn="0" w:lastRowFirstColumn="0" w:lastRowLastColumn="0"/>
            <w:tcW w:w="1812" w:type="dxa"/>
            <w:vMerge/>
            <w:vAlign w:val="center"/>
          </w:tcPr>
          <w:p w14:paraId="3B1A5207" w14:textId="77777777" w:rsidR="003C0B1F" w:rsidRDefault="003C0B1F" w:rsidP="00933EDF">
            <w:pPr>
              <w:jc w:val="center"/>
            </w:pPr>
          </w:p>
        </w:tc>
        <w:tc>
          <w:tcPr>
            <w:tcW w:w="1812" w:type="dxa"/>
            <w:vAlign w:val="center"/>
          </w:tcPr>
          <w:p w14:paraId="7BC9B686" w14:textId="2C38FD3E" w:rsidR="003C0B1F" w:rsidRDefault="003C0B1F" w:rsidP="00933EDF">
            <w:pPr>
              <w:jc w:val="center"/>
              <w:cnfStyle w:val="000000000000" w:firstRow="0" w:lastRow="0" w:firstColumn="0" w:lastColumn="0" w:oddVBand="0" w:evenVBand="0" w:oddHBand="0" w:evenHBand="0" w:firstRowFirstColumn="0" w:firstRowLastColumn="0" w:lastRowFirstColumn="0" w:lastRowLastColumn="0"/>
            </w:pPr>
            <w:r>
              <w:t>57.83</w:t>
            </w:r>
          </w:p>
        </w:tc>
        <w:tc>
          <w:tcPr>
            <w:tcW w:w="1812" w:type="dxa"/>
            <w:vAlign w:val="center"/>
          </w:tcPr>
          <w:p w14:paraId="046C26AC" w14:textId="75C7078E" w:rsidR="003C0B1F" w:rsidRDefault="003C0B1F" w:rsidP="00933EDF">
            <w:pPr>
              <w:jc w:val="center"/>
              <w:cnfStyle w:val="000000000000" w:firstRow="0" w:lastRow="0" w:firstColumn="0" w:lastColumn="0" w:oddVBand="0" w:evenVBand="0" w:oddHBand="0" w:evenHBand="0" w:firstRowFirstColumn="0" w:firstRowLastColumn="0" w:lastRowFirstColumn="0" w:lastRowLastColumn="0"/>
            </w:pPr>
            <w:r>
              <w:t>211</w:t>
            </w:r>
          </w:p>
        </w:tc>
        <w:tc>
          <w:tcPr>
            <w:tcW w:w="1813" w:type="dxa"/>
            <w:vAlign w:val="center"/>
          </w:tcPr>
          <w:p w14:paraId="44144EDB" w14:textId="3515DC22" w:rsidR="003C0B1F" w:rsidRDefault="003C0B1F" w:rsidP="00933EDF">
            <w:pPr>
              <w:jc w:val="center"/>
              <w:cnfStyle w:val="000000000000" w:firstRow="0" w:lastRow="0" w:firstColumn="0" w:lastColumn="0" w:oddVBand="0" w:evenVBand="0" w:oddHBand="0" w:evenHBand="0" w:firstRowFirstColumn="0" w:firstRowLastColumn="0" w:lastRowFirstColumn="0" w:lastRowLastColumn="0"/>
            </w:pPr>
            <w:r>
              <w:t>0.2854</w:t>
            </w:r>
          </w:p>
        </w:tc>
        <w:tc>
          <w:tcPr>
            <w:tcW w:w="1813" w:type="dxa"/>
            <w:vAlign w:val="center"/>
          </w:tcPr>
          <w:p w14:paraId="5A21EE24" w14:textId="72C9993A" w:rsidR="003C0B1F" w:rsidRDefault="003C0B1F" w:rsidP="00933EDF">
            <w:pPr>
              <w:jc w:val="center"/>
              <w:cnfStyle w:val="000000000000" w:firstRow="0" w:lastRow="0" w:firstColumn="0" w:lastColumn="0" w:oddVBand="0" w:evenVBand="0" w:oddHBand="0" w:evenHBand="0" w:firstRowFirstColumn="0" w:firstRowLastColumn="0" w:lastRowFirstColumn="0" w:lastRowLastColumn="0"/>
            </w:pPr>
            <w:r>
              <w:t xml:space="preserve">33.83 </w:t>
            </w:r>
            <w:proofErr w:type="spellStart"/>
            <w:r>
              <w:t>nm</w:t>
            </w:r>
            <w:proofErr w:type="spellEnd"/>
          </w:p>
        </w:tc>
      </w:tr>
      <w:tr w:rsidR="003C0B1F" w14:paraId="74C85915" w14:textId="77777777" w:rsidTr="00933E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vMerge/>
            <w:vAlign w:val="center"/>
          </w:tcPr>
          <w:p w14:paraId="24AE4171" w14:textId="77777777" w:rsidR="003C0B1F" w:rsidRDefault="003C0B1F" w:rsidP="00933EDF">
            <w:pPr>
              <w:jc w:val="center"/>
            </w:pPr>
          </w:p>
        </w:tc>
        <w:tc>
          <w:tcPr>
            <w:tcW w:w="1812" w:type="dxa"/>
            <w:vAlign w:val="center"/>
          </w:tcPr>
          <w:p w14:paraId="4C114C57" w14:textId="209C25DE" w:rsidR="003C0B1F" w:rsidRDefault="003C0B1F" w:rsidP="00933EDF">
            <w:pPr>
              <w:jc w:val="center"/>
              <w:cnfStyle w:val="000000100000" w:firstRow="0" w:lastRow="0" w:firstColumn="0" w:lastColumn="0" w:oddVBand="0" w:evenVBand="0" w:oddHBand="1" w:evenHBand="0" w:firstRowFirstColumn="0" w:firstRowLastColumn="0" w:lastRowFirstColumn="0" w:lastRowLastColumn="0"/>
            </w:pPr>
            <w:r>
              <w:t>77.23</w:t>
            </w:r>
          </w:p>
        </w:tc>
        <w:tc>
          <w:tcPr>
            <w:tcW w:w="1812" w:type="dxa"/>
            <w:vAlign w:val="center"/>
          </w:tcPr>
          <w:p w14:paraId="4EAA7999" w14:textId="3D49B655" w:rsidR="003C0B1F" w:rsidRDefault="003C0B1F" w:rsidP="00933EDF">
            <w:pPr>
              <w:jc w:val="center"/>
              <w:cnfStyle w:val="000000100000" w:firstRow="0" w:lastRow="0" w:firstColumn="0" w:lastColumn="0" w:oddVBand="0" w:evenVBand="0" w:oddHBand="1" w:evenHBand="0" w:firstRowFirstColumn="0" w:firstRowLastColumn="0" w:lastRowFirstColumn="0" w:lastRowLastColumn="0"/>
            </w:pPr>
            <w:r>
              <w:t>310</w:t>
            </w:r>
          </w:p>
        </w:tc>
        <w:tc>
          <w:tcPr>
            <w:tcW w:w="1813" w:type="dxa"/>
            <w:vAlign w:val="center"/>
          </w:tcPr>
          <w:p w14:paraId="7D07D42B" w14:textId="73C078EB" w:rsidR="003C0B1F" w:rsidRDefault="00933EDF" w:rsidP="00933EDF">
            <w:pPr>
              <w:jc w:val="center"/>
              <w:cnfStyle w:val="000000100000" w:firstRow="0" w:lastRow="0" w:firstColumn="0" w:lastColumn="0" w:oddVBand="0" w:evenVBand="0" w:oddHBand="1" w:evenHBand="0" w:firstRowFirstColumn="0" w:firstRowLastColumn="0" w:lastRowFirstColumn="0" w:lastRowLastColumn="0"/>
            </w:pPr>
            <w:r>
              <w:t>0.3823</w:t>
            </w:r>
          </w:p>
        </w:tc>
        <w:tc>
          <w:tcPr>
            <w:tcW w:w="1813" w:type="dxa"/>
            <w:vAlign w:val="center"/>
          </w:tcPr>
          <w:p w14:paraId="306383E9" w14:textId="4F2B92B3" w:rsidR="003C0B1F" w:rsidRDefault="00933EDF" w:rsidP="00933EDF">
            <w:pPr>
              <w:jc w:val="center"/>
              <w:cnfStyle w:val="000000100000" w:firstRow="0" w:lastRow="0" w:firstColumn="0" w:lastColumn="0" w:oddVBand="0" w:evenVBand="0" w:oddHBand="1" w:evenHBand="0" w:firstRowFirstColumn="0" w:firstRowLastColumn="0" w:lastRowFirstColumn="0" w:lastRowLastColumn="0"/>
            </w:pPr>
            <w:r>
              <w:t xml:space="preserve">27.79 </w:t>
            </w:r>
            <w:proofErr w:type="spellStart"/>
            <w:r>
              <w:t>nm</w:t>
            </w:r>
            <w:proofErr w:type="spellEnd"/>
          </w:p>
        </w:tc>
      </w:tr>
      <w:tr w:rsidR="003C0B1F" w14:paraId="41618328" w14:textId="77777777" w:rsidTr="00933EDF">
        <w:trPr>
          <w:trHeight w:val="342"/>
        </w:trPr>
        <w:tc>
          <w:tcPr>
            <w:cnfStyle w:val="001000000000" w:firstRow="0" w:lastRow="0" w:firstColumn="1" w:lastColumn="0" w:oddVBand="0" w:evenVBand="0" w:oddHBand="0" w:evenHBand="0" w:firstRowFirstColumn="0" w:firstRowLastColumn="0" w:lastRowFirstColumn="0" w:lastRowLastColumn="0"/>
            <w:tcW w:w="1812" w:type="dxa"/>
            <w:vMerge/>
            <w:vAlign w:val="center"/>
          </w:tcPr>
          <w:p w14:paraId="5FD14105" w14:textId="77777777" w:rsidR="003C0B1F" w:rsidRDefault="003C0B1F" w:rsidP="00933EDF">
            <w:pPr>
              <w:jc w:val="center"/>
            </w:pPr>
          </w:p>
        </w:tc>
        <w:tc>
          <w:tcPr>
            <w:tcW w:w="1812" w:type="dxa"/>
            <w:vAlign w:val="center"/>
          </w:tcPr>
          <w:p w14:paraId="79B844BD" w14:textId="4E893A2B" w:rsidR="003C0B1F" w:rsidRDefault="003C0B1F" w:rsidP="00933EDF">
            <w:pPr>
              <w:jc w:val="center"/>
              <w:cnfStyle w:val="000000000000" w:firstRow="0" w:lastRow="0" w:firstColumn="0" w:lastColumn="0" w:oddVBand="0" w:evenVBand="0" w:oddHBand="0" w:evenHBand="0" w:firstRowFirstColumn="0" w:firstRowLastColumn="0" w:lastRowFirstColumn="0" w:lastRowLastColumn="0"/>
            </w:pPr>
            <w:r>
              <w:t>86.25</w:t>
            </w:r>
          </w:p>
        </w:tc>
        <w:tc>
          <w:tcPr>
            <w:tcW w:w="1812" w:type="dxa"/>
            <w:vAlign w:val="center"/>
          </w:tcPr>
          <w:p w14:paraId="2D320464" w14:textId="46950F14" w:rsidR="003C0B1F" w:rsidRDefault="00933EDF" w:rsidP="00933EDF">
            <w:pPr>
              <w:jc w:val="center"/>
              <w:cnfStyle w:val="000000000000" w:firstRow="0" w:lastRow="0" w:firstColumn="0" w:lastColumn="0" w:oddVBand="0" w:evenVBand="0" w:oddHBand="0" w:evenHBand="0" w:firstRowFirstColumn="0" w:firstRowLastColumn="0" w:lastRowFirstColumn="0" w:lastRowLastColumn="0"/>
            </w:pPr>
            <w:r>
              <w:t>222</w:t>
            </w:r>
          </w:p>
        </w:tc>
        <w:tc>
          <w:tcPr>
            <w:tcW w:w="1813" w:type="dxa"/>
            <w:vAlign w:val="center"/>
          </w:tcPr>
          <w:p w14:paraId="72DF425F" w14:textId="3A3EF717" w:rsidR="003C0B1F" w:rsidRDefault="00933EDF" w:rsidP="00933EDF">
            <w:pPr>
              <w:jc w:val="center"/>
              <w:cnfStyle w:val="000000000000" w:firstRow="0" w:lastRow="0" w:firstColumn="0" w:lastColumn="0" w:oddVBand="0" w:evenVBand="0" w:oddHBand="0" w:evenHBand="0" w:firstRowFirstColumn="0" w:firstRowLastColumn="0" w:lastRowFirstColumn="0" w:lastRowLastColumn="0"/>
            </w:pPr>
            <w:r>
              <w:t>0.4234</w:t>
            </w:r>
          </w:p>
        </w:tc>
        <w:tc>
          <w:tcPr>
            <w:tcW w:w="1813" w:type="dxa"/>
            <w:vAlign w:val="center"/>
          </w:tcPr>
          <w:p w14:paraId="7A0232BD" w14:textId="3F7ED663" w:rsidR="003C0B1F" w:rsidRDefault="00933EDF" w:rsidP="00933EDF">
            <w:pPr>
              <w:jc w:val="center"/>
              <w:cnfStyle w:val="000000000000" w:firstRow="0" w:lastRow="0" w:firstColumn="0" w:lastColumn="0" w:oddVBand="0" w:evenVBand="0" w:oddHBand="0" w:evenHBand="0" w:firstRowFirstColumn="0" w:firstRowLastColumn="0" w:lastRowFirstColumn="0" w:lastRowLastColumn="0"/>
            </w:pPr>
            <w:r>
              <w:t xml:space="preserve">26.87 </w:t>
            </w:r>
            <w:proofErr w:type="spellStart"/>
            <w:r>
              <w:t>nm</w:t>
            </w:r>
            <w:proofErr w:type="spellEnd"/>
          </w:p>
        </w:tc>
      </w:tr>
      <w:tr w:rsidR="003C0B1F" w:rsidRPr="00933EDF" w14:paraId="6B6C2B88" w14:textId="77777777" w:rsidTr="00933E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49" w:type="dxa"/>
            <w:gridSpan w:val="4"/>
            <w:vAlign w:val="center"/>
          </w:tcPr>
          <w:p w14:paraId="7288FD7A" w14:textId="18D7A155" w:rsidR="003C0B1F" w:rsidRPr="00933EDF" w:rsidRDefault="00933EDF" w:rsidP="00933EDF">
            <w:pPr>
              <w:jc w:val="right"/>
              <w:rPr>
                <w:lang w:val="en-US"/>
              </w:rPr>
            </w:pPr>
            <w:r w:rsidRPr="00933EDF">
              <w:rPr>
                <w:lang w:val="en-US"/>
              </w:rPr>
              <w:t>average size of the crystallites</w:t>
            </w:r>
          </w:p>
        </w:tc>
        <w:tc>
          <w:tcPr>
            <w:tcW w:w="1813" w:type="dxa"/>
            <w:vAlign w:val="center"/>
          </w:tcPr>
          <w:p w14:paraId="0C712384" w14:textId="69A75243" w:rsidR="003C0B1F" w:rsidRPr="00933EDF" w:rsidRDefault="00933EDF" w:rsidP="00933EDF">
            <w:pPr>
              <w:jc w:val="center"/>
              <w:cnfStyle w:val="000000100000" w:firstRow="0" w:lastRow="0" w:firstColumn="0" w:lastColumn="0" w:oddVBand="0" w:evenVBand="0" w:oddHBand="1" w:evenHBand="0" w:firstRowFirstColumn="0" w:firstRowLastColumn="0" w:lastRowFirstColumn="0" w:lastRowLastColumn="0"/>
              <w:rPr>
                <w:b/>
                <w:bCs/>
                <w:lang w:val="en-US"/>
              </w:rPr>
            </w:pPr>
            <w:r w:rsidRPr="00933EDF">
              <w:rPr>
                <w:b/>
                <w:bCs/>
                <w:lang w:val="en-US"/>
              </w:rPr>
              <w:t>34.03 nm</w:t>
            </w:r>
          </w:p>
        </w:tc>
      </w:tr>
    </w:tbl>
    <w:p w14:paraId="501C9E89" w14:textId="45A4E983" w:rsidR="00FD5DF6" w:rsidRDefault="00FD5DF6">
      <w:pPr>
        <w:rPr>
          <w:lang w:val="en-US"/>
        </w:rPr>
      </w:pPr>
    </w:p>
    <w:p w14:paraId="5495BDBE" w14:textId="77777777" w:rsidR="003929B5" w:rsidRDefault="003929B5" w:rsidP="003929B5">
      <w:pPr>
        <w:keepNext/>
      </w:pPr>
      <w:r>
        <w:rPr>
          <w:noProof/>
          <w:lang w:val="en-US"/>
        </w:rPr>
        <w:drawing>
          <wp:inline distT="0" distB="0" distL="0" distR="0" wp14:anchorId="667220AD" wp14:editId="024EE531">
            <wp:extent cx="5760720" cy="166179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1661795"/>
                    </a:xfrm>
                    <a:prstGeom prst="rect">
                      <a:avLst/>
                    </a:prstGeom>
                  </pic:spPr>
                </pic:pic>
              </a:graphicData>
            </a:graphic>
          </wp:inline>
        </w:drawing>
      </w:r>
    </w:p>
    <w:p w14:paraId="629F18A2" w14:textId="4B138E74" w:rsidR="00797BC7" w:rsidRDefault="003929B5" w:rsidP="003929B5">
      <w:pPr>
        <w:pStyle w:val="Legenda"/>
        <w:rPr>
          <w:rFonts w:ascii="Times New Roman" w:hAnsi="Times New Roman" w:cs="Times New Roman"/>
          <w:color w:val="auto"/>
          <w:sz w:val="24"/>
          <w:szCs w:val="24"/>
          <w:lang w:val="en-US"/>
        </w:rPr>
      </w:pPr>
      <w:r w:rsidRPr="003929B5">
        <w:rPr>
          <w:rFonts w:ascii="Times New Roman" w:hAnsi="Times New Roman" w:cs="Times New Roman"/>
          <w:color w:val="auto"/>
          <w:sz w:val="24"/>
          <w:szCs w:val="24"/>
          <w:lang w:val="en-US"/>
        </w:rPr>
        <w:t>Figure S</w:t>
      </w:r>
      <w:r w:rsidRPr="003929B5">
        <w:rPr>
          <w:rFonts w:ascii="Times New Roman" w:hAnsi="Times New Roman" w:cs="Times New Roman"/>
          <w:color w:val="auto"/>
          <w:sz w:val="24"/>
          <w:szCs w:val="24"/>
        </w:rPr>
        <w:fldChar w:fldCharType="begin"/>
      </w:r>
      <w:r w:rsidRPr="003929B5">
        <w:rPr>
          <w:rFonts w:ascii="Times New Roman" w:hAnsi="Times New Roman" w:cs="Times New Roman"/>
          <w:color w:val="auto"/>
          <w:sz w:val="24"/>
          <w:szCs w:val="24"/>
          <w:lang w:val="en-US"/>
        </w:rPr>
        <w:instrText xml:space="preserve"> SEQ Figure \* ARABIC </w:instrText>
      </w:r>
      <w:r w:rsidRPr="003929B5">
        <w:rPr>
          <w:rFonts w:ascii="Times New Roman" w:hAnsi="Times New Roman" w:cs="Times New Roman"/>
          <w:color w:val="auto"/>
          <w:sz w:val="24"/>
          <w:szCs w:val="24"/>
        </w:rPr>
        <w:fldChar w:fldCharType="separate"/>
      </w:r>
      <w:r w:rsidR="00096CB9">
        <w:rPr>
          <w:rFonts w:ascii="Times New Roman" w:hAnsi="Times New Roman" w:cs="Times New Roman"/>
          <w:noProof/>
          <w:color w:val="auto"/>
          <w:sz w:val="24"/>
          <w:szCs w:val="24"/>
          <w:lang w:val="en-US"/>
        </w:rPr>
        <w:t>1</w:t>
      </w:r>
      <w:r w:rsidRPr="003929B5">
        <w:rPr>
          <w:rFonts w:ascii="Times New Roman" w:hAnsi="Times New Roman" w:cs="Times New Roman"/>
          <w:color w:val="auto"/>
          <w:sz w:val="24"/>
          <w:szCs w:val="24"/>
        </w:rPr>
        <w:fldChar w:fldCharType="end"/>
      </w:r>
      <w:r w:rsidRPr="003929B5">
        <w:rPr>
          <w:rFonts w:ascii="Times New Roman" w:hAnsi="Times New Roman" w:cs="Times New Roman"/>
          <w:color w:val="auto"/>
          <w:sz w:val="24"/>
          <w:szCs w:val="24"/>
          <w:lang w:val="en-US"/>
        </w:rPr>
        <w:t>. Elemental analysis of STO-10RGO</w:t>
      </w:r>
    </w:p>
    <w:p w14:paraId="4AA485C1" w14:textId="24AC12FC" w:rsidR="009C5762" w:rsidRPr="009C5762" w:rsidRDefault="009C5762" w:rsidP="009C5762">
      <w:pPr>
        <w:rPr>
          <w:lang w:val="en-US"/>
        </w:rPr>
      </w:pPr>
    </w:p>
    <w:p w14:paraId="7861072A" w14:textId="3D5CCA3F" w:rsidR="009C5762" w:rsidRDefault="009C5762" w:rsidP="009C5762">
      <w:pPr>
        <w:rPr>
          <w:rFonts w:ascii="Times New Roman" w:hAnsi="Times New Roman" w:cs="Times New Roman"/>
          <w:i/>
          <w:iCs/>
          <w:sz w:val="24"/>
          <w:szCs w:val="24"/>
          <w:lang w:val="en-US"/>
        </w:rPr>
      </w:pPr>
    </w:p>
    <w:p w14:paraId="5E95BB4E" w14:textId="77777777" w:rsidR="009C5762" w:rsidRDefault="009C5762" w:rsidP="009C5762">
      <w:pPr>
        <w:keepNext/>
        <w:tabs>
          <w:tab w:val="left" w:pos="1136"/>
        </w:tabs>
        <w:jc w:val="center"/>
      </w:pPr>
      <w:r>
        <w:rPr>
          <w:noProof/>
          <w:lang w:val="en-US"/>
        </w:rPr>
        <w:lastRenderedPageBreak/>
        <w:drawing>
          <wp:inline distT="0" distB="0" distL="0" distR="0" wp14:anchorId="2D3B80AB" wp14:editId="3EA5B183">
            <wp:extent cx="4896096" cy="3420035"/>
            <wp:effectExtent l="0" t="0" r="0" b="952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6" cstate="print">
                      <a:extLst>
                        <a:ext uri="{28A0092B-C50C-407E-A947-70E740481C1C}">
                          <a14:useLocalDpi xmlns:a14="http://schemas.microsoft.com/office/drawing/2010/main" val="0"/>
                        </a:ext>
                      </a:extLst>
                    </a:blip>
                    <a:stretch>
                      <a:fillRect/>
                    </a:stretch>
                  </pic:blipFill>
                  <pic:spPr>
                    <a:xfrm>
                      <a:off x="0" y="0"/>
                      <a:ext cx="4900071" cy="3422811"/>
                    </a:xfrm>
                    <a:prstGeom prst="rect">
                      <a:avLst/>
                    </a:prstGeom>
                  </pic:spPr>
                </pic:pic>
              </a:graphicData>
            </a:graphic>
          </wp:inline>
        </w:drawing>
      </w:r>
    </w:p>
    <w:p w14:paraId="74DF10A8" w14:textId="68C1F25E" w:rsidR="009C5762" w:rsidRDefault="009C5762" w:rsidP="009C5762">
      <w:pPr>
        <w:pStyle w:val="Legenda"/>
        <w:rPr>
          <w:rFonts w:ascii="Times New Roman" w:hAnsi="Times New Roman" w:cs="Times New Roman"/>
          <w:color w:val="auto"/>
          <w:sz w:val="24"/>
          <w:szCs w:val="24"/>
          <w:lang w:val="en-US"/>
        </w:rPr>
      </w:pPr>
      <w:r w:rsidRPr="003929B5">
        <w:rPr>
          <w:rFonts w:ascii="Times New Roman" w:hAnsi="Times New Roman" w:cs="Times New Roman"/>
          <w:color w:val="auto"/>
          <w:sz w:val="24"/>
          <w:szCs w:val="24"/>
          <w:lang w:val="en-US"/>
        </w:rPr>
        <w:t>Figure S</w:t>
      </w:r>
      <w:r w:rsidRPr="003929B5">
        <w:rPr>
          <w:rFonts w:ascii="Times New Roman" w:hAnsi="Times New Roman" w:cs="Times New Roman"/>
          <w:color w:val="auto"/>
          <w:sz w:val="24"/>
          <w:szCs w:val="24"/>
        </w:rPr>
        <w:fldChar w:fldCharType="begin"/>
      </w:r>
      <w:r w:rsidRPr="003929B5">
        <w:rPr>
          <w:rFonts w:ascii="Times New Roman" w:hAnsi="Times New Roman" w:cs="Times New Roman"/>
          <w:color w:val="auto"/>
          <w:sz w:val="24"/>
          <w:szCs w:val="24"/>
          <w:lang w:val="en-US"/>
        </w:rPr>
        <w:instrText xml:space="preserve"> SEQ Figure \* ARABIC </w:instrText>
      </w:r>
      <w:r w:rsidRPr="003929B5">
        <w:rPr>
          <w:rFonts w:ascii="Times New Roman" w:hAnsi="Times New Roman" w:cs="Times New Roman"/>
          <w:color w:val="auto"/>
          <w:sz w:val="24"/>
          <w:szCs w:val="24"/>
        </w:rPr>
        <w:fldChar w:fldCharType="separate"/>
      </w:r>
      <w:r w:rsidR="00096CB9">
        <w:rPr>
          <w:rFonts w:ascii="Times New Roman" w:hAnsi="Times New Roman" w:cs="Times New Roman"/>
          <w:noProof/>
          <w:color w:val="auto"/>
          <w:sz w:val="24"/>
          <w:szCs w:val="24"/>
          <w:lang w:val="en-US"/>
        </w:rPr>
        <w:t>2</w:t>
      </w:r>
      <w:r w:rsidRPr="003929B5">
        <w:rPr>
          <w:rFonts w:ascii="Times New Roman" w:hAnsi="Times New Roman" w:cs="Times New Roman"/>
          <w:color w:val="auto"/>
          <w:sz w:val="24"/>
          <w:szCs w:val="24"/>
        </w:rPr>
        <w:fldChar w:fldCharType="end"/>
      </w:r>
      <w:r w:rsidRPr="003929B5">
        <w:rPr>
          <w:rFonts w:ascii="Times New Roman" w:hAnsi="Times New Roman" w:cs="Times New Roman"/>
          <w:color w:val="auto"/>
          <w:sz w:val="24"/>
          <w:szCs w:val="24"/>
          <w:lang w:val="en-US"/>
        </w:rPr>
        <w:t xml:space="preserve">. </w:t>
      </w:r>
      <w:r w:rsidRPr="009C5762">
        <w:rPr>
          <w:rFonts w:ascii="Times New Roman" w:hAnsi="Times New Roman" w:cs="Times New Roman"/>
          <w:color w:val="auto"/>
          <w:sz w:val="24"/>
          <w:szCs w:val="24"/>
          <w:lang w:val="en-US"/>
        </w:rPr>
        <w:t>Nitrogen adsorption–desorption isotherm curves</w:t>
      </w:r>
      <w:r>
        <w:rPr>
          <w:rFonts w:ascii="Times New Roman" w:hAnsi="Times New Roman" w:cs="Times New Roman"/>
          <w:color w:val="auto"/>
          <w:sz w:val="24"/>
          <w:szCs w:val="24"/>
          <w:lang w:val="en-US"/>
        </w:rPr>
        <w:t xml:space="preserve"> of materials: STO (left graph), STO-5RGO (center),  STO-10RGO (right graph)</w:t>
      </w:r>
    </w:p>
    <w:p w14:paraId="4B2D349D" w14:textId="457E583F" w:rsidR="00797BC7" w:rsidRDefault="009C5762" w:rsidP="00797BC7">
      <w:pPr>
        <w:jc w:val="center"/>
        <w:rPr>
          <w:noProof/>
          <w:lang w:val="en-US"/>
        </w:rPr>
      </w:pPr>
      <w:r>
        <w:rPr>
          <w:noProof/>
          <w:lang w:val="en-US"/>
        </w:rPr>
        <w:t>:</w:t>
      </w:r>
      <w:r w:rsidR="00797BC7">
        <w:rPr>
          <w:noProof/>
          <w:lang w:val="en-US"/>
        </w:rPr>
        <w:drawing>
          <wp:inline distT="0" distB="0" distL="0" distR="0" wp14:anchorId="15B69493" wp14:editId="08B43138">
            <wp:extent cx="4733066" cy="2424953"/>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rotWithShape="1">
                    <a:blip r:embed="rId7" cstate="print">
                      <a:extLst>
                        <a:ext uri="{28A0092B-C50C-407E-A947-70E740481C1C}">
                          <a14:useLocalDpi xmlns:a14="http://schemas.microsoft.com/office/drawing/2010/main" val="0"/>
                        </a:ext>
                      </a:extLst>
                    </a:blip>
                    <a:srcRect l="7081" t="6914" r="10753" b="38072"/>
                    <a:stretch/>
                  </pic:blipFill>
                  <pic:spPr bwMode="auto">
                    <a:xfrm>
                      <a:off x="0" y="0"/>
                      <a:ext cx="4733341" cy="2425094"/>
                    </a:xfrm>
                    <a:prstGeom prst="rect">
                      <a:avLst/>
                    </a:prstGeom>
                    <a:ln>
                      <a:noFill/>
                    </a:ln>
                    <a:extLst>
                      <a:ext uri="{53640926-AAD7-44D8-BBD7-CCE9431645EC}">
                        <a14:shadowObscured xmlns:a14="http://schemas.microsoft.com/office/drawing/2010/main"/>
                      </a:ext>
                    </a:extLst>
                  </pic:spPr>
                </pic:pic>
              </a:graphicData>
            </a:graphic>
          </wp:inline>
        </w:drawing>
      </w:r>
    </w:p>
    <w:p w14:paraId="3D944BD5" w14:textId="3707D1F8" w:rsidR="00B3070B" w:rsidRDefault="00B3070B" w:rsidP="00B3070B">
      <w:pPr>
        <w:pStyle w:val="Legenda"/>
        <w:rPr>
          <w:rFonts w:ascii="Times New Roman" w:hAnsi="Times New Roman" w:cs="Times New Roman"/>
          <w:color w:val="auto"/>
          <w:sz w:val="24"/>
          <w:szCs w:val="24"/>
          <w:lang w:val="en-US"/>
        </w:rPr>
      </w:pPr>
      <w:r w:rsidRPr="003929B5">
        <w:rPr>
          <w:rFonts w:ascii="Times New Roman" w:hAnsi="Times New Roman" w:cs="Times New Roman"/>
          <w:color w:val="auto"/>
          <w:sz w:val="24"/>
          <w:szCs w:val="24"/>
          <w:lang w:val="en-US"/>
        </w:rPr>
        <w:t>Figure S</w:t>
      </w:r>
      <w:r w:rsidRPr="003929B5">
        <w:rPr>
          <w:rFonts w:ascii="Times New Roman" w:hAnsi="Times New Roman" w:cs="Times New Roman"/>
          <w:color w:val="auto"/>
          <w:sz w:val="24"/>
          <w:szCs w:val="24"/>
        </w:rPr>
        <w:fldChar w:fldCharType="begin"/>
      </w:r>
      <w:r w:rsidRPr="003929B5">
        <w:rPr>
          <w:rFonts w:ascii="Times New Roman" w:hAnsi="Times New Roman" w:cs="Times New Roman"/>
          <w:color w:val="auto"/>
          <w:sz w:val="24"/>
          <w:szCs w:val="24"/>
          <w:lang w:val="en-US"/>
        </w:rPr>
        <w:instrText xml:space="preserve"> SEQ Figure \* ARABIC </w:instrText>
      </w:r>
      <w:r w:rsidRPr="003929B5">
        <w:rPr>
          <w:rFonts w:ascii="Times New Roman" w:hAnsi="Times New Roman" w:cs="Times New Roman"/>
          <w:color w:val="auto"/>
          <w:sz w:val="24"/>
          <w:szCs w:val="24"/>
        </w:rPr>
        <w:fldChar w:fldCharType="separate"/>
      </w:r>
      <w:r w:rsidR="00096CB9">
        <w:rPr>
          <w:rFonts w:ascii="Times New Roman" w:hAnsi="Times New Roman" w:cs="Times New Roman"/>
          <w:noProof/>
          <w:color w:val="auto"/>
          <w:sz w:val="24"/>
          <w:szCs w:val="24"/>
          <w:lang w:val="en-US"/>
        </w:rPr>
        <w:t>3</w:t>
      </w:r>
      <w:r w:rsidRPr="003929B5">
        <w:rPr>
          <w:rFonts w:ascii="Times New Roman" w:hAnsi="Times New Roman" w:cs="Times New Roman"/>
          <w:color w:val="auto"/>
          <w:sz w:val="24"/>
          <w:szCs w:val="24"/>
        </w:rPr>
        <w:fldChar w:fldCharType="end"/>
      </w:r>
      <w:r w:rsidRPr="003929B5">
        <w:rPr>
          <w:rFonts w:ascii="Times New Roman" w:hAnsi="Times New Roman" w:cs="Times New Roman"/>
          <w:color w:val="auto"/>
          <w:sz w:val="24"/>
          <w:szCs w:val="24"/>
          <w:lang w:val="en-US"/>
        </w:rPr>
        <w:t xml:space="preserve">. </w:t>
      </w:r>
      <w:r>
        <w:rPr>
          <w:rFonts w:ascii="Times New Roman" w:hAnsi="Times New Roman" w:cs="Times New Roman"/>
          <w:color w:val="auto"/>
          <w:sz w:val="24"/>
          <w:szCs w:val="24"/>
          <w:lang w:val="en-US"/>
        </w:rPr>
        <w:t>Photocurrent generated by RGO electrode illuminated with chopped light in electrolyte of pH 7.</w:t>
      </w:r>
    </w:p>
    <w:p w14:paraId="1B0C2FD9" w14:textId="77777777" w:rsidR="00B3070B" w:rsidRDefault="00B3070B" w:rsidP="00797BC7">
      <w:pPr>
        <w:jc w:val="center"/>
        <w:rPr>
          <w:lang w:val="en-US"/>
        </w:rPr>
      </w:pPr>
    </w:p>
    <w:p w14:paraId="3F9A613C" w14:textId="7006537B" w:rsidR="00A528F9" w:rsidRDefault="00A528F9" w:rsidP="00797BC7">
      <w:pPr>
        <w:jc w:val="center"/>
        <w:rPr>
          <w:lang w:val="en-US"/>
        </w:rPr>
      </w:pPr>
    </w:p>
    <w:p w14:paraId="3DBD96C9" w14:textId="2D4E75A9" w:rsidR="00885987" w:rsidRPr="00885987" w:rsidRDefault="00885987" w:rsidP="00885987">
      <w:pPr>
        <w:rPr>
          <w:lang w:val="en-US"/>
        </w:rPr>
      </w:pPr>
    </w:p>
    <w:p w14:paraId="3604A9AA" w14:textId="54122D5A" w:rsidR="00885987" w:rsidRPr="00B3070B" w:rsidRDefault="00885987" w:rsidP="00885987">
      <w:pPr>
        <w:rPr>
          <w:rFonts w:ascii="Times New Roman" w:hAnsi="Times New Roman" w:cs="Times New Roman"/>
          <w:sz w:val="24"/>
          <w:szCs w:val="24"/>
          <w:lang w:val="en-US"/>
        </w:rPr>
      </w:pPr>
      <w:r w:rsidRPr="00B3070B">
        <w:rPr>
          <w:rFonts w:ascii="Times New Roman" w:hAnsi="Times New Roman" w:cs="Times New Roman"/>
          <w:sz w:val="24"/>
          <w:szCs w:val="24"/>
          <w:lang w:val="en-US"/>
        </w:rPr>
        <w:t xml:space="preserve">The scheme of Arduino-based LED controller is shown in Figure S4. Device is composed of: Arduino UNO microcontroller, linear potentiometer 10k, driver LED working on 200mA, power supplier 24V DC and power LED (P:4.5W; </w:t>
      </w:r>
      <w:r w:rsidRPr="00B3070B">
        <w:rPr>
          <w:rFonts w:ascii="Symbol" w:hAnsi="Symbol" w:cs="Times New Roman"/>
          <w:sz w:val="24"/>
          <w:szCs w:val="24"/>
        </w:rPr>
        <w:t></w:t>
      </w:r>
      <w:r w:rsidRPr="00B3070B">
        <w:rPr>
          <w:rFonts w:ascii="Times New Roman" w:hAnsi="Times New Roman" w:cs="Times New Roman"/>
          <w:sz w:val="24"/>
          <w:szCs w:val="24"/>
          <w:lang w:val="en-US"/>
        </w:rPr>
        <w:t xml:space="preserve"> 400 nm; P</w:t>
      </w:r>
      <w:r w:rsidRPr="00B3070B">
        <w:rPr>
          <w:rFonts w:ascii="Times New Roman" w:hAnsi="Times New Roman" w:cs="Times New Roman"/>
          <w:sz w:val="24"/>
          <w:szCs w:val="24"/>
          <w:vertAlign w:val="subscript"/>
          <w:lang w:val="en-US"/>
        </w:rPr>
        <w:t>opt</w:t>
      </w:r>
      <w:r w:rsidRPr="00B3070B">
        <w:rPr>
          <w:rFonts w:ascii="Times New Roman" w:hAnsi="Times New Roman" w:cs="Times New Roman"/>
          <w:sz w:val="24"/>
          <w:szCs w:val="24"/>
          <w:lang w:val="en-US"/>
        </w:rPr>
        <w:t xml:space="preserve">:850mW, equipped with cooling system). We set the potentiometer pin as A0 ( analog pin). The control variable is the voltage, that is used to control the led brightness. In the setup function the control pin 9 is set </w:t>
      </w:r>
      <w:r w:rsidRPr="00B3070B">
        <w:rPr>
          <w:rFonts w:ascii="Times New Roman" w:hAnsi="Times New Roman" w:cs="Times New Roman"/>
          <w:sz w:val="24"/>
          <w:szCs w:val="24"/>
          <w:lang w:val="en-US"/>
        </w:rPr>
        <w:lastRenderedPageBreak/>
        <w:t>as output. In the loop we are getting the analog reading value of the voltage that is applied on pin A0. Arduino program translate the voltage value in A0 pin into PWM answer on pin 9 and therefore LED emits the light of intensity depending on the voltage given by potentiometer. Additionally devices can be equipped with a display, that give the actual percentage of light intensity.</w:t>
      </w:r>
    </w:p>
    <w:p w14:paraId="0D6D602D" w14:textId="1A322432" w:rsidR="00885987" w:rsidRDefault="00885987" w:rsidP="00885987">
      <w:pPr>
        <w:pStyle w:val="JCEbodytext"/>
      </w:pPr>
      <w:r>
        <w:tab/>
      </w:r>
      <w:r w:rsidR="00B3070B">
        <w:rPr>
          <w:noProof/>
        </w:rPr>
        <w:drawing>
          <wp:inline distT="0" distB="0" distL="0" distR="0" wp14:anchorId="10A360EB" wp14:editId="39D75FE7">
            <wp:extent cx="5760720" cy="1823085"/>
            <wp:effectExtent l="0" t="0" r="0" b="571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1823085"/>
                    </a:xfrm>
                    <a:prstGeom prst="rect">
                      <a:avLst/>
                    </a:prstGeom>
                  </pic:spPr>
                </pic:pic>
              </a:graphicData>
            </a:graphic>
          </wp:inline>
        </w:drawing>
      </w:r>
    </w:p>
    <w:p w14:paraId="380F6142" w14:textId="27C41A6D" w:rsidR="00885987" w:rsidRPr="000176B3" w:rsidRDefault="00885987" w:rsidP="00885987">
      <w:pPr>
        <w:pStyle w:val="JCEcaption"/>
        <w:rPr>
          <w:rFonts w:ascii="Times New Roman" w:eastAsiaTheme="minorHAnsi" w:hAnsi="Times New Roman"/>
          <w:i/>
          <w:iCs/>
          <w:sz w:val="24"/>
        </w:rPr>
      </w:pPr>
      <w:r w:rsidRPr="000176B3">
        <w:rPr>
          <w:rFonts w:ascii="Times New Roman" w:eastAsiaTheme="minorHAnsi" w:hAnsi="Times New Roman"/>
          <w:i/>
          <w:iCs/>
          <w:sz w:val="24"/>
        </w:rPr>
        <w:t xml:space="preserve">Figure </w:t>
      </w:r>
      <w:r w:rsidR="00B3070B" w:rsidRPr="003929B5">
        <w:rPr>
          <w:rFonts w:ascii="Times New Roman" w:hAnsi="Times New Roman"/>
          <w:sz w:val="24"/>
        </w:rPr>
        <w:t>S</w:t>
      </w:r>
      <w:r w:rsidR="00B3070B" w:rsidRPr="003929B5">
        <w:rPr>
          <w:rFonts w:ascii="Times New Roman" w:hAnsi="Times New Roman"/>
          <w:sz w:val="24"/>
        </w:rPr>
        <w:fldChar w:fldCharType="begin"/>
      </w:r>
      <w:r w:rsidR="00B3070B" w:rsidRPr="003929B5">
        <w:rPr>
          <w:rFonts w:ascii="Times New Roman" w:hAnsi="Times New Roman"/>
          <w:sz w:val="24"/>
        </w:rPr>
        <w:instrText xml:space="preserve"> SEQ Figure \* ARABIC </w:instrText>
      </w:r>
      <w:r w:rsidR="00B3070B" w:rsidRPr="003929B5">
        <w:rPr>
          <w:rFonts w:ascii="Times New Roman" w:hAnsi="Times New Roman"/>
          <w:sz w:val="24"/>
        </w:rPr>
        <w:fldChar w:fldCharType="separate"/>
      </w:r>
      <w:r w:rsidR="00096CB9">
        <w:rPr>
          <w:rFonts w:ascii="Times New Roman" w:hAnsi="Times New Roman"/>
          <w:noProof/>
          <w:sz w:val="24"/>
        </w:rPr>
        <w:t>4</w:t>
      </w:r>
      <w:r w:rsidR="00B3070B" w:rsidRPr="003929B5">
        <w:rPr>
          <w:rFonts w:ascii="Times New Roman" w:hAnsi="Times New Roman"/>
          <w:sz w:val="24"/>
        </w:rPr>
        <w:fldChar w:fldCharType="end"/>
      </w:r>
      <w:r w:rsidRPr="000176B3">
        <w:rPr>
          <w:rFonts w:ascii="Times New Roman" w:eastAsiaTheme="minorHAnsi" w:hAnsi="Times New Roman"/>
          <w:i/>
          <w:iCs/>
          <w:sz w:val="24"/>
        </w:rPr>
        <w:t xml:space="preserve">. Scheme of Arduino-based LED controller composed of: Arduino UNO microcontroller, linear potentiometer 10k, driver LED (200mA - 700mA PWM/Lin ADJ), power supplier 24V DC and power LED (P:4.5W; </w:t>
      </w:r>
      <w:r w:rsidRPr="000176B3">
        <w:rPr>
          <w:rFonts w:ascii="Symbol" w:eastAsiaTheme="minorHAnsi" w:hAnsi="Symbol"/>
          <w:i/>
          <w:iCs/>
          <w:sz w:val="24"/>
        </w:rPr>
        <w:t></w:t>
      </w:r>
      <w:r w:rsidRPr="000176B3">
        <w:rPr>
          <w:rFonts w:ascii="Times New Roman" w:eastAsiaTheme="minorHAnsi" w:hAnsi="Times New Roman"/>
          <w:i/>
          <w:iCs/>
          <w:sz w:val="24"/>
        </w:rPr>
        <w:t xml:space="preserve"> 400 nm; P</w:t>
      </w:r>
      <w:r w:rsidRPr="000176B3">
        <w:rPr>
          <w:rFonts w:ascii="Times New Roman" w:eastAsiaTheme="minorHAnsi" w:hAnsi="Times New Roman"/>
          <w:i/>
          <w:iCs/>
          <w:sz w:val="24"/>
          <w:vertAlign w:val="subscript"/>
        </w:rPr>
        <w:t>opt</w:t>
      </w:r>
      <w:r w:rsidRPr="000176B3">
        <w:rPr>
          <w:rFonts w:ascii="Times New Roman" w:eastAsiaTheme="minorHAnsi" w:hAnsi="Times New Roman"/>
          <w:i/>
          <w:iCs/>
          <w:sz w:val="24"/>
        </w:rPr>
        <w:t>:850mW - OPTOSUPPLY OSV4D6CAC1E). Simplified scheme without display. On the right: the photo of device.</w:t>
      </w:r>
    </w:p>
    <w:p w14:paraId="18206AA8" w14:textId="411302AF" w:rsidR="00885987" w:rsidRPr="00885987" w:rsidRDefault="00885987" w:rsidP="00885987">
      <w:pPr>
        <w:tabs>
          <w:tab w:val="left" w:pos="452"/>
        </w:tabs>
        <w:rPr>
          <w:lang w:val="en-US"/>
        </w:rPr>
      </w:pPr>
    </w:p>
    <w:p w14:paraId="76B51B32" w14:textId="66894902" w:rsidR="00A528F9" w:rsidRDefault="00A528F9" w:rsidP="00797BC7">
      <w:pPr>
        <w:jc w:val="center"/>
        <w:rPr>
          <w:lang w:val="en-US"/>
        </w:rPr>
      </w:pPr>
      <w:r>
        <w:rPr>
          <w:noProof/>
          <w:lang w:val="en-US"/>
        </w:rPr>
        <w:drawing>
          <wp:inline distT="0" distB="0" distL="0" distR="0" wp14:anchorId="42A392D0" wp14:editId="3D6CDC2C">
            <wp:extent cx="5760720" cy="2869565"/>
            <wp:effectExtent l="0" t="0" r="0" b="698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2869565"/>
                    </a:xfrm>
                    <a:prstGeom prst="rect">
                      <a:avLst/>
                    </a:prstGeom>
                  </pic:spPr>
                </pic:pic>
              </a:graphicData>
            </a:graphic>
          </wp:inline>
        </w:drawing>
      </w:r>
    </w:p>
    <w:p w14:paraId="3BC2B6F5" w14:textId="3256AC77" w:rsidR="00B3070B" w:rsidRPr="00B3070B" w:rsidRDefault="00B3070B" w:rsidP="00797BC7">
      <w:pPr>
        <w:jc w:val="center"/>
        <w:rPr>
          <w:lang w:val="en-US"/>
        </w:rPr>
      </w:pPr>
      <w:r w:rsidRPr="00B3070B">
        <w:rPr>
          <w:rFonts w:ascii="Times New Roman" w:hAnsi="Times New Roman"/>
          <w:i/>
          <w:iCs/>
          <w:sz w:val="24"/>
          <w:lang w:val="en-US"/>
        </w:rPr>
        <w:t xml:space="preserve">Figure </w:t>
      </w:r>
      <w:r w:rsidRPr="003929B5">
        <w:rPr>
          <w:rFonts w:ascii="Times New Roman" w:hAnsi="Times New Roman" w:cs="Times New Roman"/>
          <w:sz w:val="24"/>
          <w:szCs w:val="24"/>
          <w:lang w:val="en-US"/>
        </w:rPr>
        <w:t>S</w:t>
      </w:r>
      <w:r w:rsidRPr="003929B5">
        <w:rPr>
          <w:rFonts w:ascii="Times New Roman" w:hAnsi="Times New Roman" w:cs="Times New Roman"/>
          <w:sz w:val="24"/>
          <w:szCs w:val="24"/>
        </w:rPr>
        <w:fldChar w:fldCharType="begin"/>
      </w:r>
      <w:r w:rsidRPr="003929B5">
        <w:rPr>
          <w:rFonts w:ascii="Times New Roman" w:hAnsi="Times New Roman" w:cs="Times New Roman"/>
          <w:sz w:val="24"/>
          <w:szCs w:val="24"/>
          <w:lang w:val="en-US"/>
        </w:rPr>
        <w:instrText xml:space="preserve"> SEQ Figure \* ARABIC </w:instrText>
      </w:r>
      <w:r w:rsidRPr="003929B5">
        <w:rPr>
          <w:rFonts w:ascii="Times New Roman" w:hAnsi="Times New Roman" w:cs="Times New Roman"/>
          <w:sz w:val="24"/>
          <w:szCs w:val="24"/>
        </w:rPr>
        <w:fldChar w:fldCharType="separate"/>
      </w:r>
      <w:r w:rsidR="00096CB9">
        <w:rPr>
          <w:rFonts w:ascii="Times New Roman" w:hAnsi="Times New Roman" w:cs="Times New Roman"/>
          <w:noProof/>
          <w:sz w:val="24"/>
          <w:szCs w:val="24"/>
          <w:lang w:val="en-US"/>
        </w:rPr>
        <w:t>5</w:t>
      </w:r>
      <w:r w:rsidRPr="003929B5">
        <w:rPr>
          <w:rFonts w:ascii="Times New Roman" w:hAnsi="Times New Roman" w:cs="Times New Roman"/>
          <w:sz w:val="24"/>
          <w:szCs w:val="24"/>
        </w:rPr>
        <w:fldChar w:fldCharType="end"/>
      </w:r>
      <w:r w:rsidRPr="00B3070B">
        <w:rPr>
          <w:rFonts w:ascii="Times New Roman" w:hAnsi="Times New Roman"/>
          <w:i/>
          <w:iCs/>
          <w:sz w:val="24"/>
          <w:lang w:val="en-US"/>
        </w:rPr>
        <w:t>. Example of raw c</w:t>
      </w:r>
      <w:r>
        <w:rPr>
          <w:rFonts w:ascii="Times New Roman" w:hAnsi="Times New Roman"/>
          <w:i/>
          <w:iCs/>
          <w:sz w:val="24"/>
          <w:lang w:val="en-US"/>
        </w:rPr>
        <w:t>hromatographic data – degradation of toluene</w:t>
      </w:r>
    </w:p>
    <w:sectPr w:rsidR="00B3070B" w:rsidRPr="00B307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Helvetica">
    <w:panose1 w:val="020B05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0CE"/>
    <w:rsid w:val="000176B3"/>
    <w:rsid w:val="00096CB9"/>
    <w:rsid w:val="00157D0D"/>
    <w:rsid w:val="001D4143"/>
    <w:rsid w:val="0023741A"/>
    <w:rsid w:val="003660CE"/>
    <w:rsid w:val="003929B5"/>
    <w:rsid w:val="003C0B1F"/>
    <w:rsid w:val="00797BC7"/>
    <w:rsid w:val="00885987"/>
    <w:rsid w:val="00933EDF"/>
    <w:rsid w:val="009C5762"/>
    <w:rsid w:val="009D07D5"/>
    <w:rsid w:val="00A528F9"/>
    <w:rsid w:val="00AC0462"/>
    <w:rsid w:val="00B3070B"/>
    <w:rsid w:val="00FD5DF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CB54D"/>
  <w15:chartTrackingRefBased/>
  <w15:docId w15:val="{15929A99-F64D-4B11-8D9F-AD56EDAE5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FD5D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uiPriority w:val="35"/>
    <w:unhideWhenUsed/>
    <w:qFormat/>
    <w:rsid w:val="00933EDF"/>
    <w:pPr>
      <w:spacing w:after="200" w:line="240" w:lineRule="auto"/>
    </w:pPr>
    <w:rPr>
      <w:i/>
      <w:iCs/>
      <w:color w:val="44546A" w:themeColor="text2"/>
      <w:sz w:val="18"/>
      <w:szCs w:val="18"/>
    </w:rPr>
  </w:style>
  <w:style w:type="table" w:styleId="Tabelasiatki2">
    <w:name w:val="Grid Table 2"/>
    <w:basedOn w:val="Standardowy"/>
    <w:uiPriority w:val="47"/>
    <w:rsid w:val="00933ED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JCEbodytext">
    <w:name w:val="JCE body text"/>
    <w:qFormat/>
    <w:rsid w:val="00885987"/>
    <w:pPr>
      <w:adjustRightInd w:val="0"/>
      <w:spacing w:after="0" w:line="480" w:lineRule="auto"/>
      <w:ind w:firstLine="360"/>
    </w:pPr>
    <w:rPr>
      <w:rFonts w:ascii="Bookman Old Style" w:eastAsia="Times New Roman" w:hAnsi="Bookman Old Style" w:cs="Times New Roman"/>
      <w:sz w:val="20"/>
      <w:szCs w:val="20"/>
      <w:lang w:val="en-US"/>
    </w:rPr>
  </w:style>
  <w:style w:type="paragraph" w:customStyle="1" w:styleId="JCEcaption">
    <w:name w:val="JCE caption"/>
    <w:next w:val="JCEbodytext"/>
    <w:qFormat/>
    <w:rsid w:val="00885987"/>
    <w:pPr>
      <w:keepLines/>
      <w:adjustRightInd w:val="0"/>
      <w:spacing w:before="80" w:after="80" w:line="240" w:lineRule="auto"/>
    </w:pPr>
    <w:rPr>
      <w:rFonts w:ascii="Helvetica" w:eastAsia="Cambria" w:hAnsi="Helvetica" w:cs="Times New Roman"/>
      <w:sz w:val="16"/>
      <w:szCs w:val="24"/>
      <w:lang w:val="en-US"/>
    </w:rPr>
  </w:style>
  <w:style w:type="paragraph" w:customStyle="1" w:styleId="RSCH01PaperTitle">
    <w:name w:val="RSC H01 Paper Title"/>
    <w:basedOn w:val="Normalny"/>
    <w:next w:val="Normalny"/>
    <w:link w:val="RSCH01PaperTitleChar"/>
    <w:qFormat/>
    <w:rsid w:val="009D07D5"/>
    <w:pPr>
      <w:tabs>
        <w:tab w:val="left" w:pos="284"/>
      </w:tabs>
      <w:spacing w:before="400" w:line="240" w:lineRule="auto"/>
    </w:pPr>
    <w:rPr>
      <w:rFonts w:cs="Times New Roman"/>
      <w:b/>
      <w:sz w:val="29"/>
      <w:szCs w:val="32"/>
      <w:lang w:val="en-GB"/>
    </w:rPr>
  </w:style>
  <w:style w:type="paragraph" w:customStyle="1" w:styleId="RSCB01ARTAbstract">
    <w:name w:val="RSC B01 ART Abstract"/>
    <w:basedOn w:val="Normalny"/>
    <w:link w:val="RSCB01ARTAbstractChar"/>
    <w:qFormat/>
    <w:rsid w:val="009D07D5"/>
    <w:pPr>
      <w:spacing w:after="200" w:line="240" w:lineRule="exact"/>
      <w:jc w:val="both"/>
    </w:pPr>
    <w:rPr>
      <w:noProof/>
      <w:sz w:val="16"/>
      <w:lang w:val="en-GB" w:eastAsia="en-GB"/>
    </w:rPr>
  </w:style>
  <w:style w:type="character" w:customStyle="1" w:styleId="RSCH01PaperTitleChar">
    <w:name w:val="RSC H01 Paper Title Char"/>
    <w:basedOn w:val="Domylnaczcionkaakapitu"/>
    <w:link w:val="RSCH01PaperTitle"/>
    <w:rsid w:val="009D07D5"/>
    <w:rPr>
      <w:rFonts w:cs="Times New Roman"/>
      <w:b/>
      <w:sz w:val="29"/>
      <w:szCs w:val="32"/>
      <w:lang w:val="en-GB"/>
    </w:rPr>
  </w:style>
  <w:style w:type="character" w:customStyle="1" w:styleId="RSCB01ARTAbstractChar">
    <w:name w:val="RSC B01 ART Abstract Char"/>
    <w:basedOn w:val="Domylnaczcionkaakapitu"/>
    <w:link w:val="RSCB01ARTAbstract"/>
    <w:rsid w:val="009D07D5"/>
    <w:rPr>
      <w:noProof/>
      <w:sz w:val="1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388B6E-00E1-4383-BBE7-C2B400F16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3</Pages>
  <Words>321</Words>
  <Characters>1929</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Baran</dc:creator>
  <cp:keywords/>
  <dc:description/>
  <cp:lastModifiedBy>Tomasz Baran</cp:lastModifiedBy>
  <cp:revision>16</cp:revision>
  <cp:lastPrinted>2021-02-10T10:00:00Z</cp:lastPrinted>
  <dcterms:created xsi:type="dcterms:W3CDTF">2021-01-01T16:25:00Z</dcterms:created>
  <dcterms:modified xsi:type="dcterms:W3CDTF">2021-02-10T10:00:00Z</dcterms:modified>
</cp:coreProperties>
</file>