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sz w:val="20"/>
          <w:szCs w:val="20"/>
        </w:rPr>
      </w:pPr>
      <w:r>
        <w:rPr>
          <w:sz w:val="20"/>
          <w:szCs w:val="20"/>
        </w:rPr>
        <w:fldChar w:fldCharType="begin"/>
      </w:r>
      <w:r>
        <w:rPr>
          <w:sz w:val="20"/>
          <w:szCs w:val="20"/>
        </w:rPr>
        <w:instrText xml:space="preserve">TOC \o "1-1" \h \u </w:instrText>
      </w:r>
      <w:r>
        <w:rPr>
          <w:sz w:val="20"/>
          <w:szCs w:val="20"/>
        </w:rPr>
        <w:fldChar w:fldCharType="separate"/>
      </w:r>
      <w:bookmarkStart w:id="0" w:name="_Toc100940550"/>
      <w:bookmarkStart w:id="1" w:name="_Toc101885199"/>
      <w:bookmarkStart w:id="2" w:name="_Toc101885131"/>
      <w:bookmarkStart w:id="3" w:name="_Toc101884813"/>
      <w:r>
        <w:rPr>
          <w:rFonts w:hint="eastAsia" w:ascii="Times New Roman" w:hAnsi="Times New Roman"/>
          <w:sz w:val="20"/>
          <w:szCs w:val="20"/>
        </w:rPr>
        <w:t>APPENDIX</w:t>
      </w:r>
      <w:bookmarkStart w:id="36" w:name="_GoBack"/>
      <w:bookmarkEnd w:id="36"/>
    </w:p>
    <w:p>
      <w:pPr>
        <w:pStyle w:val="2"/>
        <w:spacing w:after="0" w:line="360" w:lineRule="auto"/>
        <w:jc w:val="left"/>
        <w:rPr>
          <w:rFonts w:ascii="Times New Roman" w:hAnsi="Times New Roman"/>
          <w:sz w:val="20"/>
          <w:szCs w:val="20"/>
        </w:rPr>
      </w:pPr>
      <w:r>
        <w:rPr>
          <w:rFonts w:hint="eastAsia" w:ascii="Times New Roman" w:hAnsi="Times New Roman"/>
          <w:sz w:val="20"/>
          <w:szCs w:val="20"/>
        </w:rPr>
        <w:t>Supplementary Method S1.  Meta-analysis of the proportion of permanent congenital hypothyroidism and the proportion of thyroid dysgenesis</w:t>
      </w:r>
      <w:bookmarkEnd w:id="0"/>
      <w:bookmarkEnd w:id="1"/>
      <w:bookmarkEnd w:id="2"/>
      <w:bookmarkEnd w:id="3"/>
    </w:p>
    <w:p>
      <w:pPr>
        <w:ind w:firstLine="420"/>
        <w:rPr>
          <w:rFonts w:ascii="Times New Roman" w:hAnsi="Times New Roman"/>
          <w:color w:val="000000"/>
          <w:sz w:val="20"/>
          <w:szCs w:val="20"/>
        </w:rPr>
      </w:pPr>
      <w:r>
        <w:rPr>
          <w:rFonts w:ascii="Times New Roman" w:hAnsi="Times New Roman"/>
          <w:color w:val="000000"/>
          <w:sz w:val="20"/>
          <w:szCs w:val="20"/>
        </w:rPr>
        <w:t>Papers, published between Jan 1,2013 and Apr 1, 2021 related to the newborn thyroid screening in China of all language (Chinese and English), were searched through China Knowledge Resource Integrated Database, Wanfang Digital Database, VIP Citation Databases, IOS, PudMed, EMBASE.</w:t>
      </w:r>
    </w:p>
    <w:p>
      <w:pPr>
        <w:ind w:firstLine="420"/>
        <w:rPr>
          <w:rFonts w:ascii="Times New Roman" w:hAnsi="Times New Roman"/>
          <w:sz w:val="20"/>
          <w:szCs w:val="20"/>
        </w:rPr>
      </w:pPr>
      <w:r>
        <w:rPr>
          <w:rFonts w:ascii="Times New Roman" w:hAnsi="Times New Roman"/>
          <w:color w:val="000000"/>
          <w:sz w:val="20"/>
          <w:szCs w:val="20"/>
        </w:rPr>
        <w:t xml:space="preserve">In the Chinese Database, </w:t>
      </w:r>
      <w:r>
        <w:rPr>
          <w:rFonts w:ascii="Times New Roman" w:hAnsi="Times New Roman"/>
          <w:sz w:val="20"/>
          <w:szCs w:val="20"/>
        </w:rPr>
        <w:t>the combined terms ((</w:t>
      </w:r>
      <w:r>
        <w:rPr>
          <w:rFonts w:hint="eastAsia" w:ascii="Times New Roman" w:hAnsi="Times New Roman"/>
          <w:sz w:val="20"/>
          <w:szCs w:val="20"/>
        </w:rPr>
        <w:t>先天性甲状腺功能减低</w:t>
      </w:r>
      <w:r>
        <w:rPr>
          <w:rFonts w:ascii="Times New Roman" w:hAnsi="Times New Roman"/>
          <w:sz w:val="20"/>
          <w:szCs w:val="20"/>
        </w:rPr>
        <w:t>)OR(</w:t>
      </w:r>
      <w:r>
        <w:rPr>
          <w:rFonts w:hint="eastAsia" w:ascii="Times New Roman" w:hAnsi="Times New Roman"/>
          <w:sz w:val="20"/>
          <w:szCs w:val="20"/>
        </w:rPr>
        <w:t>先天性甲状腺功能减退</w:t>
      </w:r>
      <w:r>
        <w:rPr>
          <w:rFonts w:ascii="Times New Roman" w:hAnsi="Times New Roman"/>
          <w:sz w:val="20"/>
          <w:szCs w:val="20"/>
        </w:rPr>
        <w:t>)OR(</w:t>
      </w:r>
      <w:r>
        <w:rPr>
          <w:rFonts w:hint="eastAsia" w:ascii="Times New Roman" w:hAnsi="Times New Roman"/>
          <w:sz w:val="20"/>
          <w:szCs w:val="20"/>
        </w:rPr>
        <w:t>先天性甲状腺功能低下</w:t>
      </w:r>
      <w:r>
        <w:rPr>
          <w:rFonts w:ascii="Times New Roman" w:hAnsi="Times New Roman"/>
          <w:sz w:val="20"/>
          <w:szCs w:val="20"/>
        </w:rPr>
        <w:t>)OR (</w:t>
      </w:r>
      <w:r>
        <w:rPr>
          <w:rFonts w:hint="eastAsia" w:ascii="Times New Roman" w:hAnsi="Times New Roman"/>
          <w:sz w:val="20"/>
          <w:szCs w:val="20"/>
        </w:rPr>
        <w:t>新生儿先天性甲减</w:t>
      </w:r>
      <w:r>
        <w:rPr>
          <w:rFonts w:ascii="Times New Roman" w:hAnsi="Times New Roman"/>
          <w:sz w:val="20"/>
          <w:szCs w:val="20"/>
        </w:rPr>
        <w:t>)OR (</w:t>
      </w:r>
      <w:r>
        <w:rPr>
          <w:rFonts w:hint="eastAsia" w:ascii="Times New Roman" w:hAnsi="Times New Roman"/>
          <w:sz w:val="20"/>
          <w:szCs w:val="20"/>
        </w:rPr>
        <w:t>新生儿甲减</w:t>
      </w:r>
      <w:r>
        <w:rPr>
          <w:rFonts w:ascii="Times New Roman" w:hAnsi="Times New Roman"/>
          <w:sz w:val="20"/>
          <w:szCs w:val="20"/>
        </w:rPr>
        <w:t>)OR (</w:t>
      </w:r>
      <w:r>
        <w:rPr>
          <w:rFonts w:hint="eastAsia" w:ascii="Times New Roman" w:hAnsi="Times New Roman"/>
          <w:sz w:val="20"/>
          <w:szCs w:val="20"/>
        </w:rPr>
        <w:t>甲状腺激素水平异常</w:t>
      </w:r>
      <w:r>
        <w:rPr>
          <w:rFonts w:ascii="Times New Roman" w:hAnsi="Times New Roman"/>
          <w:sz w:val="20"/>
          <w:szCs w:val="20"/>
        </w:rPr>
        <w:t>) OR (</w:t>
      </w:r>
      <w:r>
        <w:rPr>
          <w:rFonts w:hint="eastAsia" w:ascii="Times New Roman" w:hAnsi="Times New Roman"/>
          <w:sz w:val="20"/>
          <w:szCs w:val="20"/>
        </w:rPr>
        <w:t>甲状腺发育不全</w:t>
      </w:r>
      <w:r>
        <w:rPr>
          <w:rFonts w:ascii="Times New Roman" w:hAnsi="Times New Roman"/>
          <w:sz w:val="20"/>
          <w:szCs w:val="20"/>
        </w:rPr>
        <w:t>)OR (</w:t>
      </w:r>
      <w:r>
        <w:rPr>
          <w:rFonts w:hint="eastAsia" w:ascii="Times New Roman" w:hAnsi="Times New Roman"/>
          <w:sz w:val="20"/>
          <w:szCs w:val="20"/>
        </w:rPr>
        <w:t>甲状腺发育异常</w:t>
      </w:r>
      <w:r>
        <w:rPr>
          <w:rFonts w:ascii="Times New Roman" w:hAnsi="Times New Roman"/>
          <w:sz w:val="20"/>
          <w:szCs w:val="20"/>
        </w:rPr>
        <w:t>)OR (</w:t>
      </w:r>
      <w:r>
        <w:rPr>
          <w:rFonts w:hint="eastAsia" w:ascii="Times New Roman" w:hAnsi="Times New Roman"/>
          <w:sz w:val="20"/>
          <w:szCs w:val="20"/>
        </w:rPr>
        <w:t>甲状腺形态发育异常</w:t>
      </w:r>
      <w:r>
        <w:rPr>
          <w:rFonts w:ascii="Times New Roman" w:hAnsi="Times New Roman"/>
          <w:sz w:val="20"/>
          <w:szCs w:val="20"/>
        </w:rPr>
        <w:t>) OR (</w:t>
      </w:r>
      <w:r>
        <w:rPr>
          <w:rFonts w:hint="eastAsia" w:ascii="Times New Roman" w:hAnsi="Times New Roman"/>
          <w:sz w:val="20"/>
          <w:szCs w:val="20"/>
        </w:rPr>
        <w:t>甲状腺肿</w:t>
      </w:r>
      <w:r>
        <w:rPr>
          <w:rFonts w:ascii="Times New Roman" w:hAnsi="Times New Roman"/>
          <w:sz w:val="20"/>
          <w:szCs w:val="20"/>
        </w:rPr>
        <w:t>) OR (</w:t>
      </w:r>
      <w:r>
        <w:rPr>
          <w:rFonts w:hint="eastAsia" w:ascii="Times New Roman" w:hAnsi="Times New Roman"/>
          <w:sz w:val="20"/>
          <w:szCs w:val="20"/>
        </w:rPr>
        <w:t>异位</w:t>
      </w:r>
      <w:r>
        <w:rPr>
          <w:rFonts w:ascii="Times New Roman" w:hAnsi="Times New Roman"/>
          <w:sz w:val="20"/>
          <w:szCs w:val="20"/>
        </w:rPr>
        <w:t>)) AND ((</w:t>
      </w:r>
      <w:r>
        <w:rPr>
          <w:rFonts w:hint="eastAsia" w:ascii="Times New Roman" w:hAnsi="Times New Roman"/>
          <w:sz w:val="20"/>
          <w:szCs w:val="20"/>
        </w:rPr>
        <w:t>预后)</w:t>
      </w:r>
      <w:r>
        <w:rPr>
          <w:rFonts w:ascii="Times New Roman" w:hAnsi="Times New Roman"/>
          <w:sz w:val="20"/>
          <w:szCs w:val="20"/>
        </w:rPr>
        <w:t>OR</w:t>
      </w:r>
      <w:r>
        <w:rPr>
          <w:rFonts w:hint="eastAsia" w:ascii="Times New Roman" w:hAnsi="Times New Roman"/>
          <w:sz w:val="20"/>
          <w:szCs w:val="20"/>
        </w:rPr>
        <w:t>(随访)</w:t>
      </w:r>
      <w:r>
        <w:rPr>
          <w:rFonts w:ascii="Times New Roman" w:hAnsi="Times New Roman"/>
          <w:sz w:val="20"/>
          <w:szCs w:val="20"/>
        </w:rPr>
        <w:t>OR</w:t>
      </w:r>
      <w:r>
        <w:rPr>
          <w:rFonts w:hint="eastAsia" w:ascii="Times New Roman" w:hAnsi="Times New Roman"/>
          <w:sz w:val="20"/>
          <w:szCs w:val="20"/>
        </w:rPr>
        <w:t>(转归)</w:t>
      </w:r>
      <w:r>
        <w:rPr>
          <w:rFonts w:ascii="Times New Roman" w:hAnsi="Times New Roman"/>
          <w:sz w:val="20"/>
          <w:szCs w:val="20"/>
        </w:rPr>
        <w:t>OR</w:t>
      </w:r>
      <w:r>
        <w:rPr>
          <w:rFonts w:hint="eastAsia" w:ascii="Times New Roman" w:hAnsi="Times New Roman"/>
          <w:sz w:val="20"/>
          <w:szCs w:val="20"/>
        </w:rPr>
        <w:t>(治疗)</w:t>
      </w:r>
      <w:r>
        <w:rPr>
          <w:rFonts w:ascii="Times New Roman" w:hAnsi="Times New Roman"/>
          <w:sz w:val="20"/>
          <w:szCs w:val="20"/>
        </w:rPr>
        <w:t>OR</w:t>
      </w:r>
      <w:r>
        <w:rPr>
          <w:rFonts w:hint="eastAsia" w:ascii="Times New Roman" w:hAnsi="Times New Roman"/>
          <w:sz w:val="20"/>
          <w:szCs w:val="20"/>
        </w:rPr>
        <w:t>(临床)</w:t>
      </w:r>
      <w:r>
        <w:rPr>
          <w:rFonts w:ascii="Times New Roman" w:hAnsi="Times New Roman"/>
          <w:sz w:val="20"/>
          <w:szCs w:val="20"/>
        </w:rPr>
        <w:t>))AND ((</w:t>
      </w:r>
      <w:r>
        <w:rPr>
          <w:rFonts w:hint="eastAsia" w:ascii="Times New Roman" w:hAnsi="Times New Roman"/>
          <w:sz w:val="20"/>
          <w:szCs w:val="20"/>
        </w:rPr>
        <w:t>永久性</w:t>
      </w:r>
      <w:r>
        <w:rPr>
          <w:rFonts w:ascii="Times New Roman" w:hAnsi="Times New Roman"/>
          <w:sz w:val="20"/>
          <w:szCs w:val="20"/>
        </w:rPr>
        <w:t>) OR(</w:t>
      </w:r>
      <w:r>
        <w:rPr>
          <w:rFonts w:hint="eastAsia" w:ascii="Times New Roman" w:hAnsi="Times New Roman"/>
          <w:sz w:val="20"/>
          <w:szCs w:val="20"/>
        </w:rPr>
        <w:t>一过性</w:t>
      </w:r>
      <w:r>
        <w:rPr>
          <w:rFonts w:ascii="Times New Roman" w:hAnsi="Times New Roman"/>
          <w:sz w:val="20"/>
          <w:szCs w:val="20"/>
        </w:rPr>
        <w:t>)OR(</w:t>
      </w:r>
      <w:r>
        <w:rPr>
          <w:rFonts w:hint="eastAsia" w:ascii="Times New Roman" w:hAnsi="Times New Roman"/>
          <w:sz w:val="20"/>
          <w:szCs w:val="20"/>
        </w:rPr>
        <w:t>暂时性</w:t>
      </w:r>
      <w:r>
        <w:rPr>
          <w:rFonts w:ascii="Times New Roman" w:hAnsi="Times New Roman"/>
          <w:sz w:val="20"/>
          <w:szCs w:val="20"/>
        </w:rPr>
        <w:t>)) were searched after translated</w:t>
      </w:r>
      <w:r>
        <w:rPr>
          <w:rFonts w:hint="eastAsia" w:ascii="Times New Roman" w:hAnsi="Times New Roman"/>
          <w:sz w:val="20"/>
          <w:szCs w:val="20"/>
        </w:rPr>
        <w:t>.</w:t>
      </w:r>
    </w:p>
    <w:p>
      <w:pPr>
        <w:ind w:firstLine="420"/>
        <w:rPr>
          <w:rFonts w:ascii="Times New Roman" w:hAnsi="Times New Roman"/>
          <w:color w:val="000000"/>
          <w:sz w:val="20"/>
          <w:szCs w:val="20"/>
        </w:rPr>
      </w:pPr>
      <w:r>
        <w:rPr>
          <w:rFonts w:ascii="Times New Roman" w:hAnsi="Times New Roman"/>
          <w:color w:val="000000"/>
          <w:sz w:val="20"/>
          <w:szCs w:val="20"/>
        </w:rPr>
        <w:t>In the PubMed database, the search strategy was as follow:</w:t>
      </w:r>
    </w:p>
    <w:p>
      <w:pPr>
        <w:rPr>
          <w:rFonts w:ascii="Times New Roman" w:hAnsi="Times New Roman"/>
          <w:color w:val="000000"/>
          <w:sz w:val="20"/>
          <w:szCs w:val="20"/>
        </w:rPr>
      </w:pPr>
      <w:r>
        <w:rPr>
          <w:rFonts w:ascii="Times New Roman" w:hAnsi="Times New Roman"/>
          <w:color w:val="000000"/>
          <w:sz w:val="20"/>
          <w:szCs w:val="20"/>
        </w:rPr>
        <w:t>((China[Title/Abstract] OR Beijing[Title/Abstract] OR Peking[Title/Abstract] OR Tianjin[Title/Abstract] OR Hebei[Title/Abstract] OR Shanxi[Title/Abstract] OR Inner Mongolia[Title/Abstract] OR Liaoning[Title/Abstract] OR Jilin[Title/Abstract] OR Heilongjiang[Title/Abstract] OR Shanghai[Title/Abstract] OR Jiangsu[Title/Abstract] OR Zhejiang[Title/Abstract] OR Anhui[Title/Abstract] OR Fujian[Title/Abstract] OR Jiangxi[Title/Abstract] OR Shandong[Title/Abstract] OR Henan[Title/Abstract] OR Hubei[Title/Abstract] OR Hunan[Title/Abstract] OR Guangdong[Title/Abstract] OR Guangxi[Title/Abstract] OR Hainan[Title/Abstract] OR Chongqing[Title/Abstract] OR Sichuan[Title/Abstract] OR Guizhou[Title/Abstract] OR Yunnan[Title/Abstract] OR Tibet[Title/Abstract] OR Shaanxi[Title/Abstract] OR Gansu[Title/Abstract] OR Qinghai[Title/Abstract] OR Ningxia[Title/Abstract] OR Xinjiang[Title/Abstract] OR Chinese[Title/Abstract]) AND (prognosis[MeSH:noexp] OR diagnosed[Title/Abstract] OR cohort*[Title/Abstract] OR cohort effect[MeSH] OR cohort studies[MeSH:noexp] OR follow up studies[MeSH:noexp] OR predictor*[Title/Abstract] OR incidence[Title/Abstract] OR "models, statistical"[MeSH])) AND (("Congenital Hypothyroidism"[Mesh]) OR (((((((Hypothyroidism, Congenital) OR (Cretinism)) OR (Endemic Cretinism)) OR (Cretinism, Endemic)) OR (Fetal Iodine Deficiency Disorder)) OR (Myxedema, Congenital)) OR (Congenital Hypothyroidism))).</w:t>
      </w:r>
    </w:p>
    <w:p>
      <w:pPr>
        <w:ind w:firstLine="420"/>
        <w:rPr>
          <w:rFonts w:ascii="Times New Roman" w:hAnsi="Times New Roman"/>
          <w:color w:val="000000"/>
          <w:sz w:val="20"/>
          <w:szCs w:val="20"/>
        </w:rPr>
      </w:pPr>
      <w:r>
        <w:rPr>
          <w:rFonts w:ascii="Times New Roman" w:hAnsi="Times New Roman"/>
          <w:color w:val="000000"/>
          <w:sz w:val="20"/>
          <w:szCs w:val="20"/>
        </w:rPr>
        <w:t>Repetitive cases in different studies were identified according to the information of authors’</w:t>
      </w:r>
      <w:r>
        <w:rPr>
          <w:rFonts w:hint="eastAsia" w:ascii="Times New Roman" w:hAnsi="Times New Roman"/>
          <w:color w:val="000000"/>
          <w:sz w:val="20"/>
          <w:szCs w:val="20"/>
        </w:rPr>
        <w:t xml:space="preserve"> </w:t>
      </w:r>
      <w:r>
        <w:rPr>
          <w:rFonts w:ascii="Times New Roman" w:hAnsi="Times New Roman"/>
          <w:color w:val="000000"/>
          <w:sz w:val="20"/>
          <w:szCs w:val="20"/>
        </w:rPr>
        <w:t>name or institution, study period and the newborn</w:t>
      </w:r>
      <w:r>
        <w:rPr>
          <w:rFonts w:hint="eastAsia" w:ascii="Times New Roman" w:hAnsi="Times New Roman"/>
          <w:color w:val="000000"/>
          <w:sz w:val="20"/>
          <w:szCs w:val="20"/>
        </w:rPr>
        <w:t xml:space="preserve"> </w:t>
      </w:r>
      <w:r>
        <w:rPr>
          <w:rFonts w:ascii="Times New Roman" w:hAnsi="Times New Roman"/>
          <w:color w:val="000000"/>
          <w:sz w:val="20"/>
          <w:szCs w:val="20"/>
        </w:rPr>
        <w:t xml:space="preserve">screening </w:t>
      </w:r>
      <w:r>
        <w:rPr>
          <w:rFonts w:hint="eastAsia" w:ascii="Times New Roman" w:hAnsi="Times New Roman"/>
          <w:color w:val="000000"/>
          <w:sz w:val="20"/>
          <w:szCs w:val="20"/>
        </w:rPr>
        <w:t>center</w:t>
      </w:r>
      <w:r>
        <w:rPr>
          <w:rFonts w:ascii="Times New Roman" w:hAnsi="Times New Roman"/>
          <w:color w:val="000000"/>
          <w:sz w:val="20"/>
          <w:szCs w:val="20"/>
        </w:rPr>
        <w:t xml:space="preserve">. For cases studied in multiple publications at different angles, the fullest information was included. Studies that </w:t>
      </w:r>
      <w:r>
        <w:rPr>
          <w:rFonts w:hint="eastAsia" w:ascii="Times New Roman" w:hAnsi="Times New Roman"/>
          <w:color w:val="000000"/>
          <w:sz w:val="20"/>
          <w:szCs w:val="20"/>
        </w:rPr>
        <w:t xml:space="preserve">cannot </w:t>
      </w:r>
      <w:r>
        <w:rPr>
          <w:rFonts w:ascii="Times New Roman" w:hAnsi="Times New Roman"/>
          <w:color w:val="000000"/>
          <w:sz w:val="20"/>
          <w:szCs w:val="20"/>
        </w:rPr>
        <w:t>fulfilled the following criteria were</w:t>
      </w:r>
      <w:r>
        <w:rPr>
          <w:rFonts w:hint="eastAsia" w:ascii="Times New Roman" w:hAnsi="Times New Roman"/>
          <w:color w:val="000000"/>
          <w:sz w:val="20"/>
          <w:szCs w:val="20"/>
        </w:rPr>
        <w:t xml:space="preserve"> ex</w:t>
      </w:r>
      <w:r>
        <w:rPr>
          <w:rFonts w:ascii="Times New Roman" w:hAnsi="Times New Roman"/>
          <w:color w:val="000000"/>
          <w:sz w:val="20"/>
          <w:szCs w:val="20"/>
        </w:rPr>
        <w:t xml:space="preserve">cluded: (1)published </w:t>
      </w:r>
      <w:r>
        <w:rPr>
          <w:rFonts w:hint="eastAsia" w:ascii="Times New Roman" w:hAnsi="Times New Roman"/>
          <w:color w:val="000000"/>
          <w:sz w:val="20"/>
          <w:szCs w:val="20"/>
        </w:rPr>
        <w:t xml:space="preserve">not </w:t>
      </w:r>
      <w:r>
        <w:rPr>
          <w:rFonts w:ascii="Times New Roman" w:hAnsi="Times New Roman"/>
          <w:color w:val="000000"/>
          <w:sz w:val="20"/>
          <w:szCs w:val="20"/>
        </w:rPr>
        <w:t>original studies, or studies of clinical case reports;(2) clear final outcomes (diagnosed as TCH or PCH OR thyroid scintigraphy ) could</w:t>
      </w:r>
      <w:r>
        <w:rPr>
          <w:rFonts w:hint="eastAsia" w:ascii="Times New Roman" w:hAnsi="Times New Roman"/>
          <w:color w:val="000000"/>
          <w:sz w:val="20"/>
          <w:szCs w:val="20"/>
        </w:rPr>
        <w:t>n</w:t>
      </w:r>
      <w:r>
        <w:rPr>
          <w:rFonts w:ascii="Times New Roman" w:hAnsi="Times New Roman"/>
          <w:color w:val="000000"/>
          <w:sz w:val="20"/>
          <w:szCs w:val="20"/>
        </w:rPr>
        <w:t>’</w:t>
      </w:r>
      <w:r>
        <w:rPr>
          <w:rFonts w:hint="eastAsia" w:ascii="Times New Roman" w:hAnsi="Times New Roman"/>
          <w:color w:val="000000"/>
          <w:sz w:val="20"/>
          <w:szCs w:val="20"/>
        </w:rPr>
        <w:t>t</w:t>
      </w:r>
      <w:r>
        <w:rPr>
          <w:rFonts w:ascii="Times New Roman" w:hAnsi="Times New Roman"/>
          <w:color w:val="000000"/>
          <w:sz w:val="20"/>
          <w:szCs w:val="20"/>
        </w:rPr>
        <w:t xml:space="preserve"> be inferred</w:t>
      </w:r>
      <w:r>
        <w:rPr>
          <w:rFonts w:hint="eastAsia" w:ascii="Times New Roman" w:hAnsi="Times New Roman"/>
          <w:color w:val="000000"/>
          <w:sz w:val="20"/>
          <w:szCs w:val="20"/>
        </w:rPr>
        <w:t xml:space="preserve"> or extracted</w:t>
      </w:r>
      <w:r>
        <w:rPr>
          <w:rFonts w:ascii="Times New Roman" w:hAnsi="Times New Roman"/>
          <w:color w:val="000000"/>
          <w:sz w:val="20"/>
          <w:szCs w:val="20"/>
        </w:rPr>
        <w:t xml:space="preserve">; and (3) </w:t>
      </w:r>
      <w:r>
        <w:rPr>
          <w:rFonts w:hint="eastAsia" w:ascii="Times New Roman" w:hAnsi="Times New Roman"/>
          <w:color w:val="000000"/>
          <w:sz w:val="20"/>
          <w:szCs w:val="20"/>
        </w:rPr>
        <w:t>in</w:t>
      </w:r>
      <w:r>
        <w:rPr>
          <w:rFonts w:ascii="Times New Roman" w:hAnsi="Times New Roman"/>
          <w:color w:val="000000"/>
          <w:sz w:val="20"/>
          <w:szCs w:val="20"/>
        </w:rPr>
        <w:t>complete information on the screen, prognosis and diagnosis. Selected articles were reviewed and mutually agreed by two reviewers. The flow diagrams of paper selection process were outlined in Figure S1. The papers finally included are listed in references</w:t>
      </w:r>
      <w:r>
        <w:rPr>
          <w:rFonts w:hint="eastAsia" w:ascii="Times New Roman" w:hAnsi="Times New Roman"/>
          <w:color w:val="000000"/>
          <w:sz w:val="20"/>
          <w:szCs w:val="20"/>
        </w:rPr>
        <w:t>.</w:t>
      </w:r>
      <w:r>
        <w:rPr>
          <w:rFonts w:ascii="Times New Roman" w:hAnsi="Times New Roman"/>
          <w:color w:val="000000"/>
          <w:sz w:val="20"/>
          <w:szCs w:val="20"/>
        </w:rPr>
        <w:fldChar w:fldCharType="begin">
          <w:fldData xml:space="preserve">YnV0b3JzPjxhdXRob3JzPjxhdXRob3I+Q2hlbiwgUy4gIEguPC9hdXRob3I+PGF1dGhvcj5ZYW5n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</w:fldData>
        </w:fldChar>
      </w:r>
      <w:r>
        <w:rPr>
          <w:rFonts w:ascii="Times New Roman" w:hAnsi="Times New Roman"/>
          <w:color w:val="000000"/>
          <w:sz w:val="20"/>
          <w:szCs w:val="20"/>
        </w:rPr>
        <w:instrText xml:space="preserve"> ADDIN EN.CITE </w:instrText>
      </w:r>
      <w:r>
        <w:rPr>
          <w:rFonts w:ascii="Times New Roman" w:hAnsi="Times New Roman"/>
          <w:color w:val="000000"/>
          <w:sz w:val="20"/>
          <w:szCs w:val="20"/>
        </w:rPr>
        <w:fldChar w:fldCharType="begin">
          <w:fldData xml:space="preserve">PEVuZE5vdGU+PENpdGU+PEF1dGhvcj7mnY7mmZPlqJ88L0F1dGhvcj48WWVhcj4yMDIwPC9ZZWFy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</w:fldData>
        </w:fldChar>
      </w:r>
      <w:r>
        <w:rPr>
          <w:rFonts w:ascii="Times New Roman" w:hAnsi="Times New Roman"/>
          <w:color w:val="000000"/>
          <w:sz w:val="20"/>
          <w:szCs w:val="20"/>
        </w:rPr>
        <w:instrText xml:space="preserve"> ADDIN EN.CITE.DATA </w:instrText>
      </w:r>
      <w:r>
        <w:rPr>
          <w:rFonts w:ascii="Times New Roman" w:hAnsi="Times New Roman"/>
          <w:color w:val="000000"/>
          <w:sz w:val="20"/>
          <w:szCs w:val="20"/>
        </w:rPr>
        <w:fldChar w:fldCharType="end"/>
      </w:r>
      <w:r>
        <w:rPr>
          <w:rFonts w:ascii="Times New Roman" w:hAnsi="Times New Roman"/>
          <w:color w:val="000000"/>
          <w:sz w:val="20"/>
          <w:szCs w:val="20"/>
        </w:rPr>
        <w:fldChar w:fldCharType="begin">
          <w:fldData xml:space="preserve">YnV0b3JzPjxhdXRob3JzPjxhdXRob3I+Q2hlbiwgUy4gIEguPC9hdXRob3I+PGF1dGhvcj5ZYW5n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</w:fldData>
        </w:fldChar>
      </w:r>
      <w:r>
        <w:rPr>
          <w:rFonts w:ascii="Times New Roman" w:hAnsi="Times New Roman"/>
          <w:color w:val="000000"/>
          <w:sz w:val="20"/>
          <w:szCs w:val="20"/>
        </w:rPr>
        <w:instrText xml:space="preserve"> ADDIN EN.CITE.DATA </w:instrText>
      </w:r>
      <w:r>
        <w:rPr>
          <w:rFonts w:ascii="Times New Roman" w:hAnsi="Times New Roman"/>
          <w:color w:val="000000"/>
          <w:sz w:val="20"/>
          <w:szCs w:val="20"/>
        </w:rPr>
        <w:fldChar w:fldCharType="end"/>
      </w:r>
      <w:r>
        <w:rPr>
          <w:rFonts w:ascii="Times New Roman" w:hAnsi="Times New Roman"/>
          <w:color w:val="000000"/>
          <w:sz w:val="20"/>
          <w:szCs w:val="20"/>
        </w:rPr>
        <w:fldChar w:fldCharType="separate"/>
      </w:r>
      <w:r>
        <w:rPr>
          <w:rFonts w:ascii="Times New Roman" w:hAnsi="Times New Roman"/>
          <w:color w:val="000000"/>
          <w:sz w:val="20"/>
          <w:szCs w:val="20"/>
          <w:vertAlign w:val="superscript"/>
        </w:rPr>
        <w:t>1-21</w:t>
      </w:r>
      <w:r>
        <w:rPr>
          <w:rFonts w:ascii="Times New Roman" w:hAnsi="Times New Roman"/>
          <w:color w:val="000000"/>
          <w:sz w:val="20"/>
          <w:szCs w:val="20"/>
        </w:rPr>
        <w:fldChar w:fldCharType="end"/>
      </w:r>
    </w:p>
    <w:p>
      <w:pPr>
        <w:ind w:firstLine="420"/>
        <w:rPr>
          <w:rFonts w:ascii="Times New Roman" w:hAnsi="Times New Roman"/>
          <w:color w:val="000000"/>
          <w:sz w:val="20"/>
          <w:szCs w:val="20"/>
        </w:rPr>
      </w:pPr>
      <w:r>
        <w:rPr>
          <w:rFonts w:hint="eastAsia" w:ascii="Times New Roman" w:hAnsi="Times New Roman"/>
          <w:color w:val="000000"/>
          <w:sz w:val="20"/>
          <w:szCs w:val="20"/>
        </w:rPr>
        <w:t xml:space="preserve">We initially selected </w:t>
      </w:r>
      <w:r>
        <w:rPr>
          <w:rFonts w:ascii="Times New Roman" w:hAnsi="Times New Roman"/>
          <w:color w:val="000000"/>
          <w:sz w:val="20"/>
          <w:szCs w:val="20"/>
        </w:rPr>
        <w:t>53 English and 303 Chinese potential eligible publications</w:t>
      </w:r>
      <w:r>
        <w:rPr>
          <w:rFonts w:hint="eastAsia" w:ascii="Times New Roman" w:hAnsi="Times New Roman"/>
          <w:color w:val="000000"/>
          <w:sz w:val="20"/>
          <w:szCs w:val="20"/>
        </w:rPr>
        <w:t xml:space="preserve"> and </w:t>
      </w:r>
      <w:r>
        <w:rPr>
          <w:rFonts w:ascii="Times New Roman" w:hAnsi="Times New Roman"/>
          <w:color w:val="000000"/>
          <w:sz w:val="20"/>
          <w:szCs w:val="20"/>
        </w:rPr>
        <w:t xml:space="preserve">336 of which were excluded </w:t>
      </w:r>
      <w:r>
        <w:rPr>
          <w:rFonts w:hint="eastAsia" w:ascii="Times New Roman" w:hAnsi="Times New Roman"/>
          <w:color w:val="000000"/>
          <w:sz w:val="20"/>
          <w:szCs w:val="20"/>
        </w:rPr>
        <w:t>and 1 study tracing of article reference was included</w:t>
      </w:r>
      <w:r>
        <w:rPr>
          <w:rFonts w:ascii="Times New Roman" w:hAnsi="Times New Roman"/>
          <w:color w:val="000000"/>
          <w:sz w:val="20"/>
          <w:szCs w:val="20"/>
        </w:rPr>
        <w:t xml:space="preserve">. Finally, </w:t>
      </w:r>
      <w:r>
        <w:rPr>
          <w:rFonts w:hint="eastAsia" w:ascii="Times New Roman" w:hAnsi="Times New Roman"/>
          <w:color w:val="000000"/>
          <w:sz w:val="20"/>
          <w:szCs w:val="20"/>
        </w:rPr>
        <w:t xml:space="preserve">we analyzed </w:t>
      </w:r>
      <w:r>
        <w:rPr>
          <w:rFonts w:ascii="Times New Roman" w:hAnsi="Times New Roman"/>
          <w:color w:val="000000"/>
          <w:sz w:val="20"/>
          <w:szCs w:val="20"/>
        </w:rPr>
        <w:t xml:space="preserve">a total of 21 publications </w:t>
      </w:r>
      <w:r>
        <w:rPr>
          <w:rFonts w:hint="eastAsia" w:ascii="Times New Roman" w:hAnsi="Times New Roman"/>
          <w:color w:val="000000"/>
          <w:sz w:val="20"/>
          <w:szCs w:val="20"/>
        </w:rPr>
        <w:t xml:space="preserve">on the incidence of </w:t>
      </w:r>
      <w:r>
        <w:rPr>
          <w:rFonts w:ascii="Times New Roman" w:hAnsi="Times New Roman"/>
          <w:color w:val="000000"/>
          <w:sz w:val="20"/>
          <w:szCs w:val="20"/>
        </w:rPr>
        <w:t xml:space="preserve">CH subtypes among </w:t>
      </w:r>
      <w:r>
        <w:rPr>
          <w:rFonts w:hint="eastAsia" w:ascii="Times New Roman" w:hAnsi="Times New Roman"/>
          <w:color w:val="000000"/>
          <w:sz w:val="20"/>
          <w:szCs w:val="20"/>
        </w:rPr>
        <w:t xml:space="preserve">the </w:t>
      </w:r>
      <w:r>
        <w:rPr>
          <w:rFonts w:ascii="Times New Roman" w:hAnsi="Times New Roman"/>
          <w:color w:val="000000"/>
          <w:sz w:val="20"/>
          <w:szCs w:val="20"/>
        </w:rPr>
        <w:t xml:space="preserve">Chinese population. </w:t>
      </w:r>
    </w:p>
    <w:p>
      <w:pPr>
        <w:ind w:firstLine="420"/>
        <w:rPr>
          <w:rFonts w:ascii="Times New Roman" w:hAnsi="Times New Roman"/>
          <w:sz w:val="20"/>
          <w:szCs w:val="20"/>
        </w:rPr>
      </w:pPr>
      <w:r>
        <w:rPr>
          <w:rFonts w:ascii="Times New Roman" w:hAnsi="Times New Roman"/>
          <w:sz w:val="20"/>
          <w:szCs w:val="20"/>
        </w:rPr>
        <w:t xml:space="preserve">Both the effect sizes (the proportion of permanent CH and proportion of thyroid dysgenesis) and 95% confidence intervals (CI) were pooled by random-effects models(See the Table S3). The restricted maximum likelihood estimator was used to calculate the heterogeneity variance τ2. </w:t>
      </w:r>
      <w:r>
        <w:rPr>
          <w:rFonts w:ascii="Times New Roman" w:hAnsi="Times New Roman"/>
          <w:color w:val="000000"/>
          <w:sz w:val="20"/>
          <w:szCs w:val="20"/>
        </w:rPr>
        <w:t>And Knapp-Hartung adjustments were used to calculate the confidence interval around the pooled effect.</w:t>
      </w:r>
    </w:p>
    <w:p>
      <w:pPr>
        <w:rPr>
          <w:rFonts w:ascii="Times New Roman" w:hAnsi="Times New Roman"/>
          <w:color w:val="000000"/>
          <w:sz w:val="20"/>
          <w:szCs w:val="20"/>
        </w:rPr>
      </w:pPr>
    </w:p>
    <w:p>
      <w:pPr>
        <w:jc w:val="center"/>
        <w:rPr>
          <w:rFonts w:ascii="Times New Roman" w:hAnsi="Times New Roman"/>
          <w:sz w:val="20"/>
          <w:szCs w:val="20"/>
        </w:rPr>
      </w:pPr>
      <w:r>
        <w:rPr>
          <w:rFonts w:ascii="Times New Roman" w:hAnsi="Times New Roman"/>
          <w:sz w:val="20"/>
          <w:szCs w:val="20"/>
        </w:rPr>
        <w:drawing>
          <wp:inline distT="0" distB="0" distL="0" distR="0">
            <wp:extent cx="5274310" cy="59086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5908675"/>
                    </a:xfrm>
                    <a:prstGeom prst="rect">
                      <a:avLst/>
                    </a:prstGeom>
                  </pic:spPr>
                </pic:pic>
              </a:graphicData>
            </a:graphic>
          </wp:inline>
        </w:drawing>
      </w:r>
      <w:bookmarkStart w:id="4" w:name="_Toc101885132"/>
      <w:bookmarkStart w:id="5" w:name="_Toc100940551"/>
      <w:bookmarkStart w:id="6" w:name="_Toc101885200"/>
      <w:r>
        <w:rPr>
          <w:rFonts w:hint="eastAsia" w:ascii="Times New Roman" w:hAnsi="Times New Roman"/>
          <w:sz w:val="20"/>
          <w:szCs w:val="20"/>
        </w:rPr>
        <w:t xml:space="preserve">Supplementary </w:t>
      </w:r>
      <w:r>
        <w:rPr>
          <w:rFonts w:ascii="Times New Roman" w:hAnsi="Times New Roman"/>
          <w:sz w:val="20"/>
          <w:szCs w:val="20"/>
        </w:rPr>
        <w:t>Figure S</w:t>
      </w:r>
      <w:r>
        <w:rPr>
          <w:rFonts w:hint="eastAsia" w:ascii="Times New Roman" w:hAnsi="Times New Roman"/>
          <w:sz w:val="20"/>
          <w:szCs w:val="20"/>
        </w:rPr>
        <w:t>1</w:t>
      </w:r>
      <w:r>
        <w:rPr>
          <w:rFonts w:ascii="Times New Roman" w:hAnsi="Times New Roman"/>
          <w:sz w:val="20"/>
          <w:szCs w:val="20"/>
        </w:rPr>
        <w:t>.  The flow diagrams of paper selection process</w:t>
      </w:r>
      <w:bookmarkEnd w:id="4"/>
      <w:bookmarkEnd w:id="5"/>
      <w:bookmarkEnd w:id="6"/>
    </w:p>
    <w:p>
      <w:pPr>
        <w:jc w:val="center"/>
        <w:rPr>
          <w:rFonts w:ascii="Times New Roman" w:hAnsi="Times New Roman"/>
          <w:sz w:val="20"/>
          <w:szCs w:val="20"/>
        </w:rPr>
      </w:pPr>
    </w:p>
    <w:p>
      <w:pPr>
        <w:pStyle w:val="2"/>
        <w:spacing w:before="0" w:after="0" w:line="240" w:lineRule="auto"/>
        <w:jc w:val="left"/>
        <w:rPr>
          <w:rFonts w:ascii="Times New Roman" w:hAnsi="Times New Roman"/>
          <w:sz w:val="20"/>
          <w:szCs w:val="20"/>
        </w:rPr>
      </w:pPr>
      <w:bookmarkStart w:id="7" w:name="_Toc100940552"/>
      <w:bookmarkStart w:id="8" w:name="_Toc101884814"/>
      <w:bookmarkStart w:id="9" w:name="_Toc101885201"/>
      <w:bookmarkStart w:id="10" w:name="_Toc101885133"/>
      <w:r>
        <w:rPr>
          <w:rFonts w:hint="eastAsia" w:ascii="Times New Roman" w:hAnsi="Times New Roman"/>
          <w:sz w:val="20"/>
          <w:szCs w:val="20"/>
        </w:rPr>
        <w:t>Supplementary Reference</w:t>
      </w:r>
      <w:bookmarkEnd w:id="7"/>
      <w:bookmarkEnd w:id="8"/>
      <w:bookmarkEnd w:id="9"/>
      <w:bookmarkEnd w:id="10"/>
    </w:p>
    <w:p>
      <w:pPr>
        <w:pStyle w:val="12"/>
        <w:ind w:left="720" w:hanging="720"/>
        <w:rPr>
          <w:szCs w:val="20"/>
        </w:rPr>
      </w:pPr>
      <w:r>
        <w:rPr>
          <w:rFonts w:ascii="Times New Roman" w:hAnsi="Times New Roman" w:cs="Times New Roman"/>
          <w:szCs w:val="20"/>
        </w:rPr>
        <w:fldChar w:fldCharType="begin"/>
      </w:r>
      <w:r>
        <w:rPr>
          <w:rFonts w:ascii="Times New Roman" w:hAnsi="Times New Roman"/>
          <w:sz w:val="20"/>
          <w:szCs w:val="20"/>
        </w:rPr>
        <w:instrText xml:space="preserve"> ADDIN EN.REFLIST </w:instrText>
      </w:r>
      <w:r>
        <w:rPr>
          <w:rFonts w:ascii="Times New Roman" w:hAnsi="Times New Roman" w:cs="Times New Roman"/>
          <w:szCs w:val="20"/>
        </w:rPr>
        <w:fldChar w:fldCharType="separate"/>
      </w:r>
      <w:r>
        <w:rPr>
          <w:rFonts w:hint="eastAsia"/>
          <w:sz w:val="20"/>
          <w:szCs w:val="20"/>
        </w:rPr>
        <w:t>1.</w:t>
      </w:r>
      <w:r>
        <w:rPr>
          <w:rFonts w:hint="eastAsia"/>
          <w:sz w:val="20"/>
          <w:szCs w:val="20"/>
        </w:rPr>
        <w:tab/>
      </w:r>
      <w:r>
        <w:rPr>
          <w:rFonts w:hint="eastAsia"/>
          <w:sz w:val="20"/>
          <w:szCs w:val="20"/>
        </w:rPr>
        <w:t xml:space="preserve">li Xiao-juan, et al., </w:t>
      </w:r>
      <w:r>
        <w:rPr>
          <w:sz w:val="20"/>
          <w:szCs w:val="20"/>
        </w:rPr>
        <w:t>Etiological analysis of children with congenital hypothyroidism and study of prognosis after treatment with levothyroxine sodium</w:t>
      </w:r>
      <w:r>
        <w:rPr>
          <w:rFonts w:hint="eastAsia"/>
          <w:sz w:val="20"/>
          <w:szCs w:val="20"/>
        </w:rPr>
        <w:t xml:space="preserve">[J]. </w:t>
      </w:r>
      <w:r>
        <w:rPr>
          <w:sz w:val="20"/>
          <w:szCs w:val="20"/>
        </w:rPr>
        <w:t>Chinese Journal of Birth Health &amp; Heredity</w:t>
      </w:r>
      <w:r>
        <w:rPr>
          <w:rFonts w:hint="eastAsia"/>
          <w:sz w:val="20"/>
          <w:szCs w:val="20"/>
        </w:rPr>
        <w:t>, 2020. 28(07): p. 859-862.</w:t>
      </w:r>
    </w:p>
    <w:p>
      <w:pPr>
        <w:pStyle w:val="12"/>
        <w:ind w:left="720" w:hanging="720"/>
        <w:rPr>
          <w:szCs w:val="20"/>
        </w:rPr>
      </w:pPr>
      <w:r>
        <w:rPr>
          <w:rFonts w:hint="eastAsia"/>
          <w:sz w:val="20"/>
          <w:szCs w:val="20"/>
        </w:rPr>
        <w:t>2.</w:t>
      </w:r>
      <w:r>
        <w:rPr>
          <w:rFonts w:hint="eastAsia"/>
          <w:sz w:val="20"/>
          <w:szCs w:val="20"/>
        </w:rPr>
        <w:tab/>
      </w:r>
      <w:r>
        <w:rPr>
          <w:rFonts w:hint="eastAsia"/>
          <w:sz w:val="20"/>
          <w:szCs w:val="20"/>
        </w:rPr>
        <w:t xml:space="preserve">Luo Ying, et al., </w:t>
      </w:r>
      <w:r>
        <w:rPr>
          <w:rFonts w:hint="eastAsia"/>
          <w:i/>
          <w:sz w:val="20"/>
          <w:szCs w:val="20"/>
        </w:rPr>
        <w:t>Screening，treatment and follow-up of congenital hypothyroidism in Wuzhou City from 2012 to 2015</w:t>
      </w:r>
      <w:r>
        <w:rPr>
          <w:rFonts w:hint="eastAsia"/>
          <w:sz w:val="20"/>
          <w:szCs w:val="20"/>
        </w:rPr>
        <w:t>[J]</w:t>
      </w:r>
      <w:r>
        <w:rPr>
          <w:rFonts w:hint="eastAsia"/>
          <w:i/>
          <w:sz w:val="20"/>
          <w:szCs w:val="20"/>
        </w:rPr>
        <w:t>.</w:t>
      </w:r>
      <w:r>
        <w:rPr>
          <w:rFonts w:hint="eastAsia"/>
          <w:sz w:val="20"/>
          <w:szCs w:val="20"/>
        </w:rPr>
        <w:t xml:space="preserve"> Guangxi Medical Journal, 2017, </w:t>
      </w:r>
      <w:r>
        <w:rPr>
          <w:rFonts w:hint="eastAsia"/>
          <w:b/>
          <w:sz w:val="20"/>
          <w:szCs w:val="20"/>
        </w:rPr>
        <w:t>39</w:t>
      </w:r>
      <w:r>
        <w:rPr>
          <w:rFonts w:hint="eastAsia"/>
          <w:sz w:val="20"/>
          <w:szCs w:val="20"/>
        </w:rPr>
        <w:t>(6): p. 863-866.</w:t>
      </w:r>
    </w:p>
    <w:p>
      <w:pPr>
        <w:pStyle w:val="12"/>
        <w:ind w:left="720" w:hanging="720"/>
        <w:rPr>
          <w:szCs w:val="20"/>
        </w:rPr>
      </w:pPr>
      <w:r>
        <w:rPr>
          <w:rFonts w:hint="eastAsia"/>
          <w:sz w:val="20"/>
          <w:szCs w:val="20"/>
        </w:rPr>
        <w:t>3.</w:t>
      </w:r>
      <w:r>
        <w:rPr>
          <w:rFonts w:hint="eastAsia"/>
          <w:sz w:val="20"/>
          <w:szCs w:val="20"/>
        </w:rPr>
        <w:tab/>
      </w:r>
      <w:r>
        <w:rPr>
          <w:rFonts w:hint="eastAsia"/>
          <w:sz w:val="20"/>
          <w:szCs w:val="20"/>
        </w:rPr>
        <w:t>Wang Mei, Li Xiao-li,</w:t>
      </w:r>
      <w:r>
        <w:rPr>
          <w:sz w:val="20"/>
          <w:szCs w:val="20"/>
        </w:rPr>
        <w:t xml:space="preserve"> Thyroid B Congenital Hypothyroidism Value</w:t>
      </w:r>
      <w:r>
        <w:rPr>
          <w:rFonts w:hint="eastAsia"/>
          <w:sz w:val="20"/>
          <w:szCs w:val="20"/>
        </w:rPr>
        <w:t>[J]</w:t>
      </w:r>
      <w:r>
        <w:rPr>
          <w:rFonts w:hint="eastAsia"/>
          <w:i/>
          <w:sz w:val="20"/>
          <w:szCs w:val="20"/>
        </w:rPr>
        <w:t>.</w:t>
      </w:r>
      <w:r>
        <w:rPr>
          <w:rFonts w:hint="eastAsia"/>
          <w:sz w:val="20"/>
          <w:szCs w:val="20"/>
        </w:rPr>
        <w:t xml:space="preserve"> SICHUAN YIXUE, 2015(9): p. 1338-1340.</w:t>
      </w:r>
    </w:p>
    <w:p>
      <w:pPr>
        <w:pStyle w:val="12"/>
        <w:ind w:left="720" w:hanging="720"/>
        <w:rPr>
          <w:szCs w:val="20"/>
        </w:rPr>
      </w:pPr>
      <w:r>
        <w:rPr>
          <w:rFonts w:hint="eastAsia"/>
          <w:sz w:val="20"/>
          <w:szCs w:val="20"/>
        </w:rPr>
        <w:t>4.</w:t>
      </w:r>
      <w:r>
        <w:rPr>
          <w:rFonts w:hint="eastAsia"/>
          <w:sz w:val="20"/>
          <w:szCs w:val="20"/>
        </w:rPr>
        <w:tab/>
      </w:r>
      <w:r>
        <w:rPr>
          <w:rFonts w:hint="eastAsia"/>
          <w:sz w:val="20"/>
          <w:szCs w:val="20"/>
        </w:rPr>
        <w:t>Zhao Li-hong,</w:t>
      </w:r>
      <w:r>
        <w:rPr>
          <w:sz w:val="20"/>
          <w:szCs w:val="20"/>
        </w:rPr>
        <w:t xml:space="preserve"> Clinical anlysis of the screening for congenital hypothyroidism in moderate and high-risk neonates in NICU</w:t>
      </w:r>
      <w:r>
        <w:rPr>
          <w:rFonts w:hint="eastAsia"/>
          <w:sz w:val="20"/>
          <w:szCs w:val="20"/>
        </w:rPr>
        <w:t>[J]</w:t>
      </w:r>
      <w:r>
        <w:rPr>
          <w:rFonts w:hint="eastAsia"/>
          <w:i/>
          <w:sz w:val="20"/>
          <w:szCs w:val="20"/>
        </w:rPr>
        <w:t>.</w:t>
      </w:r>
      <w:r>
        <w:rPr>
          <w:rFonts w:hint="eastAsia"/>
          <w:sz w:val="20"/>
          <w:szCs w:val="20"/>
        </w:rPr>
        <w:t xml:space="preserve"> </w:t>
      </w:r>
      <w:r>
        <w:rPr>
          <w:sz w:val="20"/>
          <w:szCs w:val="20"/>
        </w:rPr>
        <w:t>Chinese Pediatrics Of Integrated Traditional And Western Medicine</w:t>
      </w:r>
      <w:r>
        <w:rPr>
          <w:rFonts w:hint="eastAsia"/>
          <w:sz w:val="20"/>
          <w:szCs w:val="20"/>
        </w:rPr>
        <w:t xml:space="preserve">, 2016. </w:t>
      </w:r>
      <w:r>
        <w:rPr>
          <w:rFonts w:hint="eastAsia"/>
          <w:b/>
          <w:sz w:val="20"/>
          <w:szCs w:val="20"/>
        </w:rPr>
        <w:t>8</w:t>
      </w:r>
      <w:r>
        <w:rPr>
          <w:rFonts w:hint="eastAsia"/>
          <w:sz w:val="20"/>
          <w:szCs w:val="20"/>
        </w:rPr>
        <w:t>(3): p. 353-355.</w:t>
      </w:r>
    </w:p>
    <w:p>
      <w:pPr>
        <w:pStyle w:val="12"/>
        <w:ind w:left="720" w:hanging="720"/>
        <w:rPr>
          <w:szCs w:val="20"/>
        </w:rPr>
      </w:pPr>
      <w:r>
        <w:rPr>
          <w:rFonts w:hint="eastAsia"/>
          <w:sz w:val="20"/>
          <w:szCs w:val="20"/>
        </w:rPr>
        <w:t>5.</w:t>
      </w:r>
      <w:r>
        <w:rPr>
          <w:rFonts w:hint="eastAsia"/>
          <w:sz w:val="20"/>
          <w:szCs w:val="20"/>
        </w:rPr>
        <w:tab/>
      </w:r>
      <w:r>
        <w:rPr>
          <w:rFonts w:hint="eastAsia"/>
          <w:sz w:val="20"/>
          <w:szCs w:val="20"/>
        </w:rPr>
        <w:t>Li Yan-li,</w:t>
      </w:r>
      <w:r>
        <w:rPr>
          <w:sz w:val="20"/>
          <w:szCs w:val="20"/>
        </w:rPr>
        <w:t xml:space="preserve"> </w:t>
      </w:r>
      <w:r>
        <w:rPr>
          <w:i/>
          <w:sz w:val="20"/>
          <w:szCs w:val="20"/>
        </w:rPr>
        <w:t>The Clinical Significance of the Ultrasonic Diagnosis of Congenital Thyroid Function Decrease Sickness</w:t>
      </w:r>
      <w:r>
        <w:rPr>
          <w:rFonts w:hint="eastAsia"/>
          <w:sz w:val="20"/>
          <w:szCs w:val="20"/>
        </w:rPr>
        <w:t>[J]</w:t>
      </w:r>
      <w:r>
        <w:rPr>
          <w:rFonts w:hint="eastAsia"/>
          <w:i/>
          <w:sz w:val="20"/>
          <w:szCs w:val="20"/>
        </w:rPr>
        <w:t>.</w:t>
      </w:r>
      <w:r>
        <w:rPr>
          <w:rFonts w:hint="eastAsia"/>
          <w:sz w:val="20"/>
          <w:szCs w:val="20"/>
        </w:rPr>
        <w:t xml:space="preserve"> </w:t>
      </w:r>
      <w:r>
        <w:rPr>
          <w:sz w:val="20"/>
          <w:szCs w:val="20"/>
        </w:rPr>
        <w:t>Journal of Heze Medical College</w:t>
      </w:r>
      <w:r>
        <w:rPr>
          <w:rFonts w:hint="eastAsia"/>
          <w:sz w:val="20"/>
          <w:szCs w:val="20"/>
        </w:rPr>
        <w:t xml:space="preserve">, 2016. </w:t>
      </w:r>
      <w:r>
        <w:rPr>
          <w:rFonts w:hint="eastAsia"/>
          <w:b/>
          <w:sz w:val="20"/>
          <w:szCs w:val="20"/>
        </w:rPr>
        <w:t>28</w:t>
      </w:r>
      <w:r>
        <w:rPr>
          <w:rFonts w:hint="eastAsia"/>
          <w:sz w:val="20"/>
          <w:szCs w:val="20"/>
        </w:rPr>
        <w:t>(1): p. 32-35.</w:t>
      </w:r>
    </w:p>
    <w:p>
      <w:pPr>
        <w:pStyle w:val="12"/>
        <w:ind w:left="720" w:hanging="720"/>
        <w:rPr>
          <w:szCs w:val="20"/>
        </w:rPr>
      </w:pPr>
      <w:r>
        <w:rPr>
          <w:rFonts w:hint="eastAsia"/>
          <w:sz w:val="20"/>
          <w:szCs w:val="20"/>
        </w:rPr>
        <w:t>6.</w:t>
      </w:r>
      <w:r>
        <w:rPr>
          <w:rFonts w:hint="eastAsia"/>
          <w:sz w:val="20"/>
          <w:szCs w:val="20"/>
        </w:rPr>
        <w:tab/>
      </w:r>
      <w:r>
        <w:rPr>
          <w:rFonts w:hint="eastAsia"/>
          <w:sz w:val="20"/>
          <w:szCs w:val="20"/>
        </w:rPr>
        <w:t>Bao Kuan-ye, et al.,</w:t>
      </w:r>
      <w:r>
        <w:rPr>
          <w:sz w:val="20"/>
          <w:szCs w:val="20"/>
        </w:rPr>
        <w:t xml:space="preserve"> </w:t>
      </w:r>
      <w:r>
        <w:rPr>
          <w:i/>
          <w:sz w:val="20"/>
          <w:szCs w:val="20"/>
        </w:rPr>
        <w:t>Screening and Treatment of congenital hypothyroidism in Huangshan City from 201 2 to 2016</w:t>
      </w:r>
      <w:r>
        <w:rPr>
          <w:rFonts w:hint="eastAsia"/>
          <w:sz w:val="20"/>
          <w:szCs w:val="20"/>
        </w:rPr>
        <w:t>[J]</w:t>
      </w:r>
      <w:r>
        <w:rPr>
          <w:rFonts w:hint="eastAsia"/>
          <w:i/>
          <w:sz w:val="20"/>
          <w:szCs w:val="20"/>
        </w:rPr>
        <w:t>.</w:t>
      </w:r>
      <w:r>
        <w:rPr>
          <w:rFonts w:hint="eastAsia"/>
          <w:sz w:val="20"/>
          <w:szCs w:val="20"/>
        </w:rPr>
        <w:t xml:space="preserve"> </w:t>
      </w:r>
      <w:r>
        <w:rPr>
          <w:sz w:val="20"/>
          <w:szCs w:val="20"/>
        </w:rPr>
        <w:t>Journal of Clinical Research</w:t>
      </w:r>
      <w:r>
        <w:rPr>
          <w:rFonts w:hint="eastAsia"/>
          <w:sz w:val="20"/>
          <w:szCs w:val="20"/>
        </w:rPr>
        <w:t xml:space="preserve">, 2020. </w:t>
      </w:r>
      <w:r>
        <w:rPr>
          <w:rFonts w:hint="eastAsia"/>
          <w:b/>
          <w:sz w:val="20"/>
          <w:szCs w:val="20"/>
        </w:rPr>
        <w:t>37</w:t>
      </w:r>
      <w:r>
        <w:rPr>
          <w:rFonts w:hint="eastAsia"/>
          <w:sz w:val="20"/>
          <w:szCs w:val="20"/>
        </w:rPr>
        <w:t>(4): p. 516-518.</w:t>
      </w:r>
    </w:p>
    <w:p>
      <w:pPr>
        <w:pStyle w:val="12"/>
        <w:ind w:left="720" w:hanging="720"/>
        <w:jc w:val="left"/>
        <w:rPr>
          <w:szCs w:val="20"/>
        </w:rPr>
      </w:pPr>
      <w:r>
        <w:rPr>
          <w:rFonts w:hint="eastAsia"/>
          <w:sz w:val="20"/>
          <w:szCs w:val="20"/>
        </w:rPr>
        <w:t>7.</w:t>
      </w:r>
      <w:r>
        <w:rPr>
          <w:rFonts w:hint="eastAsia"/>
          <w:sz w:val="20"/>
          <w:szCs w:val="20"/>
        </w:rPr>
        <w:tab/>
      </w:r>
      <w:r>
        <w:rPr>
          <w:rFonts w:hint="eastAsia"/>
          <w:sz w:val="20"/>
          <w:szCs w:val="20"/>
        </w:rPr>
        <w:t>Guan Xian-wei, et al., Analysis of Neonatal screening for congenital hypothyroidism in Nanjing  from 1987 to 2019[J]</w:t>
      </w:r>
      <w:r>
        <w:rPr>
          <w:rFonts w:hint="eastAsia"/>
          <w:i/>
          <w:sz w:val="20"/>
          <w:szCs w:val="20"/>
        </w:rPr>
        <w:t>.</w:t>
      </w:r>
      <w:r>
        <w:rPr>
          <w:sz w:val="20"/>
          <w:szCs w:val="20"/>
        </w:rPr>
        <w:t xml:space="preserve"> </w:t>
      </w:r>
      <w:r>
        <w:rPr>
          <w:i/>
          <w:sz w:val="20"/>
          <w:szCs w:val="20"/>
        </w:rPr>
        <w:t>Chinese Journal of Birth Health &amp; Heredity</w:t>
      </w:r>
      <w:r>
        <w:rPr>
          <w:rFonts w:hint="eastAsia"/>
          <w:sz w:val="20"/>
          <w:szCs w:val="20"/>
        </w:rPr>
        <w:t xml:space="preserve">, 2020. </w:t>
      </w:r>
      <w:r>
        <w:rPr>
          <w:rFonts w:hint="eastAsia"/>
          <w:b/>
          <w:sz w:val="20"/>
          <w:szCs w:val="20"/>
        </w:rPr>
        <w:t>28</w:t>
      </w:r>
      <w:r>
        <w:rPr>
          <w:rFonts w:hint="eastAsia"/>
          <w:sz w:val="20"/>
          <w:szCs w:val="20"/>
        </w:rPr>
        <w:t>(7): p. 863-865.</w:t>
      </w:r>
    </w:p>
    <w:p>
      <w:pPr>
        <w:pStyle w:val="12"/>
        <w:ind w:left="720" w:hanging="720"/>
        <w:rPr>
          <w:szCs w:val="20"/>
        </w:rPr>
      </w:pPr>
      <w:r>
        <w:rPr>
          <w:rFonts w:hint="eastAsia"/>
          <w:sz w:val="20"/>
          <w:szCs w:val="20"/>
        </w:rPr>
        <w:t>8.</w:t>
      </w:r>
      <w:r>
        <w:rPr>
          <w:rFonts w:hint="eastAsia"/>
          <w:sz w:val="20"/>
          <w:szCs w:val="20"/>
        </w:rPr>
        <w:tab/>
      </w:r>
      <w:r>
        <w:rPr>
          <w:rFonts w:hint="eastAsia"/>
          <w:sz w:val="20"/>
          <w:szCs w:val="20"/>
        </w:rPr>
        <w:t xml:space="preserve">Yan Ya-qiong, </w:t>
      </w:r>
      <w:r>
        <w:rPr>
          <w:i/>
          <w:sz w:val="20"/>
          <w:szCs w:val="20"/>
        </w:rPr>
        <w:t>Analysis of congenital hypothyroidism on epidemiological characteristics and the therapeutic effects in Shanxi province</w:t>
      </w:r>
      <w:r>
        <w:rPr>
          <w:rFonts w:hint="eastAsia"/>
          <w:sz w:val="20"/>
          <w:szCs w:val="20"/>
        </w:rPr>
        <w:t>[D]. 2016, Shanxi Medical University.</w:t>
      </w:r>
    </w:p>
    <w:p>
      <w:pPr>
        <w:pStyle w:val="12"/>
        <w:ind w:left="720" w:hanging="720"/>
        <w:rPr>
          <w:szCs w:val="20"/>
        </w:rPr>
      </w:pPr>
      <w:r>
        <w:rPr>
          <w:rFonts w:hint="eastAsia"/>
          <w:sz w:val="20"/>
          <w:szCs w:val="20"/>
        </w:rPr>
        <w:t>9.</w:t>
      </w:r>
      <w:r>
        <w:rPr>
          <w:rFonts w:hint="eastAsia"/>
          <w:sz w:val="20"/>
          <w:szCs w:val="20"/>
        </w:rPr>
        <w:tab/>
      </w:r>
      <w:r>
        <w:rPr>
          <w:rFonts w:hint="eastAsia"/>
          <w:sz w:val="20"/>
          <w:szCs w:val="20"/>
        </w:rPr>
        <w:t xml:space="preserve">Zhong Li-mei, et al., </w:t>
      </w:r>
      <w:r>
        <w:rPr>
          <w:rStyle w:val="13"/>
          <w:sz w:val="20"/>
          <w:szCs w:val="20"/>
          <w:lang w:val="en"/>
        </w:rPr>
        <w:t>Etiological analysis of congenital hypothyroidism and clinical observation of levothyroxine sodium treatment</w:t>
      </w:r>
      <w:r>
        <w:rPr>
          <w:rStyle w:val="13"/>
          <w:rFonts w:hint="eastAsia"/>
          <w:sz w:val="20"/>
          <w:szCs w:val="20"/>
          <w:lang w:val="en"/>
        </w:rPr>
        <w:t>[J]</w:t>
      </w:r>
      <w:r>
        <w:rPr>
          <w:rFonts w:hint="eastAsia"/>
          <w:i/>
          <w:sz w:val="20"/>
          <w:szCs w:val="20"/>
        </w:rPr>
        <w:t>.</w:t>
      </w:r>
      <w:r>
        <w:rPr>
          <w:rFonts w:hint="eastAsia"/>
          <w:sz w:val="20"/>
          <w:szCs w:val="20"/>
        </w:rPr>
        <w:t xml:space="preserve"> </w:t>
      </w:r>
      <w:r>
        <w:rPr>
          <w:sz w:val="20"/>
          <w:szCs w:val="20"/>
        </w:rPr>
        <w:t>Journal of North Pharmacy</w:t>
      </w:r>
      <w:r>
        <w:rPr>
          <w:rFonts w:hint="eastAsia"/>
          <w:sz w:val="20"/>
          <w:szCs w:val="20"/>
        </w:rPr>
        <w:t xml:space="preserve">, 2020. </w:t>
      </w:r>
      <w:r>
        <w:rPr>
          <w:rFonts w:hint="eastAsia"/>
          <w:b/>
          <w:sz w:val="20"/>
          <w:szCs w:val="20"/>
        </w:rPr>
        <w:t>17</w:t>
      </w:r>
      <w:r>
        <w:rPr>
          <w:rFonts w:hint="eastAsia"/>
          <w:sz w:val="20"/>
          <w:szCs w:val="20"/>
        </w:rPr>
        <w:t>(05): p. 191-192.</w:t>
      </w:r>
    </w:p>
    <w:p>
      <w:pPr>
        <w:pStyle w:val="12"/>
        <w:ind w:left="720" w:hanging="720"/>
        <w:rPr>
          <w:szCs w:val="20"/>
        </w:rPr>
      </w:pPr>
      <w:r>
        <w:rPr>
          <w:rFonts w:hint="eastAsia"/>
          <w:sz w:val="20"/>
          <w:szCs w:val="20"/>
        </w:rPr>
        <w:t>10.</w:t>
      </w:r>
      <w:r>
        <w:rPr>
          <w:rFonts w:hint="eastAsia"/>
          <w:sz w:val="20"/>
          <w:szCs w:val="20"/>
        </w:rPr>
        <w:tab/>
      </w:r>
      <w:r>
        <w:rPr>
          <w:rFonts w:hint="eastAsia"/>
          <w:sz w:val="20"/>
          <w:szCs w:val="20"/>
        </w:rPr>
        <w:t>Yang Ru-lai, et al.,</w:t>
      </w:r>
      <w:r>
        <w:rPr>
          <w:sz w:val="20"/>
          <w:szCs w:val="20"/>
        </w:rPr>
        <w:t xml:space="preserve"> Clinical analysis about 2 789cases of congenital hypothyroidism</w:t>
      </w:r>
      <w:r>
        <w:rPr>
          <w:rFonts w:hint="eastAsia"/>
          <w:sz w:val="20"/>
          <w:szCs w:val="20"/>
        </w:rPr>
        <w:t>[J]</w:t>
      </w:r>
      <w:r>
        <w:rPr>
          <w:rFonts w:hint="eastAsia"/>
          <w:i/>
          <w:sz w:val="20"/>
          <w:szCs w:val="20"/>
        </w:rPr>
        <w:t>.</w:t>
      </w:r>
      <w:r>
        <w:rPr>
          <w:rFonts w:hint="eastAsia"/>
          <w:sz w:val="20"/>
          <w:szCs w:val="20"/>
        </w:rPr>
        <w:t xml:space="preserve"> </w:t>
      </w:r>
      <w:r>
        <w:rPr>
          <w:sz w:val="20"/>
          <w:szCs w:val="20"/>
        </w:rPr>
        <w:t>Chinese Journal of Child Health Care</w:t>
      </w:r>
      <w:r>
        <w:rPr>
          <w:rFonts w:hint="eastAsia"/>
          <w:sz w:val="20"/>
          <w:szCs w:val="20"/>
        </w:rPr>
        <w:t xml:space="preserve">, 2017. </w:t>
      </w:r>
      <w:r>
        <w:rPr>
          <w:rFonts w:hint="eastAsia"/>
          <w:b/>
          <w:sz w:val="20"/>
          <w:szCs w:val="20"/>
        </w:rPr>
        <w:t>25</w:t>
      </w:r>
      <w:r>
        <w:rPr>
          <w:rFonts w:hint="eastAsia"/>
          <w:sz w:val="20"/>
          <w:szCs w:val="20"/>
        </w:rPr>
        <w:t>(11): p. 1094-1097.</w:t>
      </w:r>
    </w:p>
    <w:p>
      <w:pPr>
        <w:pStyle w:val="12"/>
        <w:ind w:left="720" w:hanging="720"/>
        <w:rPr>
          <w:szCs w:val="20"/>
        </w:rPr>
      </w:pPr>
      <w:r>
        <w:rPr>
          <w:rFonts w:hint="eastAsia"/>
          <w:sz w:val="20"/>
          <w:szCs w:val="20"/>
        </w:rPr>
        <w:t>11.</w:t>
      </w:r>
      <w:r>
        <w:rPr>
          <w:rFonts w:hint="eastAsia"/>
          <w:sz w:val="20"/>
          <w:szCs w:val="20"/>
        </w:rPr>
        <w:tab/>
      </w:r>
      <w:r>
        <w:rPr>
          <w:rFonts w:hint="eastAsia"/>
          <w:sz w:val="20"/>
          <w:szCs w:val="20"/>
        </w:rPr>
        <w:t xml:space="preserve">Liu Shuo, et al., </w:t>
      </w:r>
      <w:r>
        <w:rPr>
          <w:i/>
          <w:sz w:val="20"/>
          <w:szCs w:val="20"/>
        </w:rPr>
        <w:t>An analysis of the etiology of congenital hypothyroidism and the clinical efficacy of Levothy-roxine sodium</w:t>
      </w:r>
      <w:r>
        <w:rPr>
          <w:rFonts w:hint="eastAsia"/>
          <w:i/>
          <w:sz w:val="20"/>
          <w:szCs w:val="20"/>
        </w:rPr>
        <w:t>[J].</w:t>
      </w:r>
      <w:r>
        <w:rPr>
          <w:rFonts w:hint="eastAsia"/>
          <w:sz w:val="20"/>
          <w:szCs w:val="20"/>
        </w:rPr>
        <w:t xml:space="preserve"> </w:t>
      </w:r>
      <w:r>
        <w:rPr>
          <w:sz w:val="20"/>
          <w:szCs w:val="20"/>
        </w:rPr>
        <w:t>Practical Journal of Clinical Medicine</w:t>
      </w:r>
      <w:r>
        <w:rPr>
          <w:rFonts w:hint="eastAsia"/>
          <w:sz w:val="20"/>
          <w:szCs w:val="20"/>
        </w:rPr>
        <w:t xml:space="preserve">, 2018. </w:t>
      </w:r>
      <w:r>
        <w:rPr>
          <w:rFonts w:hint="eastAsia"/>
          <w:b/>
          <w:sz w:val="20"/>
          <w:szCs w:val="20"/>
        </w:rPr>
        <w:t>15</w:t>
      </w:r>
      <w:r>
        <w:rPr>
          <w:rFonts w:hint="eastAsia"/>
          <w:sz w:val="20"/>
          <w:szCs w:val="20"/>
        </w:rPr>
        <w:t>(02): p. 29-31.</w:t>
      </w:r>
    </w:p>
    <w:p>
      <w:pPr>
        <w:pStyle w:val="12"/>
        <w:ind w:left="720" w:hanging="720"/>
        <w:rPr>
          <w:szCs w:val="20"/>
        </w:rPr>
      </w:pPr>
      <w:r>
        <w:rPr>
          <w:rFonts w:hint="eastAsia"/>
          <w:sz w:val="20"/>
          <w:szCs w:val="20"/>
        </w:rPr>
        <w:t>12.</w:t>
      </w:r>
      <w:r>
        <w:rPr>
          <w:rFonts w:hint="eastAsia"/>
          <w:sz w:val="20"/>
          <w:szCs w:val="20"/>
        </w:rPr>
        <w:tab/>
      </w:r>
      <w:r>
        <w:rPr>
          <w:rFonts w:hint="eastAsia"/>
          <w:sz w:val="20"/>
          <w:szCs w:val="20"/>
        </w:rPr>
        <w:t xml:space="preserve">Ma Wen-na, </w:t>
      </w:r>
      <w:r>
        <w:rPr>
          <w:i/>
          <w:sz w:val="20"/>
          <w:szCs w:val="20"/>
        </w:rPr>
        <w:t>Analysis of perinatal factors of occurrence and evolution of congenital hypothyroidism</w:t>
      </w:r>
      <w:r>
        <w:rPr>
          <w:rFonts w:hint="eastAsia"/>
          <w:i/>
          <w:sz w:val="20"/>
          <w:szCs w:val="20"/>
        </w:rPr>
        <w:t>[J].</w:t>
      </w:r>
      <w:r>
        <w:rPr>
          <w:rFonts w:hint="eastAsia"/>
          <w:sz w:val="20"/>
          <w:szCs w:val="20"/>
        </w:rPr>
        <w:t xml:space="preserve"> </w:t>
      </w:r>
      <w:r>
        <w:rPr>
          <w:sz w:val="20"/>
          <w:szCs w:val="20"/>
        </w:rPr>
        <w:t>Chinese Journal of Woman and Child Health Research</w:t>
      </w:r>
      <w:r>
        <w:rPr>
          <w:rFonts w:hint="eastAsia"/>
          <w:sz w:val="20"/>
          <w:szCs w:val="20"/>
        </w:rPr>
        <w:t xml:space="preserve">, 2020. </w:t>
      </w:r>
      <w:r>
        <w:rPr>
          <w:rFonts w:hint="eastAsia"/>
          <w:b/>
          <w:sz w:val="20"/>
          <w:szCs w:val="20"/>
        </w:rPr>
        <w:t>31</w:t>
      </w:r>
      <w:r>
        <w:rPr>
          <w:rFonts w:hint="eastAsia"/>
          <w:sz w:val="20"/>
          <w:szCs w:val="20"/>
        </w:rPr>
        <w:t>(4): p. 470-474.</w:t>
      </w:r>
    </w:p>
    <w:p>
      <w:pPr>
        <w:pStyle w:val="12"/>
        <w:ind w:left="720" w:hanging="720"/>
        <w:rPr>
          <w:szCs w:val="20"/>
        </w:rPr>
      </w:pPr>
      <w:r>
        <w:rPr>
          <w:rFonts w:hint="eastAsia"/>
          <w:sz w:val="20"/>
          <w:szCs w:val="20"/>
        </w:rPr>
        <w:t>13.</w:t>
      </w:r>
      <w:r>
        <w:rPr>
          <w:rFonts w:hint="eastAsia"/>
          <w:sz w:val="20"/>
          <w:szCs w:val="20"/>
        </w:rPr>
        <w:tab/>
      </w:r>
      <w:r>
        <w:rPr>
          <w:rFonts w:hint="eastAsia"/>
          <w:sz w:val="20"/>
          <w:szCs w:val="20"/>
        </w:rPr>
        <w:t xml:space="preserve">Chen Shao-hong, Li Jiang-ying, </w:t>
      </w:r>
      <w:r>
        <w:rPr>
          <w:rStyle w:val="13"/>
          <w:sz w:val="20"/>
          <w:szCs w:val="20"/>
          <w:lang w:val="en"/>
        </w:rPr>
        <w:t>Prognosis study of 503 cases of congenital hypothyroidism</w:t>
      </w:r>
      <w:r>
        <w:rPr>
          <w:rStyle w:val="13"/>
          <w:rFonts w:hint="eastAsia"/>
          <w:sz w:val="20"/>
          <w:szCs w:val="20"/>
          <w:lang w:val="en"/>
        </w:rPr>
        <w:t>[J]</w:t>
      </w:r>
      <w:r>
        <w:rPr>
          <w:rFonts w:hint="eastAsia"/>
          <w:i/>
          <w:sz w:val="20"/>
          <w:szCs w:val="20"/>
        </w:rPr>
        <w:t>.</w:t>
      </w:r>
      <w:r>
        <w:rPr>
          <w:rFonts w:hint="eastAsia"/>
          <w:sz w:val="20"/>
          <w:szCs w:val="20"/>
        </w:rPr>
        <w:t xml:space="preserve"> </w:t>
      </w:r>
      <w:r>
        <w:rPr>
          <w:sz w:val="20"/>
          <w:szCs w:val="20"/>
        </w:rPr>
        <w:t>Jiangxi Medical Journal</w:t>
      </w:r>
      <w:r>
        <w:rPr>
          <w:rFonts w:hint="eastAsia"/>
          <w:sz w:val="20"/>
          <w:szCs w:val="20"/>
        </w:rPr>
        <w:t xml:space="preserve">, 2020. </w:t>
      </w:r>
      <w:r>
        <w:rPr>
          <w:rFonts w:hint="eastAsia"/>
          <w:b/>
          <w:sz w:val="20"/>
          <w:szCs w:val="20"/>
        </w:rPr>
        <w:t>55</w:t>
      </w:r>
      <w:r>
        <w:rPr>
          <w:rFonts w:hint="eastAsia"/>
          <w:sz w:val="20"/>
          <w:szCs w:val="20"/>
        </w:rPr>
        <w:t>(8): p. 1091-1094,1107.</w:t>
      </w:r>
    </w:p>
    <w:p>
      <w:pPr>
        <w:pStyle w:val="12"/>
        <w:ind w:left="720" w:hanging="720"/>
        <w:rPr>
          <w:szCs w:val="20"/>
        </w:rPr>
      </w:pPr>
      <w:r>
        <w:rPr>
          <w:rFonts w:hint="eastAsia"/>
          <w:sz w:val="20"/>
          <w:szCs w:val="20"/>
        </w:rPr>
        <w:t>14.</w:t>
      </w:r>
      <w:r>
        <w:rPr>
          <w:rFonts w:hint="eastAsia"/>
          <w:sz w:val="20"/>
          <w:szCs w:val="20"/>
        </w:rPr>
        <w:tab/>
      </w:r>
      <w:r>
        <w:rPr>
          <w:rFonts w:hint="eastAsia"/>
          <w:sz w:val="20"/>
          <w:szCs w:val="20"/>
        </w:rPr>
        <w:t xml:space="preserve">Wang Xiu-li, et al., </w:t>
      </w:r>
      <w:r>
        <w:rPr>
          <w:i/>
          <w:sz w:val="20"/>
          <w:szCs w:val="20"/>
        </w:rPr>
        <w:t>Analysis of screening and therapeutic effect of congenital hypothyroidism</w:t>
      </w:r>
      <w:r>
        <w:rPr>
          <w:rFonts w:hint="eastAsia"/>
          <w:i/>
          <w:sz w:val="20"/>
          <w:szCs w:val="20"/>
        </w:rPr>
        <w:t>[J].</w:t>
      </w:r>
      <w:r>
        <w:rPr>
          <w:rFonts w:hint="eastAsia"/>
          <w:sz w:val="20"/>
          <w:szCs w:val="20"/>
        </w:rPr>
        <w:t xml:space="preserve"> </w:t>
      </w:r>
      <w:r>
        <w:rPr>
          <w:sz w:val="20"/>
          <w:szCs w:val="20"/>
        </w:rPr>
        <w:t>Journal of Clinical Pediatrics</w:t>
      </w:r>
      <w:r>
        <w:rPr>
          <w:rFonts w:hint="eastAsia"/>
          <w:sz w:val="20"/>
          <w:szCs w:val="20"/>
        </w:rPr>
        <w:t xml:space="preserve">, 2016. </w:t>
      </w:r>
      <w:r>
        <w:rPr>
          <w:rFonts w:hint="eastAsia"/>
          <w:b/>
          <w:sz w:val="20"/>
          <w:szCs w:val="20"/>
        </w:rPr>
        <w:t>34</w:t>
      </w:r>
      <w:r>
        <w:rPr>
          <w:rFonts w:hint="eastAsia"/>
          <w:sz w:val="20"/>
          <w:szCs w:val="20"/>
        </w:rPr>
        <w:t>(8): p. 602-605.</w:t>
      </w:r>
    </w:p>
    <w:p>
      <w:pPr>
        <w:pStyle w:val="12"/>
        <w:ind w:left="720" w:hanging="720"/>
        <w:rPr>
          <w:szCs w:val="20"/>
        </w:rPr>
      </w:pPr>
      <w:r>
        <w:rPr>
          <w:rFonts w:hint="eastAsia"/>
          <w:sz w:val="20"/>
          <w:szCs w:val="20"/>
        </w:rPr>
        <w:t>15.</w:t>
      </w:r>
      <w:r>
        <w:rPr>
          <w:rFonts w:hint="eastAsia"/>
          <w:sz w:val="20"/>
          <w:szCs w:val="20"/>
        </w:rPr>
        <w:tab/>
      </w:r>
      <w:r>
        <w:rPr>
          <w:rFonts w:hint="eastAsia"/>
          <w:sz w:val="20"/>
          <w:szCs w:val="20"/>
        </w:rPr>
        <w:t xml:space="preserve">Pan Ling-li, Zhang Mei, Kuang Xiao-ni, </w:t>
      </w:r>
      <w:r>
        <w:rPr>
          <w:i/>
          <w:sz w:val="20"/>
          <w:szCs w:val="20"/>
        </w:rPr>
        <w:t>Research of outcome and impact factors of congenital hypothyroidism after treatment</w:t>
      </w:r>
      <w:r>
        <w:rPr>
          <w:rFonts w:hint="eastAsia"/>
          <w:i/>
          <w:sz w:val="20"/>
          <w:szCs w:val="20"/>
        </w:rPr>
        <w:t>[J].</w:t>
      </w:r>
      <w:r>
        <w:rPr>
          <w:rFonts w:hint="eastAsia"/>
          <w:sz w:val="20"/>
          <w:szCs w:val="20"/>
        </w:rPr>
        <w:t xml:space="preserve"> </w:t>
      </w:r>
      <w:r>
        <w:rPr>
          <w:sz w:val="20"/>
          <w:szCs w:val="20"/>
        </w:rPr>
        <w:t>Chinese Journal of Child Health Care</w:t>
      </w:r>
      <w:r>
        <w:rPr>
          <w:rFonts w:hint="eastAsia"/>
          <w:sz w:val="20"/>
          <w:szCs w:val="20"/>
        </w:rPr>
        <w:t xml:space="preserve">, 2015. </w:t>
      </w:r>
      <w:r>
        <w:rPr>
          <w:rFonts w:hint="eastAsia"/>
          <w:b/>
          <w:sz w:val="20"/>
          <w:szCs w:val="20"/>
        </w:rPr>
        <w:t>23</w:t>
      </w:r>
      <w:r>
        <w:rPr>
          <w:rFonts w:hint="eastAsia"/>
          <w:sz w:val="20"/>
          <w:szCs w:val="20"/>
        </w:rPr>
        <w:t>(1): p. 96-98.</w:t>
      </w:r>
    </w:p>
    <w:p>
      <w:pPr>
        <w:pStyle w:val="12"/>
        <w:ind w:left="720" w:hanging="720"/>
        <w:rPr>
          <w:szCs w:val="20"/>
        </w:rPr>
      </w:pPr>
      <w:r>
        <w:rPr>
          <w:sz w:val="20"/>
          <w:szCs w:val="20"/>
        </w:rPr>
        <w:t>16.</w:t>
      </w:r>
      <w:r>
        <w:rPr>
          <w:sz w:val="20"/>
          <w:szCs w:val="20"/>
        </w:rPr>
        <w:tab/>
      </w:r>
      <w:r>
        <w:rPr>
          <w:sz w:val="20"/>
          <w:szCs w:val="20"/>
        </w:rPr>
        <w:t>Chen</w:t>
      </w:r>
      <w:r>
        <w:rPr>
          <w:rFonts w:hint="eastAsia"/>
          <w:sz w:val="20"/>
          <w:szCs w:val="20"/>
        </w:rPr>
        <w:t xml:space="preserve"> </w:t>
      </w:r>
      <w:r>
        <w:rPr>
          <w:sz w:val="20"/>
          <w:szCs w:val="20"/>
        </w:rPr>
        <w:t>J</w:t>
      </w:r>
      <w:r>
        <w:rPr>
          <w:rFonts w:hint="eastAsia"/>
          <w:sz w:val="20"/>
          <w:szCs w:val="20"/>
        </w:rPr>
        <w:t>ing</w:t>
      </w:r>
      <w:r>
        <w:rPr>
          <w:sz w:val="20"/>
          <w:szCs w:val="20"/>
        </w:rPr>
        <w:t xml:space="preserve">, </w:t>
      </w:r>
      <w:r>
        <w:rPr>
          <w:rFonts w:hint="eastAsia"/>
          <w:sz w:val="20"/>
          <w:szCs w:val="20"/>
        </w:rPr>
        <w:t xml:space="preserve">Lin Shao-wu, </w:t>
      </w:r>
      <w:r>
        <w:rPr>
          <w:sz w:val="20"/>
          <w:szCs w:val="20"/>
        </w:rPr>
        <w:t xml:space="preserve">et al., </w:t>
      </w:r>
      <w:r>
        <w:rPr>
          <w:i/>
          <w:sz w:val="20"/>
          <w:szCs w:val="20"/>
        </w:rPr>
        <w:t>EPIDEMIOLOGIC CHARACTERISTICS AND RISK FACTORS FOR CONGENITAL HYPOTHYROIDISM FROM 2009 TO 2018 IN XIAMEN, CHINA.</w:t>
      </w:r>
      <w:r>
        <w:rPr>
          <w:sz w:val="20"/>
          <w:szCs w:val="20"/>
        </w:rPr>
        <w:t xml:space="preserve"> Endocr Pract, 2020. </w:t>
      </w:r>
      <w:r>
        <w:rPr>
          <w:b/>
          <w:sz w:val="20"/>
          <w:szCs w:val="20"/>
        </w:rPr>
        <w:t>26</w:t>
      </w:r>
      <w:r>
        <w:rPr>
          <w:sz w:val="20"/>
          <w:szCs w:val="20"/>
        </w:rPr>
        <w:t>(6): p. 585-594.</w:t>
      </w:r>
    </w:p>
    <w:p>
      <w:pPr>
        <w:pStyle w:val="12"/>
        <w:ind w:left="720" w:hanging="720"/>
        <w:rPr>
          <w:szCs w:val="20"/>
        </w:rPr>
      </w:pPr>
      <w:r>
        <w:rPr>
          <w:sz w:val="20"/>
          <w:szCs w:val="20"/>
        </w:rPr>
        <w:t>17.</w:t>
      </w:r>
      <w:r>
        <w:rPr>
          <w:sz w:val="20"/>
          <w:szCs w:val="20"/>
        </w:rPr>
        <w:tab/>
      </w:r>
      <w:r>
        <w:rPr>
          <w:sz w:val="20"/>
          <w:szCs w:val="20"/>
        </w:rPr>
        <w:t>Fan X</w:t>
      </w:r>
      <w:r>
        <w:rPr>
          <w:rFonts w:hint="eastAsia"/>
          <w:sz w:val="20"/>
          <w:szCs w:val="20"/>
        </w:rPr>
        <w:t>in</w:t>
      </w:r>
      <w:r>
        <w:rPr>
          <w:sz w:val="20"/>
          <w:szCs w:val="20"/>
        </w:rPr>
        <w:t>,</w:t>
      </w:r>
      <w:r>
        <w:rPr>
          <w:rFonts w:hint="eastAsia"/>
          <w:sz w:val="20"/>
          <w:szCs w:val="20"/>
        </w:rPr>
        <w:t xml:space="preserve"> Chen Shao-ke,</w:t>
      </w:r>
      <w:r>
        <w:rPr>
          <w:sz w:val="20"/>
          <w:szCs w:val="20"/>
        </w:rPr>
        <w:t xml:space="preserve"> et al., </w:t>
      </w:r>
      <w:r>
        <w:rPr>
          <w:i/>
          <w:sz w:val="20"/>
          <w:szCs w:val="20"/>
        </w:rPr>
        <w:t>Incidence and Interrelated Factors in Patients With Congenital Hypothyroidism as Detected by Newborn Screening in Guangxi, China.</w:t>
      </w:r>
      <w:r>
        <w:rPr>
          <w:sz w:val="20"/>
          <w:szCs w:val="20"/>
        </w:rPr>
        <w:t xml:space="preserve"> Glob Pediatr Health, 2015. </w:t>
      </w:r>
      <w:r>
        <w:rPr>
          <w:b/>
          <w:sz w:val="20"/>
          <w:szCs w:val="20"/>
        </w:rPr>
        <w:t>2</w:t>
      </w:r>
      <w:r>
        <w:rPr>
          <w:sz w:val="20"/>
          <w:szCs w:val="20"/>
        </w:rPr>
        <w:t>: p. 2333794x14567193.</w:t>
      </w:r>
    </w:p>
    <w:p>
      <w:pPr>
        <w:pStyle w:val="12"/>
        <w:ind w:left="720" w:hanging="720"/>
        <w:rPr>
          <w:szCs w:val="20"/>
        </w:rPr>
      </w:pPr>
      <w:r>
        <w:rPr>
          <w:rFonts w:hint="eastAsia"/>
          <w:sz w:val="20"/>
          <w:szCs w:val="20"/>
        </w:rPr>
        <w:t>18.</w:t>
      </w:r>
      <w:r>
        <w:rPr>
          <w:rFonts w:hint="eastAsia"/>
          <w:sz w:val="20"/>
          <w:szCs w:val="20"/>
        </w:rPr>
        <w:tab/>
      </w:r>
      <w:r>
        <w:rPr>
          <w:rFonts w:hint="eastAsia"/>
          <w:sz w:val="20"/>
          <w:szCs w:val="20"/>
        </w:rPr>
        <w:t xml:space="preserve">Huang Lian-hong, </w:t>
      </w:r>
      <w:r>
        <w:rPr>
          <w:i/>
          <w:sz w:val="20"/>
          <w:szCs w:val="20"/>
        </w:rPr>
        <w:t>Analysis of congenital hypothyroidism screening, treatment effects and influence factors in Zhongshan</w:t>
      </w:r>
      <w:r>
        <w:rPr>
          <w:rFonts w:hint="eastAsia"/>
          <w:i/>
          <w:sz w:val="20"/>
          <w:szCs w:val="20"/>
        </w:rPr>
        <w:t>[D].</w:t>
      </w:r>
      <w:r>
        <w:rPr>
          <w:rFonts w:hint="eastAsia"/>
          <w:sz w:val="20"/>
          <w:szCs w:val="20"/>
        </w:rPr>
        <w:t xml:space="preserve"> 2014.Southern Medical University.</w:t>
      </w:r>
    </w:p>
    <w:p>
      <w:pPr>
        <w:pStyle w:val="12"/>
        <w:ind w:left="720" w:hanging="720"/>
        <w:rPr>
          <w:szCs w:val="20"/>
        </w:rPr>
      </w:pPr>
      <w:r>
        <w:rPr>
          <w:rFonts w:hint="eastAsia"/>
          <w:sz w:val="20"/>
          <w:szCs w:val="20"/>
        </w:rPr>
        <w:t>19.</w:t>
      </w:r>
      <w:r>
        <w:rPr>
          <w:rFonts w:hint="eastAsia"/>
          <w:sz w:val="20"/>
          <w:szCs w:val="20"/>
        </w:rPr>
        <w:tab/>
      </w:r>
      <w:r>
        <w:rPr>
          <w:rFonts w:hint="eastAsia"/>
          <w:sz w:val="20"/>
          <w:szCs w:val="20"/>
        </w:rPr>
        <w:t xml:space="preserve">Qiu Hai-ping, </w:t>
      </w:r>
      <w:r>
        <w:rPr>
          <w:sz w:val="20"/>
          <w:szCs w:val="20"/>
        </w:rPr>
        <w:t>Pay attention to the role of thyroid B-ultrasound in the screening of congenital hypothyroidism</w:t>
      </w:r>
      <w:r>
        <w:rPr>
          <w:rFonts w:hint="eastAsia"/>
          <w:sz w:val="20"/>
          <w:szCs w:val="20"/>
        </w:rPr>
        <w:t>[J]</w:t>
      </w:r>
      <w:r>
        <w:rPr>
          <w:rFonts w:hint="eastAsia"/>
          <w:i/>
          <w:sz w:val="20"/>
          <w:szCs w:val="20"/>
        </w:rPr>
        <w:t>.</w:t>
      </w:r>
      <w:r>
        <w:rPr>
          <w:rFonts w:hint="eastAsia"/>
          <w:sz w:val="20"/>
          <w:szCs w:val="20"/>
        </w:rPr>
        <w:t xml:space="preserve"> </w:t>
      </w:r>
      <w:r>
        <w:rPr>
          <w:sz w:val="20"/>
          <w:szCs w:val="20"/>
        </w:rPr>
        <w:t>Medical Frontier</w:t>
      </w:r>
      <w:r>
        <w:rPr>
          <w:rFonts w:hint="eastAsia"/>
          <w:sz w:val="20"/>
          <w:szCs w:val="20"/>
        </w:rPr>
        <w:t>, 2017.10(30).</w:t>
      </w:r>
    </w:p>
    <w:p>
      <w:pPr>
        <w:pStyle w:val="12"/>
        <w:ind w:left="720" w:hanging="720"/>
        <w:rPr>
          <w:szCs w:val="20"/>
        </w:rPr>
      </w:pPr>
      <w:r>
        <w:rPr>
          <w:sz w:val="20"/>
          <w:szCs w:val="20"/>
        </w:rPr>
        <w:t>20.</w:t>
      </w:r>
      <w:r>
        <w:rPr>
          <w:sz w:val="20"/>
          <w:szCs w:val="20"/>
        </w:rPr>
        <w:tab/>
      </w:r>
      <w:r>
        <w:rPr>
          <w:sz w:val="20"/>
          <w:szCs w:val="20"/>
        </w:rPr>
        <w:t xml:space="preserve">Chen, S.H., et al., </w:t>
      </w:r>
      <w:r>
        <w:rPr>
          <w:i/>
          <w:sz w:val="20"/>
          <w:szCs w:val="20"/>
        </w:rPr>
        <w:t>Diagnostic re-evaluation and predictors of congenital hypothyroidism with eutopic thyroid gland in Jiangxi, China</w:t>
      </w:r>
      <w:r>
        <w:rPr>
          <w:rFonts w:hint="eastAsia"/>
          <w:i/>
          <w:sz w:val="20"/>
          <w:szCs w:val="20"/>
        </w:rPr>
        <w:t>[J]</w:t>
      </w:r>
      <w:r>
        <w:rPr>
          <w:i/>
          <w:sz w:val="20"/>
          <w:szCs w:val="20"/>
        </w:rPr>
        <w:t>.</w:t>
      </w:r>
      <w:r>
        <w:rPr>
          <w:sz w:val="20"/>
          <w:szCs w:val="20"/>
        </w:rPr>
        <w:t xml:space="preserve"> J Pediatr Endocrinol Metab, 2021.</w:t>
      </w:r>
    </w:p>
    <w:p>
      <w:pPr>
        <w:pStyle w:val="12"/>
        <w:ind w:left="720" w:hanging="720"/>
        <w:rPr>
          <w:szCs w:val="20"/>
        </w:rPr>
      </w:pPr>
      <w:r>
        <w:rPr>
          <w:sz w:val="20"/>
          <w:szCs w:val="20"/>
        </w:rPr>
        <w:t>21.</w:t>
      </w:r>
      <w:r>
        <w:rPr>
          <w:sz w:val="20"/>
          <w:szCs w:val="20"/>
        </w:rPr>
        <w:tab/>
      </w:r>
      <w:r>
        <w:rPr>
          <w:sz w:val="20"/>
          <w:szCs w:val="20"/>
        </w:rPr>
        <w:t xml:space="preserve">Fu, C., et al., </w:t>
      </w:r>
      <w:r>
        <w:rPr>
          <w:i/>
          <w:sz w:val="20"/>
          <w:szCs w:val="20"/>
        </w:rPr>
        <w:t>The incidence of congenital hypothyroidism (CH) in Guangxi, China and the predictors of permanent and transient CH</w:t>
      </w:r>
      <w:r>
        <w:rPr>
          <w:rFonts w:hint="eastAsia"/>
          <w:i/>
          <w:sz w:val="20"/>
          <w:szCs w:val="20"/>
        </w:rPr>
        <w:t>[J]</w:t>
      </w:r>
      <w:r>
        <w:rPr>
          <w:i/>
          <w:sz w:val="20"/>
          <w:szCs w:val="20"/>
        </w:rPr>
        <w:t>.</w:t>
      </w:r>
      <w:r>
        <w:rPr>
          <w:sz w:val="20"/>
          <w:szCs w:val="20"/>
        </w:rPr>
        <w:t xml:space="preserve"> Endocr Connect, 2017. </w:t>
      </w:r>
      <w:r>
        <w:rPr>
          <w:b/>
          <w:sz w:val="20"/>
          <w:szCs w:val="20"/>
        </w:rPr>
        <w:t>6(8)</w:t>
      </w:r>
      <w:r>
        <w:rPr>
          <w:sz w:val="20"/>
          <w:szCs w:val="20"/>
        </w:rPr>
        <w:t>(2049-3614 (Print)): p. 926-934.</w:t>
      </w:r>
    </w:p>
    <w:p>
      <w:pPr>
        <w:rPr>
          <w:rFonts w:ascii="Times New Roman" w:hAnsi="Times New Roman"/>
          <w:sz w:val="20"/>
          <w:szCs w:val="20"/>
        </w:rPr>
      </w:pPr>
      <w:r>
        <w:rPr>
          <w:rFonts w:ascii="Times New Roman" w:hAnsi="Times New Roman"/>
          <w:sz w:val="20"/>
          <w:szCs w:val="20"/>
        </w:rPr>
        <w:fldChar w:fldCharType="end"/>
      </w:r>
      <w:r>
        <w:rPr>
          <w:rFonts w:ascii="Times New Roman" w:hAnsi="Times New Roman"/>
          <w:sz w:val="20"/>
          <w:szCs w:val="20"/>
        </w:rPr>
        <w:br w:type="page"/>
      </w:r>
    </w:p>
    <w:p>
      <w:pPr>
        <w:pStyle w:val="2"/>
        <w:spacing w:after="0" w:line="360" w:lineRule="auto"/>
        <w:jc w:val="left"/>
        <w:rPr>
          <w:rFonts w:ascii="Times New Roman" w:hAnsi="Times New Roman"/>
          <w:sz w:val="20"/>
          <w:szCs w:val="20"/>
        </w:rPr>
      </w:pPr>
      <w:bookmarkStart w:id="11" w:name="_Toc101884816"/>
      <w:bookmarkStart w:id="12" w:name="_Toc100940554"/>
      <w:bookmarkStart w:id="13" w:name="_Toc101885135"/>
      <w:bookmarkStart w:id="14" w:name="_Toc101885203"/>
      <w:r>
        <w:rPr>
          <w:rFonts w:hint="eastAsia" w:ascii="Times New Roman" w:hAnsi="Times New Roman"/>
          <w:sz w:val="20"/>
          <w:szCs w:val="20"/>
        </w:rPr>
        <w:t xml:space="preserve">Supplementary </w:t>
      </w:r>
      <w:r>
        <w:rPr>
          <w:rFonts w:ascii="Times New Roman" w:hAnsi="Times New Roman"/>
          <w:sz w:val="20"/>
          <w:szCs w:val="20"/>
        </w:rPr>
        <w:t>Method S</w:t>
      </w:r>
      <w:r>
        <w:rPr>
          <w:rFonts w:hint="eastAsia" w:ascii="Times New Roman" w:hAnsi="Times New Roman"/>
          <w:sz w:val="20"/>
          <w:szCs w:val="20"/>
        </w:rPr>
        <w:t>2.</w:t>
      </w:r>
      <w:r>
        <w:rPr>
          <w:rFonts w:ascii="Times New Roman" w:hAnsi="Times New Roman"/>
          <w:sz w:val="20"/>
          <w:szCs w:val="20"/>
        </w:rPr>
        <w:t xml:space="preserve">  Sensitivity Analysis of Increasing Preterm Birth Rate to Explain Increases in CH</w:t>
      </w:r>
      <w:bookmarkEnd w:id="11"/>
      <w:bookmarkEnd w:id="12"/>
      <w:bookmarkEnd w:id="13"/>
      <w:bookmarkEnd w:id="14"/>
      <w:r>
        <w:rPr>
          <w:rFonts w:ascii="Times New Roman" w:hAnsi="Times New Roman"/>
          <w:sz w:val="20"/>
          <w:szCs w:val="20"/>
        </w:rPr>
        <w:t xml:space="preserve"> </w:t>
      </w:r>
    </w:p>
    <w:p>
      <w:pPr>
        <w:ind w:firstLine="420"/>
        <w:rPr>
          <w:rFonts w:ascii="Times New Roman" w:hAnsi="Times New Roman" w:cs="Times New Roman"/>
          <w:sz w:val="20"/>
          <w:szCs w:val="20"/>
        </w:rPr>
      </w:pPr>
      <w:bookmarkStart w:id="15" w:name="OLE_LINK17"/>
      <w:r>
        <w:rPr>
          <w:rFonts w:ascii="Times New Roman" w:hAnsi="Times New Roman" w:cs="Times New Roman"/>
          <w:sz w:val="20"/>
          <w:szCs w:val="20"/>
        </w:rPr>
        <w:t>To quantify how the extent of increasing preterm birth rate to explain the increases in CH incidence, sensitivity analysis was conducted</w:t>
      </w:r>
      <w:bookmarkEnd w:id="15"/>
      <w:r>
        <w:rPr>
          <w:rFonts w:ascii="Times New Roman" w:hAnsi="Times New Roman" w:cs="Times New Roman"/>
          <w:sz w:val="20"/>
          <w:szCs w:val="20"/>
        </w:rPr>
        <w:t xml:space="preserve">. </w:t>
      </w:r>
    </w:p>
    <w:p>
      <w:pPr>
        <w:ind w:firstLine="420"/>
        <w:rPr>
          <w:rFonts w:ascii="Times New Roman" w:hAnsi="Times New Roman" w:cs="Times New Roman"/>
          <w:sz w:val="20"/>
          <w:szCs w:val="20"/>
        </w:rPr>
      </w:pPr>
      <w:r>
        <w:rPr>
          <w:rFonts w:ascii="Times New Roman" w:hAnsi="Times New Roman" w:cs="Times New Roman"/>
          <w:sz w:val="20"/>
          <w:szCs w:val="20"/>
        </w:rPr>
        <w:t>We cite the incidence of congenital hypothyroidism in preterm infants (P) from the literature.</w:t>
      </w:r>
      <w:r>
        <w:rPr>
          <w:rFonts w:ascii="Times New Roman" w:hAnsi="Times New Roman" w:cs="Times New Roman"/>
          <w:sz w:val="20"/>
          <w:szCs w:val="20"/>
        </w:rPr>
        <w:fldChar w:fldCharType="begin">
          <w:fldData xml:space="preserve">PEVuZE5vdGU+PENpdGU+PEF1dGhvcj5LYWx1YXJhY2hjaGk8L0F1dGhvcj48WWVhcj4yMDE5PC9Z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PEVuZE5vdGU+PENpdGU+PEF1dGhvcj5LYWx1YXJhY2hjaGk8L0F1dGhvcj48WWVhcj4yMDE5PC9Z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fldChar w:fldCharType="end"/>
      </w:r>
      <w:r>
        <w:rPr>
          <w:rFonts w:ascii="Times New Roman" w:hAnsi="Times New Roman" w:cs="Times New Roman"/>
          <w:sz w:val="20"/>
          <w:szCs w:val="20"/>
        </w:rPr>
        <w:fldChar w:fldCharType="separate"/>
      </w:r>
      <w:r>
        <w:rPr>
          <w:rFonts w:ascii="Times New Roman" w:hAnsi="Times New Roman" w:cs="Times New Roman"/>
          <w:sz w:val="20"/>
          <w:szCs w:val="20"/>
          <w:vertAlign w:val="superscript"/>
        </w:rPr>
        <w:t>22</w:t>
      </w:r>
      <w:r>
        <w:rPr>
          <w:rFonts w:ascii="Times New Roman" w:hAnsi="Times New Roman" w:cs="Times New Roman"/>
          <w:sz w:val="20"/>
          <w:szCs w:val="20"/>
        </w:rPr>
        <w:fldChar w:fldCharType="end"/>
      </w:r>
      <w:r>
        <w:rPr>
          <w:rFonts w:ascii="Times New Roman" w:hAnsi="Times New Roman" w:cs="Times New Roman"/>
          <w:sz w:val="20"/>
          <w:szCs w:val="20"/>
        </w:rPr>
        <w:t xml:space="preserve"> The relative risk of CH in preterm birth (RR) is defined as the incidence of CH in the preterm neonates versus the incidence of CH in the full-term neonates. The relationship between preterm rate (R) and CH incidence (I) under different RR condition was plotted and the function is as follows:</w:t>
      </w:r>
    </w:p>
    <w:p>
      <w:pPr>
        <w:widowControl/>
        <w:rPr>
          <w:rFonts w:ascii="Times New Roman" w:hAnsi="Times New Roman" w:cs="Times New Roman"/>
          <w:kern w:val="0"/>
          <w:sz w:val="20"/>
          <w:szCs w:val="20"/>
        </w:rPr>
      </w:pPr>
      <m:oMathPara>
        <m:oMath>
          <m:r>
            <m:rPr>
              <m:sty m:val="p"/>
            </m:rPr>
            <w:rPr>
              <w:rFonts w:ascii="Cambria Math" w:hAnsi="Cambria Math" w:cs="Times New Roman"/>
              <w:kern w:val="0"/>
              <w:sz w:val="20"/>
              <w:szCs w:val="20"/>
            </w:rPr>
            <m:t>I=R∗P+(1−R)∗P/RR</m:t>
          </m:r>
        </m:oMath>
      </m:oMathPara>
    </w:p>
    <w:p>
      <w:pPr>
        <w:ind w:left="10" w:firstLine="414"/>
        <w:rPr>
          <w:rFonts w:ascii="Times New Roman" w:hAnsi="Times New Roman" w:cs="Times New Roman"/>
          <w:sz w:val="20"/>
          <w:szCs w:val="20"/>
        </w:rPr>
      </w:pPr>
      <w:r>
        <w:rPr>
          <w:rFonts w:ascii="Times New Roman" w:hAnsi="Times New Roman" w:cs="Times New Roman"/>
          <w:sz w:val="20"/>
          <w:szCs w:val="20"/>
        </w:rPr>
        <w:t>Where P is constant at 0.001</w:t>
      </w:r>
      <w:r>
        <w:rPr>
          <w:rFonts w:ascii="Times New Roman" w:hAnsi="Times New Roman" w:cs="Times New Roman"/>
          <w:sz w:val="20"/>
          <w:szCs w:val="20"/>
        </w:rPr>
        <w:fldChar w:fldCharType="begin"/>
      </w:r>
      <w:r>
        <w:rPr>
          <w:rFonts w:ascii="Times New Roman" w:hAnsi="Times New Roman" w:cs="Times New Roman"/>
          <w:sz w:val="20"/>
          <w:szCs w:val="20"/>
        </w:rPr>
        <w:fldChar w:fldCharType="separate"/>
      </w:r>
      <w:r>
        <w:rPr>
          <w:rFonts w:ascii="Times New Roman" w:hAnsi="Times New Roman" w:cs="Times New Roman"/>
          <w:sz w:val="20"/>
          <w:szCs w:val="20"/>
        </w:rPr>
        <w:t>{Kaluarachchi, 2019 #41}</w:t>
      </w:r>
      <w:r>
        <w:rPr>
          <w:rFonts w:ascii="Times New Roman" w:hAnsi="Times New Roman" w:cs="Times New Roman"/>
          <w:sz w:val="20"/>
          <w:szCs w:val="20"/>
        </w:rPr>
        <w:fldChar w:fldCharType="end"/>
      </w:r>
      <w:r>
        <w:rPr>
          <w:rFonts w:ascii="Times New Roman" w:hAnsi="Times New Roman" w:cs="Times New Roman"/>
          <w:sz w:val="20"/>
          <w:szCs w:val="20"/>
        </w:rPr>
        <w:t xml:space="preserve"> and RR are fixed at level of 1.5 and 2.0. Assuming preterm birth rate varied between 6% and 9%, the I changed from 6.86 per 10000 infants to 6.96 linearly when RR was given as 1.5, and the I changed from 5.30 per 10000 infants to 5.45 linearly when RR was given as 2.0(Figure S2). That is, 1% preterm birth increase was associated with 0.033, 0.05 per 10 000 increase in CH incidence among all of the screened neonates when RR was given as 1.5, 2.0</w:t>
      </w:r>
      <w:r>
        <w:rPr>
          <w:rFonts w:ascii="Times New Roman" w:hAnsi="Times New Roman" w:cs="Times New Roman"/>
          <w:color w:val="000000"/>
          <w:sz w:val="20"/>
          <w:szCs w:val="20"/>
        </w:rPr>
        <w:t>, respectively</w:t>
      </w:r>
    </w:p>
    <w:p>
      <w:pPr>
        <w:ind w:left="10" w:firstLine="414"/>
        <w:rPr>
          <w:rFonts w:ascii="Times New Roman" w:hAnsi="Times New Roman"/>
          <w:sz w:val="20"/>
          <w:szCs w:val="20"/>
        </w:rPr>
      </w:pPr>
      <w:r>
        <w:rPr>
          <w:sz w:val="20"/>
          <w:szCs w:val="20"/>
        </w:rPr>
        <w:drawing>
          <wp:inline distT="0" distB="0" distL="114300" distR="114300">
            <wp:extent cx="5273675" cy="3263900"/>
            <wp:effectExtent l="0" t="0" r="3175"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stretch>
                      <a:fillRect/>
                    </a:stretch>
                  </pic:blipFill>
                  <pic:spPr>
                    <a:xfrm>
                      <a:off x="0" y="0"/>
                      <a:ext cx="5273675" cy="3263900"/>
                    </a:xfrm>
                    <a:prstGeom prst="rect">
                      <a:avLst/>
                    </a:prstGeom>
                    <a:noFill/>
                    <a:ln>
                      <a:noFill/>
                    </a:ln>
                  </pic:spPr>
                </pic:pic>
              </a:graphicData>
            </a:graphic>
          </wp:inline>
        </w:drawing>
      </w:r>
    </w:p>
    <w:p>
      <w:pPr>
        <w:pStyle w:val="2"/>
        <w:spacing w:line="240" w:lineRule="exact"/>
        <w:jc w:val="center"/>
        <w:rPr>
          <w:rFonts w:ascii="Times New Roman" w:hAnsi="Times New Roman"/>
          <w:sz w:val="20"/>
          <w:szCs w:val="20"/>
        </w:rPr>
      </w:pPr>
      <w:bookmarkStart w:id="16" w:name="_Toc100940555"/>
      <w:bookmarkStart w:id="17" w:name="_Toc101884817"/>
      <w:bookmarkStart w:id="18" w:name="_Toc101885136"/>
      <w:bookmarkStart w:id="19" w:name="_Toc101885204"/>
      <w:r>
        <w:rPr>
          <w:rFonts w:hint="eastAsia" w:ascii="Times New Roman" w:hAnsi="Times New Roman"/>
          <w:sz w:val="20"/>
          <w:szCs w:val="20"/>
        </w:rPr>
        <w:t xml:space="preserve">Supplementary Figure </w:t>
      </w:r>
      <w:r>
        <w:rPr>
          <w:rFonts w:ascii="Times New Roman" w:hAnsi="Times New Roman"/>
          <w:sz w:val="20"/>
          <w:szCs w:val="20"/>
        </w:rPr>
        <w:t>S</w:t>
      </w:r>
      <w:r>
        <w:rPr>
          <w:rFonts w:hint="eastAsia" w:ascii="Times New Roman" w:hAnsi="Times New Roman"/>
          <w:sz w:val="20"/>
          <w:szCs w:val="20"/>
        </w:rPr>
        <w:t xml:space="preserve">2. </w:t>
      </w:r>
      <w:r>
        <w:rPr>
          <w:rFonts w:ascii="Times New Roman" w:hAnsi="Times New Roman"/>
          <w:sz w:val="20"/>
          <w:szCs w:val="20"/>
        </w:rPr>
        <w:t>Sensitivity analysis of preterm birth rate</w:t>
      </w:r>
      <w:r>
        <w:rPr>
          <w:rFonts w:hint="eastAsia" w:ascii="Times New Roman" w:hAnsi="Times New Roman"/>
          <w:sz w:val="20"/>
          <w:szCs w:val="20"/>
        </w:rPr>
        <w:t xml:space="preserve"> and</w:t>
      </w:r>
      <w:r>
        <w:rPr>
          <w:rFonts w:ascii="Times New Roman" w:hAnsi="Times New Roman"/>
          <w:sz w:val="20"/>
          <w:szCs w:val="20"/>
        </w:rPr>
        <w:t xml:space="preserve"> CH incidence</w:t>
      </w:r>
      <w:bookmarkEnd w:id="16"/>
      <w:bookmarkEnd w:id="17"/>
      <w:bookmarkEnd w:id="18"/>
      <w:bookmarkEnd w:id="19"/>
    </w:p>
    <w:p>
      <w:pPr>
        <w:ind w:firstLine="420"/>
        <w:rPr>
          <w:rFonts w:ascii="Times New Roman" w:hAnsi="Times New Roman"/>
          <w:sz w:val="20"/>
          <w:szCs w:val="20"/>
        </w:rPr>
      </w:pPr>
      <w:r>
        <w:rPr>
          <w:rFonts w:ascii="Times New Roman" w:hAnsi="Times New Roman"/>
          <w:sz w:val="20"/>
          <w:szCs w:val="20"/>
        </w:rPr>
        <w:t>Refer to the preterm birth rate</w:t>
      </w:r>
      <w:r>
        <w:rPr>
          <w:rFonts w:hint="eastAsia" w:ascii="Times New Roman" w:hAnsi="Times New Roman"/>
          <w:sz w:val="20"/>
          <w:szCs w:val="20"/>
        </w:rPr>
        <w:t xml:space="preserve"> and its</w:t>
      </w:r>
      <w:r>
        <w:rPr>
          <w:rFonts w:ascii="Times New Roman" w:hAnsi="Times New Roman"/>
          <w:sz w:val="20"/>
          <w:szCs w:val="20"/>
        </w:rPr>
        <w:t xml:space="preserve"> annual rate </w:t>
      </w:r>
      <w:r>
        <w:rPr>
          <w:rFonts w:hint="eastAsia" w:ascii="Times New Roman" w:hAnsi="Times New Roman"/>
          <w:sz w:val="20"/>
          <w:szCs w:val="20"/>
        </w:rPr>
        <w:t xml:space="preserve">of increase </w:t>
      </w:r>
      <w:r>
        <w:rPr>
          <w:rFonts w:ascii="Times New Roman" w:hAnsi="Times New Roman"/>
          <w:sz w:val="20"/>
          <w:szCs w:val="20"/>
        </w:rPr>
        <w:t>derived from an observational study of more than 9 million women</w:t>
      </w:r>
      <w:r>
        <w:rPr>
          <w:rFonts w:hint="eastAsia" w:ascii="Times New Roman" w:hAnsi="Times New Roman"/>
          <w:sz w:val="20"/>
          <w:szCs w:val="20"/>
        </w:rPr>
        <w:t xml:space="preserve"> </w:t>
      </w:r>
      <w:r>
        <w:rPr>
          <w:rFonts w:ascii="Times New Roman" w:hAnsi="Times New Roman"/>
          <w:sz w:val="20"/>
          <w:szCs w:val="20"/>
        </w:rPr>
        <w:t>in China</w:t>
      </w:r>
      <w:r>
        <w:rPr>
          <w:rFonts w:hint="eastAsia" w:ascii="Times New Roman" w:hAnsi="Times New Roman"/>
          <w:sz w:val="20"/>
          <w:szCs w:val="20"/>
        </w:rPr>
        <w:t xml:space="preserve"> during 2012 to 2018</w:t>
      </w:r>
      <w:r>
        <w:rPr>
          <w:rFonts w:ascii="Times New Roman" w:hAnsi="Times New Roman"/>
          <w:sz w:val="20"/>
          <w:szCs w:val="20"/>
        </w:rPr>
        <w:t>,</w:t>
      </w:r>
      <w:r>
        <w:rPr>
          <w:rFonts w:ascii="Times New Roman" w:hAnsi="Times New Roman"/>
          <w:sz w:val="20"/>
          <w:szCs w:val="20"/>
        </w:rPr>
        <w:fldChar w:fldCharType="begin"/>
      </w:r>
      <w:r>
        <w:rPr>
          <w:rFonts w:ascii="Times New Roman" w:hAnsi="Times New Roman"/>
          <w:sz w:val="20"/>
          <w:szCs w:val="20"/>
        </w:rPr>
        <w:instrText xml:space="preserve"> ADDIN EN.CITE &lt;EndNote&gt;&lt;Cite&gt;&lt;Author&gt;Kui Deng&lt;/Author&gt;&lt;Year&gt;2021&lt;/Year&gt;&lt;RecNum&gt;84&lt;/RecNum&gt;&lt;DisplayText&gt;&lt;style face="superscript"&gt;23&lt;/style&gt;&lt;/DisplayText&gt;&lt;record&gt;&lt;rec-number&gt;84&lt;/rec-number&gt;&lt;foreign-keys&gt;&lt;key app="EN" db-id="5aaxvrf0hxt091ezxppx9stl0frfaws52rxf" timestamp="1649384169"&gt;84&lt;/key&gt;&lt;/foreign-keys&gt;&lt;ref-type name="Journal Article"&gt;17&lt;/ref-type&gt;&lt;contributors&gt;&lt;authors&gt;&lt;author&gt;Kui Deng, Juan Liang, Yi Mu&lt;/author&gt;&lt;/authors&gt;&lt;/contributors&gt;&lt;titles&gt;&lt;title&gt;Preterm births in China between 2012 and 2018: an observational study of more than 9 million women&lt;/title&gt;&lt;secondary-title&gt;Lancet Global Health&lt;/secondary-title&gt;&lt;/titles&gt;&lt;periodical&gt;&lt;full-title&gt;Lancet Global Health&lt;/full-title&gt;&lt;/periodical&gt;&lt;volume&gt;9&lt;/volume&gt;&lt;dates&gt;&lt;year&gt;2021&lt;/year&gt;&lt;/dates&gt;&lt;urls&gt;&lt;/urls&gt;&lt;/record&gt;&lt;/Cite&gt;&lt;/EndNote&gt;</w:instrText>
      </w:r>
      <w:r>
        <w:rPr>
          <w:rFonts w:ascii="Times New Roman" w:hAnsi="Times New Roman"/>
          <w:sz w:val="20"/>
          <w:szCs w:val="20"/>
        </w:rPr>
        <w:fldChar w:fldCharType="separate"/>
      </w:r>
      <w:r>
        <w:rPr>
          <w:rFonts w:ascii="Times New Roman" w:hAnsi="Times New Roman"/>
          <w:sz w:val="20"/>
          <w:szCs w:val="20"/>
          <w:vertAlign w:val="superscript"/>
        </w:rPr>
        <w:t>23</w:t>
      </w:r>
      <w:r>
        <w:rPr>
          <w:rFonts w:ascii="Times New Roman" w:hAnsi="Times New Roman"/>
          <w:sz w:val="20"/>
          <w:szCs w:val="20"/>
        </w:rPr>
        <w:fldChar w:fldCharType="end"/>
      </w:r>
      <w:r>
        <w:rPr>
          <w:rFonts w:ascii="Times New Roman" w:hAnsi="Times New Roman"/>
          <w:sz w:val="20"/>
          <w:szCs w:val="20"/>
        </w:rPr>
        <w:t xml:space="preserve"> the increase in CH incidence</w:t>
      </w:r>
      <w:r>
        <w:rPr>
          <w:rFonts w:hint="eastAsia" w:ascii="Times New Roman" w:hAnsi="Times New Roman"/>
          <w:sz w:val="20"/>
          <w:szCs w:val="20"/>
        </w:rPr>
        <w:t>s</w:t>
      </w:r>
      <w:r>
        <w:rPr>
          <w:rFonts w:ascii="Times New Roman" w:hAnsi="Times New Roman"/>
          <w:sz w:val="20"/>
          <w:szCs w:val="20"/>
        </w:rPr>
        <w:t xml:space="preserve"> explained by preterm </w:t>
      </w:r>
      <w:r>
        <w:rPr>
          <w:rFonts w:hint="eastAsia" w:ascii="Times New Roman" w:hAnsi="Times New Roman"/>
          <w:sz w:val="20"/>
          <w:szCs w:val="20"/>
        </w:rPr>
        <w:t xml:space="preserve">rate rising </w:t>
      </w:r>
      <w:r>
        <w:rPr>
          <w:rFonts w:ascii="Times New Roman" w:hAnsi="Times New Roman"/>
          <w:sz w:val="20"/>
          <w:szCs w:val="20"/>
        </w:rPr>
        <w:t>was 0.0</w:t>
      </w:r>
      <w:r>
        <w:rPr>
          <w:rFonts w:hint="eastAsia" w:ascii="Times New Roman" w:hAnsi="Times New Roman"/>
          <w:sz w:val="20"/>
          <w:szCs w:val="20"/>
        </w:rPr>
        <w:t>2</w:t>
      </w:r>
      <w:r>
        <w:rPr>
          <w:rFonts w:ascii="Times New Roman" w:hAnsi="Times New Roman"/>
          <w:sz w:val="20"/>
          <w:szCs w:val="20"/>
        </w:rPr>
        <w:t xml:space="preserve"> per 10000 infants or 0.0</w:t>
      </w:r>
      <w:r>
        <w:rPr>
          <w:rFonts w:hint="eastAsia" w:ascii="Times New Roman" w:hAnsi="Times New Roman"/>
          <w:sz w:val="20"/>
          <w:szCs w:val="20"/>
        </w:rPr>
        <w:t>3</w:t>
      </w:r>
      <w:r>
        <w:rPr>
          <w:rFonts w:ascii="Times New Roman" w:hAnsi="Times New Roman"/>
          <w:sz w:val="20"/>
          <w:szCs w:val="20"/>
        </w:rPr>
        <w:t xml:space="preserve"> per 10000 infants</w:t>
      </w:r>
      <w:r>
        <w:rPr>
          <w:rFonts w:hint="eastAsia" w:ascii="Times New Roman" w:hAnsi="Times New Roman"/>
          <w:sz w:val="20"/>
          <w:szCs w:val="20"/>
        </w:rPr>
        <w:t xml:space="preserve"> </w:t>
      </w:r>
      <w:r>
        <w:rPr>
          <w:rFonts w:ascii="Times New Roman" w:hAnsi="Times New Roman"/>
          <w:sz w:val="20"/>
          <w:szCs w:val="20"/>
        </w:rPr>
        <w:t>when RR was given as 1.5, 2.0</w:t>
      </w:r>
      <w:r>
        <w:rPr>
          <w:rFonts w:hint="eastAsia" w:ascii="Times New Roman" w:hAnsi="Times New Roman"/>
          <w:color w:val="000000"/>
          <w:sz w:val="20"/>
          <w:szCs w:val="20"/>
        </w:rPr>
        <w:t xml:space="preserve">, respectively on the premise of consistent </w:t>
      </w:r>
      <w:r>
        <w:rPr>
          <w:rFonts w:ascii="Times New Roman" w:hAnsi="Times New Roman"/>
          <w:color w:val="000000"/>
          <w:sz w:val="20"/>
          <w:szCs w:val="20"/>
          <w:shd w:val="clear" w:color="auto" w:fill="FFFFFF"/>
        </w:rPr>
        <w:t xml:space="preserve">screening algorithm for preterm </w:t>
      </w:r>
      <w:r>
        <w:rPr>
          <w:rFonts w:hint="eastAsia" w:ascii="Times New Roman" w:hAnsi="Times New Roman"/>
          <w:color w:val="000000"/>
          <w:sz w:val="20"/>
          <w:szCs w:val="20"/>
          <w:shd w:val="clear" w:color="auto" w:fill="FFFFFF"/>
        </w:rPr>
        <w:t xml:space="preserve">and non-preterm </w:t>
      </w:r>
      <w:r>
        <w:rPr>
          <w:rFonts w:ascii="Times New Roman" w:hAnsi="Times New Roman"/>
          <w:color w:val="000000"/>
          <w:sz w:val="20"/>
          <w:szCs w:val="20"/>
          <w:shd w:val="clear" w:color="auto" w:fill="FFFFFF"/>
        </w:rPr>
        <w:t>newborns</w:t>
      </w:r>
      <w:r>
        <w:rPr>
          <w:rFonts w:ascii="Times New Roman" w:hAnsi="Times New Roman"/>
          <w:sz w:val="20"/>
          <w:szCs w:val="20"/>
        </w:rPr>
        <w:t xml:space="preserve">. Thus, </w:t>
      </w:r>
      <w:bookmarkStart w:id="20" w:name="OLE_LINK18"/>
      <w:r>
        <w:rPr>
          <w:rFonts w:ascii="Times New Roman" w:hAnsi="Times New Roman"/>
          <w:sz w:val="20"/>
          <w:szCs w:val="20"/>
        </w:rPr>
        <w:t>detection of congenital hypothyroidism in preterm infants could been recognized as a tiny contributor to this increased incidence of congenital hypothyroidism</w:t>
      </w:r>
      <w:bookmarkEnd w:id="20"/>
      <w:r>
        <w:rPr>
          <w:rFonts w:ascii="Times New Roman" w:hAnsi="Times New Roman"/>
          <w:sz w:val="20"/>
          <w:szCs w:val="20"/>
        </w:rPr>
        <w:t>.</w:t>
      </w:r>
    </w:p>
    <w:p>
      <w:pPr>
        <w:ind w:firstLine="420"/>
        <w:rPr>
          <w:rFonts w:ascii="Times New Roman" w:hAnsi="Times New Roman"/>
          <w:sz w:val="20"/>
          <w:szCs w:val="20"/>
        </w:rPr>
      </w:pPr>
      <w:r>
        <w:rPr>
          <w:rFonts w:ascii="Times New Roman" w:hAnsi="Times New Roman"/>
          <w:sz w:val="20"/>
          <w:szCs w:val="20"/>
        </w:rPr>
        <w:t>Cautiously, taking into account the continuous improvement of screening referral process and screening method in the preterm (like repeat sampling or postpone the sampling time to avoid the occurrence of delayed TSH rise), the increases of CH incidence caused by preterm neonates may be underestimated.</w:t>
      </w:r>
    </w:p>
    <w:p>
      <w:pPr>
        <w:widowControl/>
        <w:jc w:val="left"/>
        <w:rPr>
          <w:rFonts w:ascii="Times New Roman" w:hAnsi="Times New Roman"/>
          <w:sz w:val="20"/>
          <w:szCs w:val="20"/>
        </w:rPr>
      </w:pPr>
    </w:p>
    <w:p>
      <w:pPr>
        <w:pStyle w:val="2"/>
        <w:spacing w:before="0" w:after="0" w:line="240" w:lineRule="auto"/>
        <w:jc w:val="left"/>
        <w:rPr>
          <w:rFonts w:ascii="Times New Roman" w:hAnsi="Times New Roman"/>
          <w:sz w:val="20"/>
          <w:szCs w:val="20"/>
        </w:rPr>
      </w:pPr>
      <w:bookmarkStart w:id="21" w:name="_Toc101885205"/>
      <w:bookmarkStart w:id="22" w:name="_Toc101885137"/>
      <w:bookmarkStart w:id="23" w:name="_Toc100940556"/>
      <w:r>
        <w:rPr>
          <w:rFonts w:hint="eastAsia" w:ascii="Times New Roman" w:hAnsi="Times New Roman"/>
          <w:sz w:val="20"/>
          <w:szCs w:val="20"/>
        </w:rPr>
        <w:t xml:space="preserve">Supplementary </w:t>
      </w:r>
      <w:r>
        <w:rPr>
          <w:rFonts w:ascii="Times New Roman" w:hAnsi="Times New Roman"/>
          <w:sz w:val="20"/>
          <w:szCs w:val="20"/>
        </w:rPr>
        <w:t>Reference</w:t>
      </w:r>
      <w:bookmarkEnd w:id="21"/>
      <w:bookmarkEnd w:id="22"/>
      <w:bookmarkEnd w:id="23"/>
      <w:r>
        <w:rPr>
          <w:rFonts w:ascii="Times New Roman" w:hAnsi="Times New Roman"/>
          <w:sz w:val="20"/>
          <w:szCs w:val="20"/>
        </w:rPr>
        <w:fldChar w:fldCharType="begin"/>
      </w:r>
      <w:r>
        <w:rPr>
          <w:rFonts w:ascii="Times New Roman" w:hAnsi="Times New Roman"/>
          <w:sz w:val="20"/>
          <w:szCs w:val="20"/>
        </w:rPr>
        <w:instrText xml:space="preserve"> ADDIN EN.REFLIST </w:instrText>
      </w:r>
      <w:r>
        <w:rPr>
          <w:rFonts w:ascii="Times New Roman" w:hAnsi="Times New Roman"/>
          <w:sz w:val="20"/>
          <w:szCs w:val="20"/>
        </w:rPr>
        <w:fldChar w:fldCharType="separate"/>
      </w:r>
    </w:p>
    <w:p>
      <w:pPr>
        <w:pStyle w:val="12"/>
        <w:ind w:left="720" w:hanging="720"/>
        <w:rPr>
          <w:sz w:val="20"/>
          <w:szCs w:val="20"/>
        </w:rPr>
      </w:pPr>
      <w:r>
        <w:rPr>
          <w:sz w:val="20"/>
          <w:szCs w:val="20"/>
        </w:rPr>
        <w:t>22.</w:t>
      </w:r>
      <w:r>
        <w:rPr>
          <w:rFonts w:hint="eastAsia"/>
          <w:sz w:val="20"/>
          <w:szCs w:val="20"/>
        </w:rPr>
        <w:tab/>
      </w:r>
      <w:r>
        <w:rPr>
          <w:sz w:val="20"/>
          <w:szCs w:val="20"/>
        </w:rPr>
        <w:t>Kaluarachchi DC, Allen DB, Eickhoff JC, Dawe SJ, Baker MW. Increased Congenital Hypothyroidism Detection in Preterm Infants with Serial Newborn Screening. J Pediatr. 2019;207:220-5.</w:t>
      </w:r>
    </w:p>
    <w:p>
      <w:pPr>
        <w:pStyle w:val="12"/>
        <w:ind w:left="720" w:hanging="720"/>
        <w:rPr>
          <w:sz w:val="20"/>
          <w:szCs w:val="20"/>
        </w:rPr>
      </w:pPr>
      <w:r>
        <w:rPr>
          <w:sz w:val="20"/>
          <w:szCs w:val="20"/>
        </w:rPr>
        <w:t>23.</w:t>
      </w:r>
      <w:r>
        <w:rPr>
          <w:sz w:val="20"/>
          <w:szCs w:val="20"/>
        </w:rPr>
        <w:tab/>
      </w:r>
      <w:r>
        <w:rPr>
          <w:sz w:val="20"/>
          <w:szCs w:val="20"/>
        </w:rPr>
        <w:t>Kui Deng JL, Yi Mu. Preterm births in China between 2012 and 2018: an observational study of more than 9 million women. Lancet Global Health. 2021;9.</w:t>
      </w:r>
    </w:p>
    <w:p>
      <w:pPr>
        <w:pStyle w:val="12"/>
        <w:rPr>
          <w:rFonts w:ascii="Times New Roman" w:hAnsi="Times New Roman"/>
          <w:sz w:val="20"/>
          <w:szCs w:val="20"/>
        </w:rPr>
      </w:pPr>
      <w:r>
        <w:rPr>
          <w:sz w:val="20"/>
          <w:szCs w:val="20"/>
        </w:rPr>
        <w:fldChar w:fldCharType="end"/>
      </w:r>
    </w:p>
    <w:p>
      <w:pPr>
        <w:rPr>
          <w:rFonts w:ascii="Times New Roman" w:hAnsi="Times New Roman"/>
          <w:sz w:val="20"/>
          <w:szCs w:val="20"/>
        </w:rPr>
      </w:pPr>
      <w:bookmarkStart w:id="24" w:name="_Toc101885139"/>
      <w:bookmarkStart w:id="25" w:name="_Toc101884819"/>
      <w:bookmarkStart w:id="26" w:name="_Toc100940558"/>
      <w:bookmarkStart w:id="27" w:name="_Toc101885207"/>
      <w:r>
        <w:rPr>
          <w:rFonts w:hint="eastAsia" w:ascii="Times New Roman" w:hAnsi="Times New Roman"/>
          <w:sz w:val="20"/>
          <w:szCs w:val="20"/>
        </w:rPr>
        <w:br w:type="page"/>
      </w:r>
    </w:p>
    <w:p>
      <w:pPr>
        <w:pStyle w:val="2"/>
        <w:spacing w:line="240" w:lineRule="exact"/>
        <w:rPr>
          <w:rFonts w:hint="default"/>
        </w:rPr>
      </w:pPr>
      <w:r>
        <w:rPr>
          <w:rFonts w:hint="eastAsia" w:ascii="Times New Roman" w:hAnsi="Times New Roman"/>
          <w:sz w:val="20"/>
          <w:szCs w:val="20"/>
        </w:rPr>
        <w:t>Supplementary</w:t>
      </w:r>
      <w:r>
        <w:rPr>
          <w:rFonts w:hint="default" w:ascii="Times New Roman" w:hAnsi="Times New Roman"/>
          <w:sz w:val="20"/>
          <w:szCs w:val="20"/>
        </w:rPr>
        <w:t xml:space="preserve"> Figure</w:t>
      </w:r>
      <w:r>
        <w:rPr>
          <w:rFonts w:hint="eastAsia" w:ascii="Times New Roman" w:hAnsi="Times New Roman"/>
          <w:sz w:val="20"/>
          <w:szCs w:val="20"/>
        </w:rPr>
        <w:t xml:space="preserve"> S</w:t>
      </w:r>
      <w:r>
        <w:rPr>
          <w:rFonts w:hint="default" w:ascii="Times New Roman" w:hAnsi="Times New Roman"/>
          <w:sz w:val="20"/>
          <w:szCs w:val="20"/>
        </w:rPr>
        <w:t>3</w:t>
      </w:r>
      <w:r>
        <w:rPr>
          <w:rFonts w:hint="eastAsia" w:ascii="Times New Roman" w:hAnsi="Times New Roman"/>
          <w:sz w:val="20"/>
          <w:szCs w:val="20"/>
        </w:rPr>
        <w:t>.</w:t>
      </w:r>
      <w:r>
        <w:rPr>
          <w:rFonts w:hint="default" w:ascii="Times New Roman" w:hAnsi="Times New Roman"/>
          <w:sz w:val="20"/>
          <w:szCs w:val="20"/>
        </w:rPr>
        <w:t xml:space="preserve">  </w:t>
      </w:r>
      <w:r>
        <w:rPr>
          <w:rFonts w:hint="eastAsia" w:ascii="Times New Roman" w:hAnsi="Times New Roman"/>
          <w:sz w:val="20"/>
          <w:szCs w:val="20"/>
        </w:rPr>
        <w:t>Forest plot of the proportion of congenital hypothyroidism subtype</w:t>
      </w:r>
    </w:p>
    <w:p>
      <w:pPr>
        <w:rPr>
          <w:rFonts w:hint="default"/>
        </w:rPr>
      </w:pPr>
      <w:r>
        <w:rPr>
          <w:rFonts w:hint="default"/>
        </w:rPr>
        <w:drawing>
          <wp:inline distT="0" distB="0" distL="114300" distR="114300">
            <wp:extent cx="5268595" cy="4968875"/>
            <wp:effectExtent l="0" t="0" r="14605" b="9525"/>
            <wp:docPr id="3" name="图片 3" descr="Figur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5"/>
                    <pic:cNvPicPr>
                      <a:picLocks noChangeAspect="1"/>
                    </pic:cNvPicPr>
                  </pic:nvPicPr>
                  <pic:blipFill>
                    <a:blip r:embed="rId7"/>
                    <a:stretch>
                      <a:fillRect/>
                    </a:stretch>
                  </pic:blipFill>
                  <pic:spPr>
                    <a:xfrm>
                      <a:off x="0" y="0"/>
                      <a:ext cx="5268595" cy="4968875"/>
                    </a:xfrm>
                    <a:prstGeom prst="rect">
                      <a:avLst/>
                    </a:prstGeom>
                  </pic:spPr>
                </pic:pic>
              </a:graphicData>
            </a:graphic>
          </wp:inline>
        </w:drawing>
      </w:r>
    </w:p>
    <w:p>
      <w:pPr>
        <w:pStyle w:val="2"/>
        <w:spacing w:line="240" w:lineRule="exact"/>
        <w:rPr>
          <w:rFonts w:hint="eastAsia" w:ascii="Times New Roman" w:hAnsi="Times New Roman"/>
          <w:sz w:val="20"/>
          <w:szCs w:val="20"/>
        </w:rPr>
      </w:pPr>
      <w:r>
        <w:rPr>
          <w:rFonts w:hint="eastAsia" w:ascii="Times New Roman" w:hAnsi="Times New Roman"/>
          <w:sz w:val="20"/>
          <w:szCs w:val="20"/>
        </w:rPr>
        <w:t>Supplementary</w:t>
      </w:r>
      <w:r>
        <w:rPr>
          <w:rFonts w:hint="default" w:ascii="Times New Roman" w:hAnsi="Times New Roman"/>
          <w:sz w:val="20"/>
          <w:szCs w:val="20"/>
        </w:rPr>
        <w:t xml:space="preserve"> Figure</w:t>
      </w:r>
      <w:r>
        <w:rPr>
          <w:rFonts w:hint="eastAsia" w:ascii="Times New Roman" w:hAnsi="Times New Roman"/>
          <w:sz w:val="20"/>
          <w:szCs w:val="20"/>
        </w:rPr>
        <w:t xml:space="preserve"> S</w:t>
      </w:r>
      <w:r>
        <w:rPr>
          <w:rFonts w:hint="default" w:ascii="Times New Roman" w:hAnsi="Times New Roman"/>
          <w:sz w:val="20"/>
          <w:szCs w:val="20"/>
        </w:rPr>
        <w:t>4</w:t>
      </w:r>
      <w:r>
        <w:rPr>
          <w:rFonts w:hint="eastAsia" w:ascii="Times New Roman" w:hAnsi="Times New Roman"/>
          <w:sz w:val="20"/>
          <w:szCs w:val="20"/>
        </w:rPr>
        <w:t>.</w:t>
      </w:r>
      <w:r>
        <w:rPr>
          <w:rFonts w:hint="default" w:ascii="Times New Roman" w:hAnsi="Times New Roman"/>
          <w:sz w:val="20"/>
          <w:szCs w:val="20"/>
        </w:rPr>
        <w:t xml:space="preserve">  </w:t>
      </w:r>
      <w:r>
        <w:rPr>
          <w:rFonts w:hint="eastAsia" w:ascii="Times New Roman" w:hAnsi="Times New Roman"/>
          <w:sz w:val="20"/>
          <w:szCs w:val="20"/>
        </w:rPr>
        <w:t>The temporal trend of proportion in screening volumes with different cutoff values between 2012 and 2019</w:t>
      </w:r>
    </w:p>
    <w:p>
      <w:pPr>
        <w:rPr>
          <w:rFonts w:hint="default"/>
        </w:rPr>
      </w:pPr>
    </w:p>
    <w:p>
      <w:pPr>
        <w:rPr>
          <w:rFonts w:hint="default"/>
        </w:rPr>
      </w:pPr>
      <w:r>
        <w:rPr>
          <w:rFonts w:hint="default"/>
        </w:rPr>
        <w:drawing>
          <wp:inline distT="0" distB="0" distL="114300" distR="114300">
            <wp:extent cx="5269865" cy="4214495"/>
            <wp:effectExtent l="0" t="0" r="13335" b="1905"/>
            <wp:docPr id="6" name="图片 6" descr="Figur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6"/>
                    <pic:cNvPicPr>
                      <a:picLocks noChangeAspect="1"/>
                    </pic:cNvPicPr>
                  </pic:nvPicPr>
                  <pic:blipFill>
                    <a:blip r:embed="rId8"/>
                    <a:stretch>
                      <a:fillRect/>
                    </a:stretch>
                  </pic:blipFill>
                  <pic:spPr>
                    <a:xfrm>
                      <a:off x="0" y="0"/>
                      <a:ext cx="5269865" cy="4214495"/>
                    </a:xfrm>
                    <a:prstGeom prst="rect">
                      <a:avLst/>
                    </a:prstGeom>
                  </pic:spPr>
                </pic:pic>
              </a:graphicData>
            </a:graphic>
          </wp:inline>
        </w:drawing>
      </w:r>
    </w:p>
    <w:p>
      <w:pPr>
        <w:pStyle w:val="2"/>
        <w:spacing w:line="240" w:lineRule="exact"/>
        <w:rPr>
          <w:rFonts w:hint="default" w:ascii="Times New Roman" w:hAnsi="Times New Roman"/>
          <w:sz w:val="20"/>
          <w:szCs w:val="20"/>
        </w:rPr>
      </w:pPr>
      <w:r>
        <w:rPr>
          <w:rFonts w:hint="eastAsia" w:ascii="Times New Roman" w:hAnsi="Times New Roman"/>
          <w:sz w:val="20"/>
          <w:szCs w:val="20"/>
        </w:rPr>
        <w:t>Supplementary</w:t>
      </w:r>
      <w:r>
        <w:rPr>
          <w:rFonts w:hint="default" w:ascii="Times New Roman" w:hAnsi="Times New Roman"/>
          <w:sz w:val="20"/>
          <w:szCs w:val="20"/>
        </w:rPr>
        <w:t xml:space="preserve"> Figure</w:t>
      </w:r>
      <w:r>
        <w:rPr>
          <w:rFonts w:hint="eastAsia" w:ascii="Times New Roman" w:hAnsi="Times New Roman"/>
          <w:sz w:val="20"/>
          <w:szCs w:val="20"/>
        </w:rPr>
        <w:t xml:space="preserve"> S</w:t>
      </w:r>
      <w:r>
        <w:rPr>
          <w:rFonts w:hint="default" w:ascii="Times New Roman" w:hAnsi="Times New Roman"/>
          <w:sz w:val="20"/>
          <w:szCs w:val="20"/>
        </w:rPr>
        <w:t>5</w:t>
      </w:r>
      <w:r>
        <w:rPr>
          <w:rFonts w:hint="eastAsia" w:ascii="Times New Roman" w:hAnsi="Times New Roman"/>
          <w:sz w:val="20"/>
          <w:szCs w:val="20"/>
        </w:rPr>
        <w:t>.</w:t>
      </w:r>
      <w:r>
        <w:rPr>
          <w:rFonts w:hint="default" w:ascii="Times New Roman" w:hAnsi="Times New Roman"/>
          <w:sz w:val="20"/>
          <w:szCs w:val="20"/>
        </w:rPr>
        <w:t xml:space="preserve"> </w:t>
      </w:r>
      <w:r>
        <w:rPr>
          <w:rFonts w:hint="eastAsia" w:ascii="Times New Roman" w:hAnsi="Times New Roman"/>
          <w:sz w:val="20"/>
          <w:szCs w:val="20"/>
        </w:rPr>
        <w:t xml:space="preserve"> Scatter plot with </w:t>
      </w:r>
      <w:r>
        <w:rPr>
          <w:rFonts w:hint="default" w:ascii="Times New Roman" w:hAnsi="Times New Roman"/>
          <w:sz w:val="20"/>
          <w:szCs w:val="20"/>
        </w:rPr>
        <w:t>robust</w:t>
      </w:r>
      <w:r>
        <w:rPr>
          <w:rFonts w:hint="eastAsia" w:ascii="Times New Roman" w:hAnsi="Times New Roman"/>
          <w:sz w:val="20"/>
          <w:szCs w:val="20"/>
        </w:rPr>
        <w:t xml:space="preserve"> linear regression line of the annual growth rate</w:t>
      </w:r>
      <w:r>
        <w:rPr>
          <w:rFonts w:hint="default" w:ascii="Times New Roman" w:hAnsi="Times New Roman"/>
          <w:sz w:val="20"/>
          <w:szCs w:val="20"/>
        </w:rPr>
        <w:t xml:space="preserve"> of incidence</w:t>
      </w:r>
    </w:p>
    <w:p>
      <w:pPr>
        <w:rPr>
          <w:rFonts w:hint="default"/>
        </w:rPr>
      </w:pPr>
      <w:r>
        <w:rPr>
          <w:rFonts w:hint="default"/>
        </w:rPr>
        <w:drawing>
          <wp:inline distT="0" distB="0" distL="114300" distR="114300">
            <wp:extent cx="5237480" cy="2182495"/>
            <wp:effectExtent l="0" t="0" r="20320" b="1905"/>
            <wp:docPr id="12" name="图片 12" descr="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
                    <pic:cNvPicPr>
                      <a:picLocks noChangeAspect="1"/>
                    </pic:cNvPicPr>
                  </pic:nvPicPr>
                  <pic:blipFill>
                    <a:blip r:embed="rId9"/>
                    <a:stretch>
                      <a:fillRect/>
                    </a:stretch>
                  </pic:blipFill>
                  <pic:spPr>
                    <a:xfrm>
                      <a:off x="0" y="0"/>
                      <a:ext cx="5237480" cy="2182495"/>
                    </a:xfrm>
                    <a:prstGeom prst="rect">
                      <a:avLst/>
                    </a:prstGeom>
                  </pic:spPr>
                </pic:pic>
              </a:graphicData>
            </a:graphic>
          </wp:inline>
        </w:drawing>
      </w:r>
    </w:p>
    <w:p>
      <w:pPr>
        <w:rPr>
          <w:rFonts w:hint="default"/>
        </w:rPr>
      </w:pPr>
    </w:p>
    <w:p>
      <w:pPr>
        <w:rPr>
          <w:rFonts w:hint="default"/>
        </w:rPr>
      </w:pPr>
    </w:p>
    <w:p>
      <w:pPr>
        <w:pStyle w:val="2"/>
        <w:spacing w:line="240" w:lineRule="exact"/>
        <w:rPr>
          <w:rFonts w:hint="eastAsia" w:ascii="Times New Roman" w:hAnsi="Times New Roman"/>
          <w:sz w:val="20"/>
          <w:szCs w:val="20"/>
        </w:rPr>
      </w:pPr>
    </w:p>
    <w:p>
      <w:pPr>
        <w:pStyle w:val="2"/>
        <w:spacing w:line="240" w:lineRule="exact"/>
        <w:rPr>
          <w:rFonts w:ascii="Times New Roman" w:hAnsi="Times New Roman"/>
          <w:sz w:val="20"/>
          <w:szCs w:val="20"/>
        </w:rPr>
      </w:pPr>
      <w:r>
        <w:rPr>
          <w:rFonts w:hint="eastAsia" w:ascii="Times New Roman" w:hAnsi="Times New Roman"/>
          <w:sz w:val="20"/>
          <w:szCs w:val="20"/>
        </w:rPr>
        <w:t xml:space="preserve">Supplementary </w:t>
      </w:r>
      <w:r>
        <w:rPr>
          <w:rFonts w:ascii="Times New Roman" w:hAnsi="Times New Roman"/>
          <w:sz w:val="20"/>
          <w:szCs w:val="20"/>
        </w:rPr>
        <w:t>Table S1</w:t>
      </w:r>
      <w:r>
        <w:rPr>
          <w:rFonts w:hint="eastAsia" w:ascii="Times New Roman" w:hAnsi="Times New Roman"/>
          <w:sz w:val="20"/>
          <w:szCs w:val="20"/>
        </w:rPr>
        <w:t>.</w:t>
      </w:r>
      <w:r>
        <w:rPr>
          <w:rFonts w:ascii="Times New Roman" w:hAnsi="Times New Roman"/>
          <w:sz w:val="20"/>
          <w:szCs w:val="20"/>
        </w:rPr>
        <w:t xml:space="preserve">  Numbers of newborn screening centers and screening coverage in the study period</w:t>
      </w:r>
      <w:bookmarkEnd w:id="24"/>
      <w:bookmarkEnd w:id="25"/>
      <w:bookmarkEnd w:id="26"/>
      <w:bookmarkEnd w:id="27"/>
    </w:p>
    <w:tbl>
      <w:tblPr>
        <w:tblStyle w:val="9"/>
        <w:tblW w:w="4998" w:type="pct"/>
        <w:jc w:val="center"/>
        <w:tblLayout w:type="autofit"/>
        <w:tblCellMar>
          <w:top w:w="0" w:type="dxa"/>
          <w:left w:w="108" w:type="dxa"/>
          <w:bottom w:w="0" w:type="dxa"/>
          <w:right w:w="108" w:type="dxa"/>
        </w:tblCellMar>
      </w:tblPr>
      <w:tblGrid>
        <w:gridCol w:w="1220"/>
        <w:gridCol w:w="1222"/>
        <w:gridCol w:w="1517"/>
        <w:gridCol w:w="1517"/>
        <w:gridCol w:w="1517"/>
        <w:gridCol w:w="1526"/>
      </w:tblGrid>
      <w:tr>
        <w:trPr>
          <w:trHeight w:val="475" w:hRule="atLeast"/>
          <w:jc w:val="center"/>
        </w:trPr>
        <w:tc>
          <w:tcPr>
            <w:tcW w:w="716" w:type="pct"/>
            <w:vMerge w:val="restart"/>
            <w:tcBorders>
              <w:top w:val="single" w:color="000000" w:sz="8" w:space="0"/>
              <w:left w:val="nil"/>
              <w:right w:val="nil"/>
            </w:tcBorders>
            <w:shd w:val="clear" w:color="auto" w:fill="auto"/>
            <w:vAlign w:val="center"/>
          </w:tcPr>
          <w:p>
            <w:pPr>
              <w:widowControl/>
              <w:jc w:val="center"/>
              <w:textAlignment w:val="center"/>
              <w:rPr>
                <w:rFonts w:ascii="Times New Roman" w:hAnsi="Times New Roman" w:eastAsia="Times New Roman Regular" w:cs="Times New Roman"/>
                <w:b/>
                <w:bCs/>
                <w:color w:val="000000"/>
                <w:sz w:val="20"/>
                <w:szCs w:val="20"/>
              </w:rPr>
            </w:pPr>
            <w:r>
              <w:rPr>
                <w:rFonts w:ascii="Times New Roman" w:hAnsi="Times New Roman" w:eastAsia="Times New Roman Regular" w:cs="Times New Roman"/>
                <w:b/>
                <w:bCs/>
                <w:color w:val="000000"/>
                <w:kern w:val="0"/>
                <w:sz w:val="20"/>
                <w:szCs w:val="20"/>
              </w:rPr>
              <w:t>year</w:t>
            </w:r>
          </w:p>
        </w:tc>
        <w:tc>
          <w:tcPr>
            <w:tcW w:w="717" w:type="pct"/>
            <w:vMerge w:val="restart"/>
            <w:tcBorders>
              <w:top w:val="single" w:color="000000" w:sz="8" w:space="0"/>
              <w:left w:val="nil"/>
              <w:right w:val="nil"/>
            </w:tcBorders>
            <w:shd w:val="clear" w:color="auto" w:fill="auto"/>
            <w:vAlign w:val="center"/>
          </w:tcPr>
          <w:p>
            <w:pPr>
              <w:widowControl/>
              <w:jc w:val="center"/>
              <w:textAlignment w:val="center"/>
              <w:rPr>
                <w:rFonts w:ascii="Times New Roman" w:hAnsi="Times New Roman" w:eastAsia="Times New Roman Regular" w:cs="Times New Roman"/>
                <w:b/>
                <w:bCs/>
                <w:color w:val="000000"/>
                <w:sz w:val="20"/>
                <w:szCs w:val="20"/>
              </w:rPr>
            </w:pPr>
            <w:r>
              <w:rPr>
                <w:rFonts w:ascii="Times New Roman" w:hAnsi="Times New Roman" w:eastAsia="Times New Roman Regular" w:cs="Times New Roman"/>
                <w:b/>
                <w:bCs/>
                <w:color w:val="000000"/>
                <w:kern w:val="0"/>
                <w:sz w:val="20"/>
                <w:szCs w:val="20"/>
              </w:rPr>
              <w:t>N. of NBSCs</w:t>
            </w:r>
          </w:p>
        </w:tc>
        <w:tc>
          <w:tcPr>
            <w:tcW w:w="890" w:type="pct"/>
            <w:vMerge w:val="restart"/>
            <w:tcBorders>
              <w:top w:val="single" w:color="000000" w:sz="8" w:space="0"/>
              <w:left w:val="nil"/>
              <w:right w:val="nil"/>
            </w:tcBorders>
            <w:shd w:val="clear" w:color="auto" w:fill="auto"/>
            <w:vAlign w:val="center"/>
          </w:tcPr>
          <w:p>
            <w:pPr>
              <w:widowControl/>
              <w:jc w:val="center"/>
              <w:textAlignment w:val="center"/>
              <w:rPr>
                <w:rFonts w:ascii="Times New Roman" w:hAnsi="Times New Roman" w:eastAsia="宋体" w:cs="Times New Roman"/>
                <w:b/>
                <w:bCs/>
                <w:color w:val="000000"/>
                <w:kern w:val="0"/>
                <w:sz w:val="20"/>
                <w:szCs w:val="20"/>
              </w:rPr>
            </w:pPr>
            <w:r>
              <w:rPr>
                <w:rFonts w:ascii="Times New Roman" w:hAnsi="Times New Roman" w:eastAsia="Times New Roman Regular" w:cs="Times New Roman"/>
                <w:b/>
                <w:bCs/>
                <w:color w:val="000000"/>
                <w:kern w:val="0"/>
                <w:sz w:val="20"/>
                <w:szCs w:val="20"/>
              </w:rPr>
              <w:t xml:space="preserve">N. of </w:t>
            </w:r>
            <w:r>
              <w:rPr>
                <w:rFonts w:hint="eastAsia" w:ascii="Times New Roman" w:hAnsi="Times New Roman" w:eastAsia="宋体" w:cs="Times New Roman"/>
                <w:b/>
                <w:bCs/>
                <w:color w:val="000000"/>
                <w:kern w:val="0"/>
                <w:sz w:val="20"/>
                <w:szCs w:val="20"/>
              </w:rPr>
              <w:t>screened newborns</w:t>
            </w:r>
          </w:p>
        </w:tc>
        <w:tc>
          <w:tcPr>
            <w:tcW w:w="2675" w:type="pct"/>
            <w:gridSpan w:val="3"/>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Times New Roman Regular" w:cs="Times New Roman"/>
                <w:b/>
                <w:bCs/>
                <w:color w:val="000000"/>
                <w:kern w:val="0"/>
                <w:sz w:val="20"/>
                <w:szCs w:val="20"/>
              </w:rPr>
            </w:pPr>
            <w:r>
              <w:rPr>
                <w:rFonts w:ascii="Times New Roman" w:hAnsi="Times New Roman" w:eastAsia="Times New Roman Regular" w:cs="Times New Roman"/>
                <w:b/>
                <w:bCs/>
                <w:color w:val="000000"/>
                <w:kern w:val="0"/>
                <w:sz w:val="20"/>
                <w:szCs w:val="20"/>
              </w:rPr>
              <w:t>Screening Coverage</w:t>
            </w:r>
            <w:r>
              <w:rPr>
                <w:rFonts w:ascii="Times New Roman" w:hAnsi="Times New Roman" w:cs="Times New Roman"/>
                <w:b/>
                <w:bCs/>
                <w:color w:val="000000"/>
                <w:kern w:val="0"/>
                <w:sz w:val="20"/>
                <w:szCs w:val="20"/>
              </w:rPr>
              <w:t>（</w:t>
            </w:r>
            <w:r>
              <w:rPr>
                <w:rStyle w:val="14"/>
                <w:rFonts w:ascii="Times New Roman" w:hAnsi="Times New Roman" w:cs="Times New Roman"/>
                <w:b/>
                <w:bCs/>
              </w:rPr>
              <w:t>%</w:t>
            </w:r>
            <w:r>
              <w:rPr>
                <w:rFonts w:ascii="Times New Roman" w:hAnsi="Times New Roman" w:cs="Times New Roman"/>
                <w:b/>
                <w:bCs/>
                <w:color w:val="000000"/>
                <w:kern w:val="0"/>
                <w:sz w:val="20"/>
                <w:szCs w:val="20"/>
              </w:rPr>
              <w:t>）</w:t>
            </w:r>
          </w:p>
        </w:tc>
      </w:tr>
      <w:tr>
        <w:trPr>
          <w:trHeight w:val="475" w:hRule="atLeast"/>
          <w:jc w:val="center"/>
        </w:trPr>
        <w:tc>
          <w:tcPr>
            <w:tcW w:w="716" w:type="pct"/>
            <w:vMerge w:val="continue"/>
            <w:tcBorders>
              <w:left w:val="nil"/>
              <w:bottom w:val="single" w:color="000000" w:sz="8" w:space="0"/>
              <w:right w:val="nil"/>
            </w:tcBorders>
            <w:shd w:val="clear" w:color="auto" w:fill="auto"/>
            <w:vAlign w:val="center"/>
          </w:tcPr>
          <w:p>
            <w:pPr>
              <w:widowControl/>
              <w:jc w:val="center"/>
              <w:textAlignment w:val="center"/>
              <w:rPr>
                <w:rFonts w:ascii="Times New Roman" w:hAnsi="Times New Roman" w:eastAsia="Times New Roman Regular" w:cs="Times New Roman"/>
                <w:b/>
                <w:bCs/>
                <w:color w:val="000000"/>
                <w:sz w:val="20"/>
                <w:szCs w:val="20"/>
              </w:rPr>
            </w:pPr>
          </w:p>
        </w:tc>
        <w:tc>
          <w:tcPr>
            <w:tcW w:w="717" w:type="pct"/>
            <w:vMerge w:val="continue"/>
            <w:tcBorders>
              <w:left w:val="nil"/>
              <w:bottom w:val="single" w:color="000000" w:sz="8" w:space="0"/>
              <w:right w:val="nil"/>
            </w:tcBorders>
            <w:shd w:val="clear" w:color="auto" w:fill="auto"/>
            <w:vAlign w:val="center"/>
          </w:tcPr>
          <w:p>
            <w:pPr>
              <w:widowControl/>
              <w:jc w:val="center"/>
              <w:textAlignment w:val="center"/>
              <w:rPr>
                <w:rFonts w:ascii="Times New Roman" w:hAnsi="Times New Roman" w:eastAsia="Times New Roman Regular" w:cs="Times New Roman"/>
                <w:b/>
                <w:bCs/>
                <w:color w:val="000000"/>
                <w:sz w:val="20"/>
                <w:szCs w:val="20"/>
              </w:rPr>
            </w:pPr>
          </w:p>
        </w:tc>
        <w:tc>
          <w:tcPr>
            <w:tcW w:w="890" w:type="pct"/>
            <w:vMerge w:val="continue"/>
            <w:tcBorders>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b/>
                <w:bCs/>
                <w:color w:val="000000"/>
                <w:kern w:val="0"/>
                <w:sz w:val="20"/>
                <w:szCs w:val="20"/>
              </w:rPr>
            </w:pPr>
          </w:p>
        </w:tc>
        <w:tc>
          <w:tcPr>
            <w:tcW w:w="890" w:type="pct"/>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cs="Times New Roman"/>
                <w:b/>
                <w:bCs/>
                <w:color w:val="000000"/>
                <w:sz w:val="20"/>
                <w:szCs w:val="20"/>
              </w:rPr>
            </w:pPr>
            <w:r>
              <w:rPr>
                <w:rFonts w:hint="eastAsia" w:ascii="Times New Roman" w:hAnsi="Times New Roman" w:eastAsia="宋体" w:cs="Times New Roman"/>
                <w:b/>
                <w:bCs/>
                <w:color w:val="000000"/>
                <w:kern w:val="0"/>
                <w:sz w:val="20"/>
                <w:szCs w:val="20"/>
              </w:rPr>
              <w:t>mean</w:t>
            </w:r>
          </w:p>
        </w:tc>
        <w:tc>
          <w:tcPr>
            <w:tcW w:w="890" w:type="pct"/>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b/>
                <w:bCs/>
                <w:color w:val="000000"/>
                <w:kern w:val="0"/>
                <w:sz w:val="20"/>
                <w:szCs w:val="20"/>
              </w:rPr>
            </w:pPr>
            <w:r>
              <w:rPr>
                <w:rFonts w:hint="eastAsia" w:ascii="Times New Roman" w:hAnsi="Times New Roman" w:eastAsia="宋体" w:cs="Times New Roman"/>
                <w:b/>
                <w:bCs/>
                <w:color w:val="000000"/>
                <w:kern w:val="0"/>
                <w:sz w:val="20"/>
                <w:szCs w:val="20"/>
              </w:rPr>
              <w:t>median</w:t>
            </w:r>
          </w:p>
        </w:tc>
        <w:tc>
          <w:tcPr>
            <w:tcW w:w="895" w:type="pct"/>
            <w:tcBorders>
              <w:top w:val="single" w:color="000000" w:sz="8" w:space="0"/>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s="Times New Roman"/>
                <w:b/>
                <w:bCs/>
                <w:color w:val="000000"/>
                <w:kern w:val="0"/>
                <w:sz w:val="20"/>
                <w:szCs w:val="20"/>
              </w:rPr>
            </w:pPr>
            <w:r>
              <w:rPr>
                <w:rFonts w:hint="eastAsia" w:ascii="Times New Roman" w:hAnsi="Times New Roman" w:eastAsia="宋体" w:cs="Times New Roman"/>
                <w:b/>
                <w:bCs/>
                <w:color w:val="000000"/>
                <w:kern w:val="0"/>
                <w:sz w:val="20"/>
                <w:szCs w:val="20"/>
              </w:rPr>
              <w:t>range</w:t>
            </w:r>
          </w:p>
        </w:tc>
      </w:tr>
      <w:tr>
        <w:trPr>
          <w:trHeight w:val="270" w:hRule="atLeast"/>
          <w:jc w:val="center"/>
        </w:trPr>
        <w:tc>
          <w:tcPr>
            <w:tcW w:w="716"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2012</w:t>
            </w:r>
          </w:p>
        </w:tc>
        <w:tc>
          <w:tcPr>
            <w:tcW w:w="717"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206</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13149149</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77.88</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82.34</w:t>
            </w:r>
          </w:p>
        </w:tc>
        <w:tc>
          <w:tcPr>
            <w:tcW w:w="895"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18.50~100.00</w:t>
            </w:r>
          </w:p>
        </w:tc>
      </w:tr>
      <w:tr>
        <w:trPr>
          <w:trHeight w:val="270" w:hRule="atLeast"/>
          <w:jc w:val="center"/>
        </w:trPr>
        <w:tc>
          <w:tcPr>
            <w:tcW w:w="716"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2013</w:t>
            </w:r>
          </w:p>
        </w:tc>
        <w:tc>
          <w:tcPr>
            <w:tcW w:w="717"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211</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14566101</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87.98</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93.06</w:t>
            </w:r>
          </w:p>
        </w:tc>
        <w:tc>
          <w:tcPr>
            <w:tcW w:w="895"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27.38~100.00</w:t>
            </w:r>
          </w:p>
        </w:tc>
      </w:tr>
      <w:tr>
        <w:trPr>
          <w:trHeight w:val="270" w:hRule="atLeast"/>
          <w:jc w:val="center"/>
        </w:trPr>
        <w:tc>
          <w:tcPr>
            <w:tcW w:w="716"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2014</w:t>
            </w:r>
          </w:p>
        </w:tc>
        <w:tc>
          <w:tcPr>
            <w:tcW w:w="717"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222</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15215535</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91.45</w:t>
            </w:r>
          </w:p>
        </w:tc>
        <w:tc>
          <w:tcPr>
            <w:tcW w:w="890" w:type="pct"/>
            <w:tcBorders>
              <w:top w:val="nil"/>
              <w:left w:val="nil"/>
              <w:bottom w:val="nil"/>
              <w:right w:val="nil"/>
            </w:tcBorders>
            <w:shd w:val="clear" w:color="auto" w:fill="auto"/>
            <w:vAlign w:val="center"/>
          </w:tcPr>
          <w:p>
            <w:pPr>
              <w:widowControl/>
              <w:tabs>
                <w:tab w:val="left" w:pos="522"/>
              </w:tabs>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96.82</w:t>
            </w:r>
          </w:p>
        </w:tc>
        <w:tc>
          <w:tcPr>
            <w:tcW w:w="895"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36.68~100.00</w:t>
            </w:r>
          </w:p>
        </w:tc>
      </w:tr>
      <w:tr>
        <w:trPr>
          <w:trHeight w:val="270" w:hRule="atLeast"/>
          <w:jc w:val="center"/>
        </w:trPr>
        <w:tc>
          <w:tcPr>
            <w:tcW w:w="716"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2015</w:t>
            </w:r>
          </w:p>
        </w:tc>
        <w:tc>
          <w:tcPr>
            <w:tcW w:w="717"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230</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14911324</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93.54</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98.51</w:t>
            </w:r>
          </w:p>
        </w:tc>
        <w:tc>
          <w:tcPr>
            <w:tcW w:w="895"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42.02~100.00</w:t>
            </w:r>
          </w:p>
        </w:tc>
      </w:tr>
      <w:tr>
        <w:trPr>
          <w:trHeight w:val="270" w:hRule="atLeast"/>
          <w:jc w:val="center"/>
        </w:trPr>
        <w:tc>
          <w:tcPr>
            <w:tcW w:w="716"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2016</w:t>
            </w:r>
          </w:p>
        </w:tc>
        <w:tc>
          <w:tcPr>
            <w:tcW w:w="717"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240</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15589615</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96.14</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97.38</w:t>
            </w:r>
          </w:p>
        </w:tc>
        <w:tc>
          <w:tcPr>
            <w:tcW w:w="895"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62.27~100.00</w:t>
            </w:r>
          </w:p>
        </w:tc>
      </w:tr>
      <w:tr>
        <w:trPr>
          <w:trHeight w:val="270" w:hRule="atLeast"/>
          <w:jc w:val="center"/>
        </w:trPr>
        <w:tc>
          <w:tcPr>
            <w:tcW w:w="716"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2017</w:t>
            </w:r>
          </w:p>
        </w:tc>
        <w:tc>
          <w:tcPr>
            <w:tcW w:w="717"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243</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17300589</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97.48</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97.93</w:t>
            </w:r>
          </w:p>
        </w:tc>
        <w:tc>
          <w:tcPr>
            <w:tcW w:w="895"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73.98~100.00</w:t>
            </w:r>
          </w:p>
        </w:tc>
      </w:tr>
      <w:tr>
        <w:trPr>
          <w:trHeight w:val="270" w:hRule="atLeast"/>
          <w:jc w:val="center"/>
        </w:trPr>
        <w:tc>
          <w:tcPr>
            <w:tcW w:w="716"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2018</w:t>
            </w:r>
          </w:p>
        </w:tc>
        <w:tc>
          <w:tcPr>
            <w:tcW w:w="717"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246</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14554048</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98.51</w:t>
            </w:r>
          </w:p>
        </w:tc>
        <w:tc>
          <w:tcPr>
            <w:tcW w:w="890"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98.51</w:t>
            </w:r>
          </w:p>
        </w:tc>
        <w:tc>
          <w:tcPr>
            <w:tcW w:w="895" w:type="pct"/>
            <w:tcBorders>
              <w:top w:val="nil"/>
              <w:left w:val="nil"/>
              <w:bottom w:val="nil"/>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79.95~100.00</w:t>
            </w:r>
          </w:p>
        </w:tc>
      </w:tr>
      <w:tr>
        <w:trPr>
          <w:trHeight w:val="285" w:hRule="atLeast"/>
          <w:jc w:val="center"/>
        </w:trPr>
        <w:tc>
          <w:tcPr>
            <w:tcW w:w="716" w:type="pct"/>
            <w:tcBorders>
              <w:top w:val="nil"/>
              <w:left w:val="nil"/>
              <w:bottom w:val="single" w:color="000000" w:sz="8" w:space="0"/>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2019</w:t>
            </w:r>
          </w:p>
        </w:tc>
        <w:tc>
          <w:tcPr>
            <w:tcW w:w="717" w:type="pct"/>
            <w:tcBorders>
              <w:top w:val="nil"/>
              <w:left w:val="nil"/>
              <w:bottom w:val="single" w:color="000000" w:sz="8" w:space="0"/>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251</w:t>
            </w:r>
          </w:p>
        </w:tc>
        <w:tc>
          <w:tcPr>
            <w:tcW w:w="890" w:type="pct"/>
            <w:tcBorders>
              <w:top w:val="nil"/>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13944192</w:t>
            </w:r>
          </w:p>
        </w:tc>
        <w:tc>
          <w:tcPr>
            <w:tcW w:w="890" w:type="pct"/>
            <w:tcBorders>
              <w:top w:val="nil"/>
              <w:left w:val="nil"/>
              <w:bottom w:val="single" w:color="000000" w:sz="8" w:space="0"/>
              <w:right w:val="nil"/>
            </w:tcBorders>
            <w:shd w:val="clear" w:color="auto" w:fill="auto"/>
            <w:vAlign w:val="center"/>
          </w:tcPr>
          <w:p>
            <w:pPr>
              <w:widowControl/>
              <w:jc w:val="center"/>
              <w:textAlignment w:val="center"/>
              <w:rPr>
                <w:rFonts w:ascii="Times New Roman" w:hAnsi="Times New Roman" w:eastAsia="Times New Roman Regular"/>
                <w:color w:val="000000"/>
                <w:sz w:val="20"/>
                <w:szCs w:val="20"/>
              </w:rPr>
            </w:pPr>
            <w:r>
              <w:rPr>
                <w:rFonts w:ascii="Times New Roman" w:hAnsi="Times New Roman" w:eastAsia="Times New Roman Regular"/>
                <w:color w:val="000000"/>
                <w:kern w:val="0"/>
                <w:sz w:val="20"/>
                <w:szCs w:val="20"/>
              </w:rPr>
              <w:t>96.99</w:t>
            </w:r>
          </w:p>
        </w:tc>
        <w:tc>
          <w:tcPr>
            <w:tcW w:w="890" w:type="pct"/>
            <w:tcBorders>
              <w:top w:val="nil"/>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97.78</w:t>
            </w:r>
          </w:p>
        </w:tc>
        <w:tc>
          <w:tcPr>
            <w:tcW w:w="895" w:type="pct"/>
            <w:tcBorders>
              <w:top w:val="nil"/>
              <w:left w:val="nil"/>
              <w:bottom w:val="single" w:color="000000" w:sz="8" w:space="0"/>
              <w:right w:val="nil"/>
            </w:tcBorders>
            <w:shd w:val="clear" w:color="auto" w:fill="auto"/>
            <w:vAlign w:val="center"/>
          </w:tcPr>
          <w:p>
            <w:pPr>
              <w:widowControl/>
              <w:jc w:val="center"/>
              <w:textAlignment w:val="center"/>
              <w:rPr>
                <w:rFonts w:ascii="Times New Roman" w:hAnsi="Times New Roman" w:eastAsia="宋体"/>
                <w:color w:val="000000"/>
                <w:kern w:val="0"/>
                <w:sz w:val="20"/>
                <w:szCs w:val="20"/>
              </w:rPr>
            </w:pPr>
            <w:r>
              <w:rPr>
                <w:rFonts w:hint="eastAsia" w:ascii="Times New Roman" w:hAnsi="Times New Roman" w:eastAsia="宋体"/>
                <w:color w:val="000000"/>
                <w:kern w:val="0"/>
                <w:sz w:val="20"/>
                <w:szCs w:val="20"/>
              </w:rPr>
              <w:t>84.68~100.00</w:t>
            </w:r>
          </w:p>
        </w:tc>
      </w:tr>
    </w:tbl>
    <w:p>
      <w:pPr>
        <w:jc w:val="left"/>
        <w:rPr>
          <w:rFonts w:ascii="Times New Roman" w:hAnsi="Times New Roman"/>
          <w:sz w:val="20"/>
          <w:szCs w:val="20"/>
        </w:rPr>
      </w:pPr>
      <w:r>
        <w:rPr>
          <w:rFonts w:ascii="Times New Roman" w:hAnsi="Times New Roman"/>
          <w:sz w:val="20"/>
          <w:szCs w:val="20"/>
        </w:rPr>
        <w:t xml:space="preserve">Note: The </w:t>
      </w:r>
      <w:r>
        <w:rPr>
          <w:rFonts w:hint="eastAsia" w:ascii="Times New Roman" w:hAnsi="Times New Roman"/>
          <w:sz w:val="20"/>
          <w:szCs w:val="20"/>
        </w:rPr>
        <w:t>screening coverage</w:t>
      </w:r>
      <w:r>
        <w:rPr>
          <w:rFonts w:ascii="Times New Roman" w:hAnsi="Times New Roman"/>
          <w:sz w:val="20"/>
          <w:szCs w:val="20"/>
        </w:rPr>
        <w:t xml:space="preserve"> is excerpted from the annual report on newborn screening in China</w:t>
      </w:r>
      <w:r>
        <w:rPr>
          <w:rFonts w:hint="eastAsia" w:ascii="Times New Roman" w:hAnsi="Times New Roman"/>
          <w:sz w:val="20"/>
          <w:szCs w:val="20"/>
        </w:rPr>
        <w:t>. Tibet is not concluded.</w:t>
      </w:r>
      <w:bookmarkStart w:id="28" w:name="_Toc101885140"/>
      <w:bookmarkStart w:id="29" w:name="_Toc101884820"/>
      <w:bookmarkStart w:id="30" w:name="_Toc101885208"/>
      <w:bookmarkStart w:id="31" w:name="_Toc100940559"/>
    </w:p>
    <w:p>
      <w:pPr>
        <w:pStyle w:val="2"/>
        <w:spacing w:line="240" w:lineRule="exact"/>
        <w:rPr>
          <w:rFonts w:ascii="Times New Roman" w:hAnsi="Times New Roman"/>
          <w:sz w:val="20"/>
          <w:szCs w:val="20"/>
        </w:rPr>
      </w:pPr>
      <w:r>
        <w:rPr>
          <w:rFonts w:hint="eastAsia" w:ascii="Times New Roman" w:hAnsi="Times New Roman"/>
          <w:sz w:val="20"/>
          <w:szCs w:val="20"/>
        </w:rPr>
        <w:t xml:space="preserve">Supplementary </w:t>
      </w:r>
      <w:r>
        <w:rPr>
          <w:rFonts w:ascii="Times New Roman" w:hAnsi="Times New Roman"/>
          <w:sz w:val="20"/>
          <w:szCs w:val="20"/>
        </w:rPr>
        <w:t>Table S</w:t>
      </w:r>
      <w:r>
        <w:rPr>
          <w:rFonts w:hint="default" w:ascii="Times New Roman" w:hAnsi="Times New Roman"/>
          <w:sz w:val="20"/>
          <w:szCs w:val="20"/>
        </w:rPr>
        <w:t>2</w:t>
      </w:r>
      <w:r>
        <w:rPr>
          <w:rFonts w:hint="eastAsia" w:ascii="Times New Roman" w:hAnsi="Times New Roman"/>
          <w:sz w:val="20"/>
          <w:szCs w:val="20"/>
        </w:rPr>
        <w:t>.</w:t>
      </w:r>
      <w:r>
        <w:rPr>
          <w:rFonts w:ascii="Times New Roman" w:hAnsi="Times New Roman"/>
          <w:sz w:val="20"/>
          <w:szCs w:val="20"/>
        </w:rPr>
        <w:t xml:space="preserve">  The estimated CH incidence </w:t>
      </w:r>
      <w:r>
        <w:rPr>
          <w:rFonts w:hint="eastAsia" w:ascii="Times New Roman" w:hAnsi="Times New Roman"/>
          <w:sz w:val="20"/>
          <w:szCs w:val="20"/>
        </w:rPr>
        <w:t>(</w:t>
      </w:r>
      <w:r>
        <w:rPr>
          <w:rFonts w:ascii="Times New Roman" w:hAnsi="Times New Roman"/>
          <w:sz w:val="20"/>
          <w:szCs w:val="20"/>
        </w:rPr>
        <w:t>per 10 000</w:t>
      </w:r>
      <w:r>
        <w:rPr>
          <w:rFonts w:hint="eastAsia" w:ascii="Times New Roman" w:hAnsi="Times New Roman"/>
          <w:sz w:val="20"/>
          <w:szCs w:val="20"/>
        </w:rPr>
        <w:t xml:space="preserve">) </w:t>
      </w:r>
      <w:r>
        <w:rPr>
          <w:rFonts w:ascii="Times New Roman" w:hAnsi="Times New Roman"/>
          <w:sz w:val="20"/>
          <w:szCs w:val="20"/>
        </w:rPr>
        <w:t xml:space="preserve">of each province </w:t>
      </w:r>
      <w:r>
        <w:rPr>
          <w:rFonts w:hint="eastAsia" w:ascii="Times New Roman" w:hAnsi="Times New Roman"/>
          <w:sz w:val="20"/>
          <w:szCs w:val="20"/>
        </w:rPr>
        <w:t>in</w:t>
      </w:r>
      <w:r>
        <w:rPr>
          <w:rFonts w:ascii="Times New Roman" w:hAnsi="Times New Roman"/>
          <w:sz w:val="20"/>
          <w:szCs w:val="20"/>
        </w:rPr>
        <w:t xml:space="preserve"> 2012 </w:t>
      </w:r>
      <w:r>
        <w:rPr>
          <w:rFonts w:hint="eastAsia" w:ascii="Times New Roman" w:hAnsi="Times New Roman"/>
          <w:sz w:val="20"/>
          <w:szCs w:val="20"/>
        </w:rPr>
        <w:t>and</w:t>
      </w:r>
      <w:r>
        <w:rPr>
          <w:rFonts w:ascii="Times New Roman" w:hAnsi="Times New Roman"/>
          <w:sz w:val="20"/>
          <w:szCs w:val="20"/>
        </w:rPr>
        <w:t xml:space="preserve"> 2019</w:t>
      </w:r>
      <w:bookmarkEnd w:id="28"/>
      <w:bookmarkEnd w:id="29"/>
      <w:bookmarkEnd w:id="30"/>
      <w:bookmarkEnd w:id="31"/>
    </w:p>
    <w:tbl>
      <w:tblPr>
        <w:tblStyle w:val="9"/>
        <w:tblW w:w="4998" w:type="pct"/>
        <w:tblInd w:w="0" w:type="dxa"/>
        <w:tblLayout w:type="autofit"/>
        <w:tblCellMar>
          <w:top w:w="0" w:type="dxa"/>
          <w:left w:w="108" w:type="dxa"/>
          <w:bottom w:w="0" w:type="dxa"/>
          <w:right w:w="108" w:type="dxa"/>
        </w:tblCellMar>
      </w:tblPr>
      <w:tblGrid>
        <w:gridCol w:w="1414"/>
        <w:gridCol w:w="1466"/>
        <w:gridCol w:w="2111"/>
        <w:gridCol w:w="2111"/>
        <w:gridCol w:w="1417"/>
      </w:tblGrid>
      <w:tr>
        <w:trPr>
          <w:trHeight w:val="285" w:hRule="atLeast"/>
        </w:trPr>
        <w:tc>
          <w:tcPr>
            <w:tcW w:w="830"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b/>
                <w:bCs/>
                <w:color w:val="000000"/>
                <w:sz w:val="20"/>
                <w:szCs w:val="20"/>
              </w:rPr>
            </w:pPr>
            <w:r>
              <w:rPr>
                <w:rFonts w:ascii="Times New Roman" w:hAnsi="Times New Roman" w:eastAsia="宋体" w:cs="Times New Roman"/>
                <w:b/>
                <w:bCs/>
                <w:color w:val="000000"/>
                <w:kern w:val="0"/>
                <w:sz w:val="20"/>
                <w:szCs w:val="20"/>
                <w:lang w:bidi="ar"/>
              </w:rPr>
              <w:t>Region</w:t>
            </w:r>
          </w:p>
        </w:tc>
        <w:tc>
          <w:tcPr>
            <w:tcW w:w="860"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b/>
                <w:bCs/>
                <w:color w:val="000000"/>
                <w:sz w:val="20"/>
                <w:szCs w:val="20"/>
              </w:rPr>
            </w:pPr>
            <w:r>
              <w:rPr>
                <w:rFonts w:ascii="Times New Roman" w:hAnsi="Times New Roman" w:eastAsia="宋体" w:cs="Times New Roman"/>
                <w:b/>
                <w:bCs/>
                <w:color w:val="000000"/>
                <w:kern w:val="0"/>
                <w:sz w:val="20"/>
                <w:szCs w:val="20"/>
                <w:lang w:bidi="ar"/>
              </w:rPr>
              <w:t>province</w:t>
            </w:r>
          </w:p>
        </w:tc>
        <w:tc>
          <w:tcPr>
            <w:tcW w:w="1238"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b/>
                <w:bCs/>
                <w:color w:val="000000"/>
                <w:sz w:val="20"/>
                <w:szCs w:val="20"/>
              </w:rPr>
            </w:pPr>
            <w:r>
              <w:rPr>
                <w:rFonts w:ascii="Times New Roman" w:hAnsi="Times New Roman" w:eastAsia="宋体" w:cs="Times New Roman"/>
                <w:b/>
                <w:bCs/>
                <w:color w:val="000000"/>
                <w:kern w:val="0"/>
                <w:sz w:val="20"/>
                <w:szCs w:val="20"/>
                <w:lang w:bidi="ar"/>
              </w:rPr>
              <w:t>2012</w:t>
            </w:r>
          </w:p>
        </w:tc>
        <w:tc>
          <w:tcPr>
            <w:tcW w:w="1238"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b/>
                <w:bCs/>
                <w:color w:val="000000"/>
                <w:sz w:val="20"/>
                <w:szCs w:val="20"/>
              </w:rPr>
            </w:pPr>
            <w:r>
              <w:rPr>
                <w:rFonts w:ascii="Times New Roman" w:hAnsi="Times New Roman" w:eastAsia="宋体" w:cs="Times New Roman"/>
                <w:b/>
                <w:bCs/>
                <w:color w:val="000000"/>
                <w:kern w:val="0"/>
                <w:sz w:val="20"/>
                <w:szCs w:val="20"/>
                <w:lang w:bidi="ar"/>
              </w:rPr>
              <w:t>2019</w:t>
            </w:r>
          </w:p>
        </w:tc>
        <w:tc>
          <w:tcPr>
            <w:tcW w:w="831"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b/>
                <w:bCs/>
                <w:color w:val="000000"/>
                <w:sz w:val="20"/>
                <w:szCs w:val="20"/>
              </w:rPr>
            </w:pPr>
            <w:r>
              <w:rPr>
                <w:rFonts w:ascii="Times New Roman" w:hAnsi="Times New Roman" w:eastAsia="宋体" w:cs="Times New Roman"/>
                <w:b/>
                <w:bCs/>
                <w:color w:val="000000"/>
                <w:kern w:val="0"/>
                <w:sz w:val="20"/>
                <w:szCs w:val="20"/>
                <w:lang w:bidi="ar"/>
              </w:rPr>
              <w:t>AGR(%)</w:t>
            </w:r>
          </w:p>
        </w:tc>
      </w:tr>
      <w:tr>
        <w:trPr>
          <w:trHeight w:val="270" w:hRule="atLeast"/>
        </w:trPr>
        <w:tc>
          <w:tcPr>
            <w:tcW w:w="830" w:type="pct"/>
            <w:vMerge w:val="restar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Eastern </w:t>
            </w: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Beijing</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5.40(4.36,6.53)</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6.08(5.01,7.32)</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1.71</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Tianjin</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3.57(2.47,4.88)</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5.13(3.64,6.87)</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5.31</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Liaoning</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2.86(2.28,3.49)</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4.66(3.67,5.72)</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7.21</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Shanghai</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4.07(3.15,5.16)</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8.32(6.68,10.3)</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10.76</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Jiangsu</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4.43(3.97,4.94)</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4.86(4.20,5.57)</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1.33</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Zhejiang</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6.18(5.56,6.83)</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10.34(9.25,11.54)</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7.62</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Fujian</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5.10(4.42,5.81)</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7.46(6.47,8.53)</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5.6</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Shandong</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5.12(4.64,5.63)</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6.87(6.24,7.49)</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4.28</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Guangdong</w:t>
            </w:r>
          </w:p>
        </w:tc>
        <w:tc>
          <w:tcPr>
            <w:tcW w:w="1238"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2.82(2.52,3.13)</w:t>
            </w:r>
          </w:p>
        </w:tc>
        <w:tc>
          <w:tcPr>
            <w:tcW w:w="1238"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4.03(3.64,4.45)</w:t>
            </w:r>
          </w:p>
        </w:tc>
        <w:tc>
          <w:tcPr>
            <w:tcW w:w="831"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5.22</w:t>
            </w:r>
          </w:p>
        </w:tc>
      </w:tr>
      <w:tr>
        <w:trPr>
          <w:trHeight w:val="270" w:hRule="atLeast"/>
        </w:trPr>
        <w:tc>
          <w:tcPr>
            <w:tcW w:w="830" w:type="pct"/>
            <w:vMerge w:val="restar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Central</w:t>
            </w: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Hebei</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3.66(3.23,4.09)</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4.76(4.17,5.42)</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3.84</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Shanxi</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2.78(1.80,3.91)</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3.64(2.91,4.43)</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3.94</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Jilin</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2.07(1.38,2.91)</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3.36(2.22,4.72)</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7.14</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Heilongjiang</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1.74(1.11,2.47)</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2.37(1.39,3.52)</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4.5</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Anhui</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4.28(3.63,4.98)</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6.20(5.41,7.05)</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5.44</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Jiangxi</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6.10(4.61,7.82)</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9.28(8.05,10.58)</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6.18</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Henan</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3.40(2.88,3.96)</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6.50(5.93,7.09)</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9.7</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Hubei</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4.20(3.48,4.96)</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5.43(4.50,6.42)</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3.76</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Hunan</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4.56(3.91,5.23)</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6.33(5.54,7.22)</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4.78</w:t>
            </w:r>
          </w:p>
        </w:tc>
      </w:tr>
      <w:tr>
        <w:trPr>
          <w:trHeight w:val="270" w:hRule="atLeast"/>
        </w:trPr>
        <w:tc>
          <w:tcPr>
            <w:tcW w:w="830" w:type="pct"/>
            <w:vMerge w:val="continue"/>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Hainan</w:t>
            </w:r>
          </w:p>
        </w:tc>
        <w:tc>
          <w:tcPr>
            <w:tcW w:w="1238"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3.32(2.19,4.72)</w:t>
            </w:r>
          </w:p>
        </w:tc>
        <w:tc>
          <w:tcPr>
            <w:tcW w:w="1238"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8.15(6.07,10.47)</w:t>
            </w:r>
          </w:p>
        </w:tc>
        <w:tc>
          <w:tcPr>
            <w:tcW w:w="831"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13.67</w:t>
            </w:r>
          </w:p>
        </w:tc>
      </w:tr>
      <w:tr>
        <w:trPr>
          <w:trHeight w:val="270" w:hRule="atLeast"/>
        </w:trPr>
        <w:tc>
          <w:tcPr>
            <w:tcW w:w="830" w:type="pct"/>
            <w:vMerge w:val="restar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Western</w:t>
            </w: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Chongqing</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5.10(3.78,6.56)</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9.29(7.72,10.94)</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8.94</w:t>
            </w:r>
          </w:p>
        </w:tc>
      </w:tr>
      <w:tr>
        <w:trPr>
          <w:trHeight w:val="270" w:hRule="atLeast"/>
        </w:trPr>
        <w:tc>
          <w:tcPr>
            <w:tcW w:w="830" w:type="pct"/>
            <w:vMerge w:val="continue"/>
            <w:tcBorders>
              <w:top w:val="nil"/>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Gansu</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2.88(2.06,3.75)</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4.53(3.67,5.47)</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6.69</w:t>
            </w:r>
          </w:p>
        </w:tc>
      </w:tr>
      <w:tr>
        <w:trPr>
          <w:trHeight w:val="270" w:hRule="atLeast"/>
        </w:trPr>
        <w:tc>
          <w:tcPr>
            <w:tcW w:w="830" w:type="pct"/>
            <w:vMerge w:val="continue"/>
            <w:tcBorders>
              <w:top w:val="nil"/>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Guangxi</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5.44(4.72,6.20)</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5.66(4.93,6.44)</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0.59</w:t>
            </w:r>
          </w:p>
        </w:tc>
      </w:tr>
      <w:tr>
        <w:trPr>
          <w:trHeight w:val="270" w:hRule="atLeast"/>
        </w:trPr>
        <w:tc>
          <w:tcPr>
            <w:tcW w:w="830" w:type="pct"/>
            <w:vMerge w:val="continue"/>
            <w:tcBorders>
              <w:top w:val="nil"/>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Guizhou</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2.67(1.89,3.55)</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4.09(3.43,4.80)</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6.28</w:t>
            </w:r>
          </w:p>
        </w:tc>
      </w:tr>
      <w:tr>
        <w:trPr>
          <w:trHeight w:val="270" w:hRule="atLeast"/>
        </w:trPr>
        <w:tc>
          <w:tcPr>
            <w:tcW w:w="830" w:type="pct"/>
            <w:vMerge w:val="continue"/>
            <w:tcBorders>
              <w:top w:val="nil"/>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Inner Mongolia</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2.22(0.01,5.92)</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3.56(2.56,4.77)</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6.98</w:t>
            </w:r>
          </w:p>
        </w:tc>
      </w:tr>
      <w:tr>
        <w:trPr>
          <w:trHeight w:val="270" w:hRule="atLeast"/>
        </w:trPr>
        <w:tc>
          <w:tcPr>
            <w:tcW w:w="830" w:type="pct"/>
            <w:vMerge w:val="continue"/>
            <w:tcBorders>
              <w:top w:val="nil"/>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Ningxia</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3.00(1.76,4.35)</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3.29(2.10,4.75)</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1.32</w:t>
            </w:r>
          </w:p>
        </w:tc>
      </w:tr>
      <w:tr>
        <w:trPr>
          <w:trHeight w:val="270" w:hRule="atLeast"/>
        </w:trPr>
        <w:tc>
          <w:tcPr>
            <w:tcW w:w="830" w:type="pct"/>
            <w:vMerge w:val="continue"/>
            <w:tcBorders>
              <w:top w:val="nil"/>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Qinghai</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2.38(0.01,5.96)</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3.07(1.54,5.12)</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3.68</w:t>
            </w:r>
          </w:p>
        </w:tc>
      </w:tr>
      <w:tr>
        <w:trPr>
          <w:trHeight w:val="270" w:hRule="atLeast"/>
        </w:trPr>
        <w:tc>
          <w:tcPr>
            <w:tcW w:w="830" w:type="pct"/>
            <w:vMerge w:val="continue"/>
            <w:tcBorders>
              <w:top w:val="nil"/>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Shaanxi</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1.51(0.98,2.10)</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5.71(4.83,6.68)</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20.96</w:t>
            </w:r>
          </w:p>
        </w:tc>
      </w:tr>
      <w:tr>
        <w:trPr>
          <w:trHeight w:val="270" w:hRule="atLeast"/>
        </w:trPr>
        <w:tc>
          <w:tcPr>
            <w:tcW w:w="830" w:type="pct"/>
            <w:vMerge w:val="continue"/>
            <w:tcBorders>
              <w:top w:val="nil"/>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Sichuan</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3.49(2.94,4.06)</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6.50(5.68,7.36)</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9.3</w:t>
            </w:r>
          </w:p>
        </w:tc>
      </w:tr>
      <w:tr>
        <w:trPr>
          <w:trHeight w:val="270" w:hRule="atLeast"/>
        </w:trPr>
        <w:tc>
          <w:tcPr>
            <w:tcW w:w="830" w:type="pct"/>
            <w:vMerge w:val="continue"/>
            <w:tcBorders>
              <w:top w:val="nil"/>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Xinjiang</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2.75(1.46,4.37)</w:t>
            </w:r>
          </w:p>
        </w:tc>
        <w:tc>
          <w:tcPr>
            <w:tcW w:w="12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3.85(2.71,5.17)</w:t>
            </w:r>
          </w:p>
        </w:tc>
        <w:tc>
          <w:tcPr>
            <w:tcW w:w="831"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4.91</w:t>
            </w:r>
          </w:p>
        </w:tc>
      </w:tr>
      <w:tr>
        <w:trPr>
          <w:trHeight w:val="270" w:hRule="atLeast"/>
        </w:trPr>
        <w:tc>
          <w:tcPr>
            <w:tcW w:w="830" w:type="pct"/>
            <w:vMerge w:val="continue"/>
            <w:tcBorders>
              <w:top w:val="nil"/>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20"/>
                <w:szCs w:val="20"/>
              </w:rPr>
            </w:pPr>
          </w:p>
        </w:tc>
        <w:tc>
          <w:tcPr>
            <w:tcW w:w="860"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Yunnan</w:t>
            </w:r>
          </w:p>
        </w:tc>
        <w:tc>
          <w:tcPr>
            <w:tcW w:w="1238"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2.72(0.91,4.99)</w:t>
            </w:r>
          </w:p>
        </w:tc>
        <w:tc>
          <w:tcPr>
            <w:tcW w:w="1238"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3.25(2.68,3.91)</w:t>
            </w:r>
          </w:p>
        </w:tc>
        <w:tc>
          <w:tcPr>
            <w:tcW w:w="831"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2.58</w:t>
            </w:r>
          </w:p>
        </w:tc>
      </w:tr>
    </w:tbl>
    <w:p>
      <w:pPr>
        <w:rPr>
          <w:rFonts w:ascii="Times New Roman" w:hAnsi="Times New Roman"/>
          <w:sz w:val="20"/>
          <w:szCs w:val="20"/>
        </w:rPr>
      </w:pPr>
    </w:p>
    <w:p>
      <w:pPr>
        <w:pStyle w:val="2"/>
        <w:spacing w:line="240" w:lineRule="exact"/>
        <w:rPr>
          <w:rFonts w:ascii="Times New Roman" w:hAnsi="Times New Roman"/>
          <w:sz w:val="20"/>
          <w:szCs w:val="20"/>
        </w:rPr>
      </w:pPr>
      <w:bookmarkStart w:id="32" w:name="_Toc101884822"/>
      <w:bookmarkStart w:id="33" w:name="_Toc101885142"/>
      <w:bookmarkStart w:id="34" w:name="_Toc101885210"/>
      <w:bookmarkStart w:id="35" w:name="_Toc100940561"/>
      <w:r>
        <w:rPr>
          <w:rFonts w:hint="eastAsia" w:ascii="Times New Roman" w:hAnsi="Times New Roman"/>
          <w:sz w:val="20"/>
          <w:szCs w:val="20"/>
        </w:rPr>
        <w:t xml:space="preserve">Supplementary </w:t>
      </w:r>
      <w:r>
        <w:rPr>
          <w:rFonts w:ascii="Times New Roman" w:hAnsi="Times New Roman"/>
          <w:sz w:val="20"/>
          <w:szCs w:val="20"/>
        </w:rPr>
        <w:t>Table S</w:t>
      </w:r>
      <w:r>
        <w:rPr>
          <w:rFonts w:hint="default" w:ascii="Times New Roman" w:hAnsi="Times New Roman"/>
          <w:sz w:val="20"/>
          <w:szCs w:val="20"/>
        </w:rPr>
        <w:t>3</w:t>
      </w:r>
      <w:r>
        <w:rPr>
          <w:rFonts w:ascii="Times New Roman" w:hAnsi="Times New Roman"/>
          <w:sz w:val="20"/>
          <w:szCs w:val="20"/>
        </w:rPr>
        <w:t>.  Mixed effect meta-analysis of moderators of proportion of congenital hypothyroidism subtype</w:t>
      </w:r>
      <w:bookmarkEnd w:id="32"/>
      <w:bookmarkEnd w:id="33"/>
      <w:bookmarkEnd w:id="34"/>
      <w:bookmarkEnd w:id="35"/>
    </w:p>
    <w:tbl>
      <w:tblPr>
        <w:tblStyle w:val="9"/>
        <w:tblW w:w="8319" w:type="dxa"/>
        <w:jc w:val="center"/>
        <w:tblLayout w:type="fixed"/>
        <w:tblCellMar>
          <w:top w:w="15" w:type="dxa"/>
          <w:left w:w="15" w:type="dxa"/>
          <w:bottom w:w="15" w:type="dxa"/>
          <w:right w:w="15" w:type="dxa"/>
        </w:tblCellMar>
      </w:tblPr>
      <w:tblGrid>
        <w:gridCol w:w="2453"/>
        <w:gridCol w:w="1695"/>
        <w:gridCol w:w="710"/>
        <w:gridCol w:w="1863"/>
        <w:gridCol w:w="1598"/>
      </w:tblGrid>
      <w:tr>
        <w:trPr>
          <w:trHeight w:val="270" w:hRule="atLeast"/>
          <w:jc w:val="center"/>
        </w:trPr>
        <w:tc>
          <w:tcPr>
            <w:tcW w:w="2453" w:type="dxa"/>
            <w:tcBorders>
              <w:top w:val="single" w:color="000000" w:sz="4" w:space="0"/>
              <w:bottom w:val="single" w:color="000000" w:sz="4" w:space="0"/>
            </w:tcBorders>
            <w:shd w:val="clear" w:color="auto" w:fill="auto"/>
            <w:vAlign w:val="center"/>
          </w:tcPr>
          <w:p>
            <w:pPr>
              <w:widowControl/>
              <w:jc w:val="center"/>
              <w:textAlignment w:val="center"/>
              <w:rPr>
                <w:rFonts w:ascii="Times New Roman" w:hAnsi="Times New Roman" w:eastAsia="Times New Roman Uni"/>
                <w:b/>
                <w:bCs/>
                <w:color w:val="000000"/>
                <w:kern w:val="0"/>
                <w:sz w:val="20"/>
                <w:szCs w:val="20"/>
              </w:rPr>
            </w:pPr>
            <w:r>
              <w:rPr>
                <w:rFonts w:ascii="Times New Roman" w:hAnsi="Times New Roman" w:eastAsia="Times New Roman Uni"/>
                <w:b/>
                <w:bCs/>
                <w:color w:val="000000"/>
                <w:kern w:val="0"/>
                <w:sz w:val="20"/>
                <w:szCs w:val="20"/>
              </w:rPr>
              <w:t>Effect size</w:t>
            </w:r>
          </w:p>
        </w:tc>
        <w:tc>
          <w:tcPr>
            <w:tcW w:w="1695" w:type="dxa"/>
            <w:tcBorders>
              <w:top w:val="single" w:color="000000" w:sz="4" w:space="0"/>
              <w:bottom w:val="single" w:color="000000" w:sz="4" w:space="0"/>
            </w:tcBorders>
            <w:shd w:val="clear" w:color="auto" w:fill="auto"/>
            <w:vAlign w:val="center"/>
          </w:tcPr>
          <w:p>
            <w:pPr>
              <w:widowControl/>
              <w:jc w:val="center"/>
              <w:textAlignment w:val="center"/>
              <w:rPr>
                <w:rFonts w:ascii="Times New Roman" w:hAnsi="Times New Roman" w:eastAsia="Times New Roman Uni"/>
                <w:b/>
                <w:bCs/>
                <w:color w:val="000000"/>
                <w:kern w:val="0"/>
                <w:sz w:val="20"/>
                <w:szCs w:val="20"/>
              </w:rPr>
            </w:pPr>
            <w:r>
              <w:rPr>
                <w:rFonts w:ascii="Times New Roman" w:hAnsi="Times New Roman" w:eastAsia="Times New Roman Uni"/>
                <w:b/>
                <w:bCs/>
                <w:color w:val="000000"/>
                <w:kern w:val="0"/>
                <w:sz w:val="20"/>
                <w:szCs w:val="20"/>
              </w:rPr>
              <w:t>Moderator Variable</w:t>
            </w:r>
          </w:p>
        </w:tc>
        <w:tc>
          <w:tcPr>
            <w:tcW w:w="710" w:type="dxa"/>
            <w:tcBorders>
              <w:top w:val="single" w:color="000000" w:sz="4" w:space="0"/>
              <w:bottom w:val="single" w:color="000000" w:sz="4" w:space="0"/>
            </w:tcBorders>
            <w:shd w:val="clear" w:color="auto" w:fill="auto"/>
            <w:vAlign w:val="center"/>
          </w:tcPr>
          <w:p>
            <w:pPr>
              <w:widowControl/>
              <w:jc w:val="center"/>
              <w:textAlignment w:val="center"/>
              <w:rPr>
                <w:rFonts w:ascii="Times New Roman" w:hAnsi="Times New Roman" w:eastAsia="Times New Roman Uni"/>
                <w:b/>
                <w:bCs/>
                <w:color w:val="000000"/>
                <w:kern w:val="0"/>
                <w:sz w:val="20"/>
                <w:szCs w:val="20"/>
              </w:rPr>
            </w:pPr>
            <w:r>
              <w:rPr>
                <w:rFonts w:ascii="Times New Roman" w:hAnsi="Times New Roman" w:eastAsia="Times New Roman Uni"/>
                <w:b/>
                <w:bCs/>
                <w:color w:val="000000"/>
                <w:kern w:val="0"/>
                <w:sz w:val="20"/>
                <w:szCs w:val="20"/>
              </w:rPr>
              <w:t>β</w:t>
            </w:r>
          </w:p>
        </w:tc>
        <w:tc>
          <w:tcPr>
            <w:tcW w:w="1863" w:type="dxa"/>
            <w:tcBorders>
              <w:top w:val="single" w:color="000000" w:sz="4" w:space="0"/>
              <w:bottom w:val="single" w:color="000000" w:sz="4" w:space="0"/>
            </w:tcBorders>
            <w:shd w:val="clear" w:color="auto" w:fill="auto"/>
            <w:vAlign w:val="center"/>
          </w:tcPr>
          <w:p>
            <w:pPr>
              <w:widowControl/>
              <w:jc w:val="center"/>
              <w:textAlignment w:val="center"/>
              <w:rPr>
                <w:rFonts w:ascii="Times New Roman" w:hAnsi="Times New Roman" w:eastAsia="Times New Roman Uni"/>
                <w:b/>
                <w:bCs/>
                <w:color w:val="000000"/>
                <w:kern w:val="0"/>
                <w:sz w:val="20"/>
                <w:szCs w:val="20"/>
              </w:rPr>
            </w:pPr>
            <w:r>
              <w:rPr>
                <w:rFonts w:ascii="Times New Roman" w:hAnsi="Times New Roman" w:eastAsia="Times New Roman Uni"/>
                <w:b/>
                <w:bCs/>
                <w:color w:val="000000"/>
                <w:kern w:val="0"/>
                <w:sz w:val="20"/>
                <w:szCs w:val="20"/>
              </w:rPr>
              <w:t>95%CI</w:t>
            </w:r>
          </w:p>
        </w:tc>
        <w:tc>
          <w:tcPr>
            <w:tcW w:w="1598" w:type="dxa"/>
            <w:tcBorders>
              <w:top w:val="single" w:color="000000" w:sz="4" w:space="0"/>
              <w:bottom w:val="single" w:color="000000" w:sz="4" w:space="0"/>
            </w:tcBorders>
            <w:shd w:val="clear" w:color="auto" w:fill="auto"/>
            <w:vAlign w:val="center"/>
          </w:tcPr>
          <w:p>
            <w:pPr>
              <w:widowControl/>
              <w:jc w:val="center"/>
              <w:textAlignment w:val="center"/>
              <w:rPr>
                <w:rFonts w:ascii="Times New Roman" w:hAnsi="Times New Roman" w:eastAsia="Times New Roman Uni"/>
                <w:b/>
                <w:bCs/>
                <w:color w:val="000000"/>
                <w:kern w:val="0"/>
                <w:sz w:val="20"/>
                <w:szCs w:val="20"/>
              </w:rPr>
            </w:pPr>
            <w:r>
              <w:rPr>
                <w:rFonts w:ascii="Times New Roman" w:hAnsi="Times New Roman" w:eastAsia="Times New Roman Uni"/>
                <w:b/>
                <w:bCs/>
                <w:color w:val="000000"/>
                <w:kern w:val="0"/>
                <w:sz w:val="20"/>
                <w:szCs w:val="20"/>
              </w:rPr>
              <w:t>P value</w:t>
            </w:r>
          </w:p>
        </w:tc>
      </w:tr>
      <w:tr>
        <w:trPr>
          <w:trHeight w:val="285" w:hRule="atLeast"/>
          <w:jc w:val="center"/>
        </w:trPr>
        <w:tc>
          <w:tcPr>
            <w:tcW w:w="2453" w:type="dxa"/>
            <w:vMerge w:val="restart"/>
            <w:shd w:val="clear" w:color="auto" w:fill="auto"/>
            <w:vAlign w:val="center"/>
          </w:tcPr>
          <w:p>
            <w:pPr>
              <w:widowControl/>
              <w:jc w:val="left"/>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permanent CH proportion</w:t>
            </w:r>
          </w:p>
        </w:tc>
        <w:tc>
          <w:tcPr>
            <w:tcW w:w="1695" w:type="dxa"/>
            <w:shd w:val="clear" w:color="auto" w:fill="auto"/>
            <w:vAlign w:val="center"/>
          </w:tcPr>
          <w:p>
            <w:pPr>
              <w:widowControl/>
              <w:jc w:val="left"/>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Year</w:t>
            </w:r>
          </w:p>
        </w:tc>
        <w:tc>
          <w:tcPr>
            <w:tcW w:w="710" w:type="dxa"/>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0.024</w:t>
            </w:r>
          </w:p>
        </w:tc>
        <w:tc>
          <w:tcPr>
            <w:tcW w:w="1863" w:type="dxa"/>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(0.011,0.037)</w:t>
            </w:r>
          </w:p>
        </w:tc>
        <w:tc>
          <w:tcPr>
            <w:tcW w:w="1598" w:type="dxa"/>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&lt;0.001***</w:t>
            </w:r>
          </w:p>
        </w:tc>
      </w:tr>
      <w:tr>
        <w:trPr>
          <w:trHeight w:val="285" w:hRule="atLeast"/>
          <w:jc w:val="center"/>
        </w:trPr>
        <w:tc>
          <w:tcPr>
            <w:tcW w:w="2453" w:type="dxa"/>
            <w:vMerge w:val="continue"/>
            <w:shd w:val="clear" w:color="auto" w:fill="auto"/>
            <w:vAlign w:val="center"/>
          </w:tcPr>
          <w:p>
            <w:pPr>
              <w:widowControl/>
              <w:jc w:val="left"/>
              <w:textAlignment w:val="center"/>
              <w:rPr>
                <w:rFonts w:ascii="Times New Roman" w:hAnsi="Times New Roman" w:eastAsia="Times New Roman Uni"/>
                <w:color w:val="000000"/>
                <w:kern w:val="0"/>
                <w:sz w:val="20"/>
                <w:szCs w:val="20"/>
              </w:rPr>
            </w:pPr>
          </w:p>
        </w:tc>
        <w:tc>
          <w:tcPr>
            <w:tcW w:w="1695" w:type="dxa"/>
            <w:shd w:val="clear" w:color="auto" w:fill="auto"/>
            <w:vAlign w:val="center"/>
          </w:tcPr>
          <w:p>
            <w:pPr>
              <w:widowControl/>
              <w:jc w:val="left"/>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TSH cutoff value</w:t>
            </w:r>
          </w:p>
        </w:tc>
        <w:tc>
          <w:tcPr>
            <w:tcW w:w="710" w:type="dxa"/>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0.011</w:t>
            </w:r>
          </w:p>
        </w:tc>
        <w:tc>
          <w:tcPr>
            <w:tcW w:w="1863" w:type="dxa"/>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(-0.018,0.040)</w:t>
            </w:r>
          </w:p>
        </w:tc>
        <w:tc>
          <w:tcPr>
            <w:tcW w:w="1598" w:type="dxa"/>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0.464</w:t>
            </w:r>
          </w:p>
        </w:tc>
      </w:tr>
      <w:tr>
        <w:trPr>
          <w:trHeight w:val="285" w:hRule="atLeast"/>
          <w:jc w:val="center"/>
        </w:trPr>
        <w:tc>
          <w:tcPr>
            <w:tcW w:w="2453" w:type="dxa"/>
            <w:vMerge w:val="continue"/>
            <w:shd w:val="clear" w:color="auto" w:fill="auto"/>
            <w:vAlign w:val="center"/>
          </w:tcPr>
          <w:p>
            <w:pPr>
              <w:widowControl/>
              <w:jc w:val="left"/>
              <w:textAlignment w:val="center"/>
              <w:rPr>
                <w:rFonts w:ascii="Times New Roman" w:hAnsi="Times New Roman" w:eastAsia="Times New Roman Uni"/>
                <w:color w:val="000000"/>
                <w:kern w:val="0"/>
                <w:sz w:val="20"/>
                <w:szCs w:val="20"/>
              </w:rPr>
            </w:pPr>
          </w:p>
        </w:tc>
        <w:tc>
          <w:tcPr>
            <w:tcW w:w="1695" w:type="dxa"/>
            <w:shd w:val="clear" w:color="auto" w:fill="auto"/>
            <w:vAlign w:val="center"/>
          </w:tcPr>
          <w:p>
            <w:pPr>
              <w:widowControl/>
              <w:jc w:val="left"/>
              <w:textAlignment w:val="center"/>
              <w:rPr>
                <w:rFonts w:ascii="Times New Roman" w:hAnsi="Times New Roman"/>
                <w:color w:val="000000"/>
                <w:kern w:val="0"/>
                <w:sz w:val="20"/>
                <w:szCs w:val="20"/>
              </w:rPr>
            </w:pPr>
            <w:r>
              <w:rPr>
                <w:rFonts w:ascii="Times New Roman" w:hAnsi="Times New Roman"/>
                <w:color w:val="000000"/>
                <w:kern w:val="0"/>
                <w:sz w:val="20"/>
                <w:szCs w:val="20"/>
              </w:rPr>
              <w:t>Region% central</w:t>
            </w:r>
          </w:p>
        </w:tc>
        <w:tc>
          <w:tcPr>
            <w:tcW w:w="710" w:type="dxa"/>
            <w:shd w:val="clear" w:color="auto" w:fill="auto"/>
            <w:vAlign w:val="center"/>
          </w:tcPr>
          <w:p>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Ref.</w:t>
            </w:r>
          </w:p>
        </w:tc>
        <w:tc>
          <w:tcPr>
            <w:tcW w:w="1863" w:type="dxa"/>
            <w:shd w:val="clear" w:color="auto" w:fill="auto"/>
            <w:vAlign w:val="center"/>
          </w:tcPr>
          <w:p>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1.00</w:t>
            </w:r>
          </w:p>
        </w:tc>
        <w:tc>
          <w:tcPr>
            <w:tcW w:w="1598" w:type="dxa"/>
            <w:shd w:val="clear" w:color="auto" w:fill="auto"/>
            <w:vAlign w:val="center"/>
          </w:tcPr>
          <w:p>
            <w:pPr>
              <w:widowControl/>
              <w:jc w:val="center"/>
              <w:textAlignment w:val="center"/>
              <w:rPr>
                <w:rFonts w:ascii="Times New Roman" w:hAnsi="Times New Roman" w:eastAsia="Times New Roman Uni"/>
                <w:color w:val="000000"/>
                <w:kern w:val="0"/>
                <w:sz w:val="20"/>
                <w:szCs w:val="20"/>
              </w:rPr>
            </w:pPr>
          </w:p>
        </w:tc>
      </w:tr>
      <w:tr>
        <w:trPr>
          <w:trHeight w:val="285" w:hRule="atLeast"/>
          <w:jc w:val="center"/>
        </w:trPr>
        <w:tc>
          <w:tcPr>
            <w:tcW w:w="2453" w:type="dxa"/>
            <w:vMerge w:val="continue"/>
            <w:shd w:val="clear" w:color="auto" w:fill="auto"/>
            <w:vAlign w:val="center"/>
          </w:tcPr>
          <w:p>
            <w:pPr>
              <w:widowControl/>
              <w:jc w:val="left"/>
              <w:textAlignment w:val="center"/>
              <w:rPr>
                <w:rFonts w:ascii="Times New Roman" w:hAnsi="Times New Roman" w:eastAsia="Times New Roman Uni"/>
                <w:color w:val="000000"/>
                <w:kern w:val="0"/>
                <w:sz w:val="20"/>
                <w:szCs w:val="20"/>
              </w:rPr>
            </w:pPr>
          </w:p>
        </w:tc>
        <w:tc>
          <w:tcPr>
            <w:tcW w:w="1695" w:type="dxa"/>
            <w:shd w:val="clear" w:color="auto" w:fill="auto"/>
            <w:vAlign w:val="center"/>
          </w:tcPr>
          <w:p>
            <w:pPr>
              <w:widowControl/>
              <w:jc w:val="left"/>
              <w:textAlignment w:val="center"/>
              <w:rPr>
                <w:rFonts w:ascii="Times New Roman" w:hAnsi="Times New Roman"/>
                <w:color w:val="000000"/>
                <w:kern w:val="0"/>
                <w:sz w:val="20"/>
                <w:szCs w:val="20"/>
              </w:rPr>
            </w:pPr>
            <w:r>
              <w:rPr>
                <w:rFonts w:ascii="Times New Roman" w:hAnsi="Times New Roman"/>
                <w:color w:val="000000"/>
                <w:kern w:val="0"/>
                <w:sz w:val="20"/>
                <w:szCs w:val="20"/>
              </w:rPr>
              <w:t>Region% easternl</w:t>
            </w:r>
          </w:p>
        </w:tc>
        <w:tc>
          <w:tcPr>
            <w:tcW w:w="710" w:type="dxa"/>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0.743</w:t>
            </w:r>
          </w:p>
        </w:tc>
        <w:tc>
          <w:tcPr>
            <w:tcW w:w="1863" w:type="dxa"/>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(0.524,0.961)</w:t>
            </w:r>
          </w:p>
        </w:tc>
        <w:tc>
          <w:tcPr>
            <w:tcW w:w="1598" w:type="dxa"/>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&lt;0.001***</w:t>
            </w:r>
          </w:p>
        </w:tc>
      </w:tr>
      <w:tr>
        <w:trPr>
          <w:trHeight w:val="285" w:hRule="atLeast"/>
          <w:jc w:val="center"/>
        </w:trPr>
        <w:tc>
          <w:tcPr>
            <w:tcW w:w="2453" w:type="dxa"/>
            <w:vMerge w:val="continue"/>
            <w:tcBorders>
              <w:bottom w:val="single" w:color="auto" w:sz="4" w:space="0"/>
            </w:tcBorders>
            <w:shd w:val="clear" w:color="auto" w:fill="auto"/>
          </w:tcPr>
          <w:p>
            <w:pPr>
              <w:widowControl/>
              <w:jc w:val="left"/>
              <w:textAlignment w:val="center"/>
              <w:rPr>
                <w:rFonts w:ascii="Times New Roman" w:hAnsi="Times New Roman" w:eastAsia="Times New Roman Uni"/>
                <w:color w:val="000000"/>
                <w:kern w:val="0"/>
                <w:sz w:val="20"/>
                <w:szCs w:val="20"/>
              </w:rPr>
            </w:pPr>
          </w:p>
        </w:tc>
        <w:tc>
          <w:tcPr>
            <w:tcW w:w="1695" w:type="dxa"/>
            <w:tcBorders>
              <w:bottom w:val="single" w:color="auto" w:sz="4" w:space="0"/>
            </w:tcBorders>
            <w:shd w:val="clear" w:color="auto" w:fill="auto"/>
            <w:vAlign w:val="center"/>
          </w:tcPr>
          <w:p>
            <w:pPr>
              <w:widowControl/>
              <w:jc w:val="left"/>
              <w:textAlignment w:val="center"/>
              <w:rPr>
                <w:rFonts w:ascii="Times New Roman" w:hAnsi="Times New Roman"/>
                <w:color w:val="000000"/>
                <w:kern w:val="0"/>
                <w:sz w:val="20"/>
                <w:szCs w:val="20"/>
              </w:rPr>
            </w:pPr>
            <w:r>
              <w:rPr>
                <w:rFonts w:ascii="Times New Roman" w:hAnsi="Times New Roman"/>
                <w:color w:val="000000"/>
                <w:kern w:val="0"/>
                <w:sz w:val="20"/>
                <w:szCs w:val="20"/>
              </w:rPr>
              <w:t>Region% western</w:t>
            </w:r>
          </w:p>
        </w:tc>
        <w:tc>
          <w:tcPr>
            <w:tcW w:w="710" w:type="dxa"/>
            <w:tcBorders>
              <w:bottom w:val="single" w:color="auto" w:sz="4" w:space="0"/>
            </w:tcBorders>
            <w:shd w:val="clear" w:color="auto" w:fill="auto"/>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-0.0001</w:t>
            </w:r>
          </w:p>
        </w:tc>
        <w:tc>
          <w:tcPr>
            <w:tcW w:w="1863" w:type="dxa"/>
            <w:tcBorders>
              <w:bottom w:val="single" w:color="auto" w:sz="4" w:space="0"/>
            </w:tcBorders>
            <w:shd w:val="clear" w:color="auto" w:fill="auto"/>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(-0.310,0.310)</w:t>
            </w:r>
          </w:p>
        </w:tc>
        <w:tc>
          <w:tcPr>
            <w:tcW w:w="1598" w:type="dxa"/>
            <w:tcBorders>
              <w:bottom w:val="single" w:color="auto" w:sz="4" w:space="0"/>
            </w:tcBorders>
            <w:shd w:val="clear" w:color="auto" w:fill="auto"/>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0.999</w:t>
            </w:r>
          </w:p>
        </w:tc>
      </w:tr>
      <w:tr>
        <w:trPr>
          <w:trHeight w:val="285" w:hRule="atLeast"/>
          <w:jc w:val="center"/>
        </w:trPr>
        <w:tc>
          <w:tcPr>
            <w:tcW w:w="2453" w:type="dxa"/>
            <w:vMerge w:val="restart"/>
            <w:tcBorders>
              <w:top w:val="single" w:color="auto" w:sz="4" w:space="0"/>
              <w:bottom w:val="single" w:color="000000" w:sz="4" w:space="0"/>
            </w:tcBorders>
            <w:shd w:val="clear" w:color="auto" w:fill="auto"/>
            <w:vAlign w:val="center"/>
          </w:tcPr>
          <w:p>
            <w:pPr>
              <w:widowControl/>
              <w:jc w:val="left"/>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thyroid dysgenesis proportion</w:t>
            </w:r>
          </w:p>
        </w:tc>
        <w:tc>
          <w:tcPr>
            <w:tcW w:w="1695" w:type="dxa"/>
            <w:tcBorders>
              <w:top w:val="single" w:color="auto" w:sz="4" w:space="0"/>
            </w:tcBorders>
            <w:shd w:val="clear" w:color="auto" w:fill="auto"/>
            <w:vAlign w:val="center"/>
          </w:tcPr>
          <w:p>
            <w:pPr>
              <w:widowControl/>
              <w:jc w:val="left"/>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Year</w:t>
            </w:r>
          </w:p>
        </w:tc>
        <w:tc>
          <w:tcPr>
            <w:tcW w:w="710" w:type="dxa"/>
            <w:tcBorders>
              <w:top w:val="single" w:color="auto" w:sz="4" w:space="0"/>
            </w:tcBorders>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0.0614</w:t>
            </w:r>
          </w:p>
        </w:tc>
        <w:tc>
          <w:tcPr>
            <w:tcW w:w="1863" w:type="dxa"/>
            <w:tcBorders>
              <w:top w:val="single" w:color="auto" w:sz="4" w:space="0"/>
            </w:tcBorders>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(-0.016,0.139)</w:t>
            </w:r>
          </w:p>
        </w:tc>
        <w:tc>
          <w:tcPr>
            <w:tcW w:w="1598" w:type="dxa"/>
            <w:tcBorders>
              <w:top w:val="single" w:color="auto" w:sz="4" w:space="0"/>
            </w:tcBorders>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0.114</w:t>
            </w:r>
          </w:p>
        </w:tc>
      </w:tr>
      <w:tr>
        <w:trPr>
          <w:trHeight w:val="285" w:hRule="atLeast"/>
          <w:jc w:val="center"/>
        </w:trPr>
        <w:tc>
          <w:tcPr>
            <w:tcW w:w="2453" w:type="dxa"/>
            <w:vMerge w:val="continue"/>
            <w:tcBorders>
              <w:bottom w:val="single" w:color="000000" w:sz="4" w:space="0"/>
            </w:tcBorders>
            <w:shd w:val="clear" w:color="auto" w:fill="auto"/>
            <w:vAlign w:val="center"/>
          </w:tcPr>
          <w:p>
            <w:pPr>
              <w:widowControl/>
              <w:jc w:val="left"/>
              <w:textAlignment w:val="center"/>
              <w:rPr>
                <w:rFonts w:ascii="Times New Roman" w:hAnsi="Times New Roman" w:eastAsia="Times New Roman Uni"/>
                <w:color w:val="000000"/>
                <w:kern w:val="0"/>
                <w:sz w:val="20"/>
                <w:szCs w:val="20"/>
              </w:rPr>
            </w:pPr>
          </w:p>
        </w:tc>
        <w:tc>
          <w:tcPr>
            <w:tcW w:w="1695" w:type="dxa"/>
            <w:tcBorders>
              <w:bottom w:val="nil"/>
            </w:tcBorders>
            <w:shd w:val="clear" w:color="auto" w:fill="auto"/>
            <w:vAlign w:val="center"/>
          </w:tcPr>
          <w:p>
            <w:pPr>
              <w:widowControl/>
              <w:jc w:val="left"/>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TSH cutoff value</w:t>
            </w:r>
          </w:p>
        </w:tc>
        <w:tc>
          <w:tcPr>
            <w:tcW w:w="710" w:type="dxa"/>
            <w:tcBorders>
              <w:bottom w:val="nil"/>
            </w:tcBorders>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0.0406</w:t>
            </w:r>
          </w:p>
        </w:tc>
        <w:tc>
          <w:tcPr>
            <w:tcW w:w="1863" w:type="dxa"/>
            <w:tcBorders>
              <w:bottom w:val="nil"/>
            </w:tcBorders>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(-0.149,0.230)</w:t>
            </w:r>
          </w:p>
        </w:tc>
        <w:tc>
          <w:tcPr>
            <w:tcW w:w="1598" w:type="dxa"/>
            <w:tcBorders>
              <w:bottom w:val="nil"/>
            </w:tcBorders>
            <w:shd w:val="clear" w:color="auto" w:fill="auto"/>
            <w:vAlign w:val="center"/>
          </w:tcPr>
          <w:p>
            <w:pPr>
              <w:widowControl/>
              <w:jc w:val="center"/>
              <w:textAlignment w:val="center"/>
              <w:rPr>
                <w:rFonts w:ascii="Times New Roman" w:hAnsi="Times New Roman" w:eastAsia="Times New Roman Uni"/>
                <w:color w:val="000000"/>
                <w:kern w:val="0"/>
                <w:sz w:val="20"/>
                <w:szCs w:val="20"/>
              </w:rPr>
            </w:pPr>
            <w:r>
              <w:rPr>
                <w:rFonts w:ascii="Times New Roman" w:hAnsi="Times New Roman" w:eastAsia="Times New Roman Uni"/>
                <w:color w:val="000000"/>
                <w:kern w:val="0"/>
                <w:sz w:val="20"/>
                <w:szCs w:val="20"/>
              </w:rPr>
              <w:t>0.66</w:t>
            </w:r>
          </w:p>
        </w:tc>
      </w:tr>
      <w:tr>
        <w:trPr>
          <w:trHeight w:val="285" w:hRule="atLeast"/>
          <w:jc w:val="center"/>
        </w:trPr>
        <w:tc>
          <w:tcPr>
            <w:tcW w:w="2453" w:type="dxa"/>
            <w:vMerge w:val="continue"/>
            <w:tcBorders>
              <w:bottom w:val="single" w:color="000000" w:sz="4" w:space="0"/>
            </w:tcBorders>
            <w:shd w:val="clear" w:color="auto" w:fill="auto"/>
            <w:vAlign w:val="center"/>
          </w:tcPr>
          <w:p>
            <w:pPr>
              <w:widowControl/>
              <w:jc w:val="left"/>
              <w:textAlignment w:val="center"/>
              <w:rPr>
                <w:rFonts w:ascii="Times New Roman" w:hAnsi="Times New Roman" w:eastAsia="Times New Roman Uni"/>
                <w:color w:val="000000"/>
                <w:kern w:val="0"/>
                <w:sz w:val="20"/>
                <w:szCs w:val="20"/>
              </w:rPr>
            </w:pPr>
          </w:p>
        </w:tc>
        <w:tc>
          <w:tcPr>
            <w:tcW w:w="1695" w:type="dxa"/>
            <w:tcBorders>
              <w:top w:val="nil"/>
              <w:bottom w:val="nil"/>
            </w:tcBorders>
            <w:shd w:val="clear" w:color="auto" w:fill="auto"/>
            <w:vAlign w:val="center"/>
          </w:tcPr>
          <w:p>
            <w:pPr>
              <w:widowControl/>
              <w:jc w:val="left"/>
              <w:textAlignment w:val="center"/>
              <w:rPr>
                <w:rFonts w:ascii="Times New Roman" w:hAnsi="Times New Roman"/>
                <w:color w:val="000000"/>
                <w:kern w:val="0"/>
                <w:sz w:val="20"/>
                <w:szCs w:val="20"/>
              </w:rPr>
            </w:pPr>
            <w:r>
              <w:rPr>
                <w:rFonts w:ascii="Times New Roman" w:hAnsi="Times New Roman"/>
                <w:color w:val="000000"/>
                <w:kern w:val="0"/>
                <w:sz w:val="20"/>
                <w:szCs w:val="20"/>
              </w:rPr>
              <w:t>Region% central</w:t>
            </w:r>
          </w:p>
        </w:tc>
        <w:tc>
          <w:tcPr>
            <w:tcW w:w="710" w:type="dxa"/>
            <w:tcBorders>
              <w:top w:val="nil"/>
              <w:bottom w:val="nil"/>
            </w:tcBorders>
            <w:shd w:val="clear" w:color="auto" w:fill="auto"/>
            <w:vAlign w:val="center"/>
          </w:tcPr>
          <w:p>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Ref.</w:t>
            </w:r>
          </w:p>
        </w:tc>
        <w:tc>
          <w:tcPr>
            <w:tcW w:w="1863" w:type="dxa"/>
            <w:tcBorders>
              <w:top w:val="nil"/>
              <w:bottom w:val="nil"/>
            </w:tcBorders>
            <w:shd w:val="clear" w:color="auto" w:fill="auto"/>
            <w:vAlign w:val="center"/>
          </w:tcPr>
          <w:p>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1.00</w:t>
            </w:r>
          </w:p>
        </w:tc>
        <w:tc>
          <w:tcPr>
            <w:tcW w:w="1598" w:type="dxa"/>
            <w:tcBorders>
              <w:top w:val="nil"/>
              <w:bottom w:val="nil"/>
            </w:tcBorders>
            <w:shd w:val="clear" w:color="auto" w:fill="auto"/>
            <w:vAlign w:val="center"/>
          </w:tcPr>
          <w:p>
            <w:pPr>
              <w:widowControl/>
              <w:jc w:val="center"/>
              <w:textAlignment w:val="center"/>
              <w:rPr>
                <w:rFonts w:ascii="Times New Roman" w:hAnsi="Times New Roman" w:eastAsia="Times New Roman Uni"/>
                <w:color w:val="000000"/>
                <w:kern w:val="0"/>
                <w:sz w:val="20"/>
                <w:szCs w:val="20"/>
              </w:rPr>
            </w:pPr>
          </w:p>
        </w:tc>
      </w:tr>
      <w:tr>
        <w:trPr>
          <w:trHeight w:val="285" w:hRule="atLeast"/>
          <w:jc w:val="center"/>
        </w:trPr>
        <w:tc>
          <w:tcPr>
            <w:tcW w:w="2453" w:type="dxa"/>
            <w:vMerge w:val="continue"/>
            <w:tcBorders>
              <w:bottom w:val="single" w:color="000000" w:sz="4" w:space="0"/>
            </w:tcBorders>
            <w:shd w:val="clear" w:color="auto" w:fill="auto"/>
            <w:vAlign w:val="center"/>
          </w:tcPr>
          <w:p>
            <w:pPr>
              <w:widowControl/>
              <w:jc w:val="left"/>
              <w:textAlignment w:val="center"/>
              <w:rPr>
                <w:rFonts w:ascii="Times New Roman" w:hAnsi="Times New Roman" w:eastAsia="Times New Roman Uni"/>
                <w:color w:val="000000"/>
                <w:kern w:val="0"/>
                <w:sz w:val="20"/>
                <w:szCs w:val="20"/>
              </w:rPr>
            </w:pPr>
          </w:p>
        </w:tc>
        <w:tc>
          <w:tcPr>
            <w:tcW w:w="1695" w:type="dxa"/>
            <w:tcBorders>
              <w:top w:val="nil"/>
              <w:bottom w:val="nil"/>
            </w:tcBorders>
            <w:shd w:val="clear" w:color="auto" w:fill="auto"/>
            <w:vAlign w:val="center"/>
          </w:tcPr>
          <w:p>
            <w:pPr>
              <w:widowControl/>
              <w:jc w:val="left"/>
              <w:textAlignment w:val="center"/>
              <w:rPr>
                <w:rFonts w:ascii="Times New Roman" w:hAnsi="Times New Roman"/>
                <w:color w:val="000000"/>
                <w:kern w:val="0"/>
                <w:sz w:val="20"/>
                <w:szCs w:val="20"/>
              </w:rPr>
            </w:pPr>
            <w:r>
              <w:rPr>
                <w:rFonts w:ascii="Times New Roman" w:hAnsi="Times New Roman"/>
                <w:color w:val="000000"/>
                <w:kern w:val="0"/>
                <w:sz w:val="20"/>
                <w:szCs w:val="20"/>
              </w:rPr>
              <w:t>Region% easternl</w:t>
            </w:r>
          </w:p>
        </w:tc>
        <w:tc>
          <w:tcPr>
            <w:tcW w:w="710" w:type="dxa"/>
            <w:tcBorders>
              <w:top w:val="nil"/>
              <w:bottom w:val="nil"/>
            </w:tcBorders>
            <w:shd w:val="clear" w:color="auto" w:fill="auto"/>
            <w:vAlign w:val="center"/>
          </w:tcPr>
          <w:p>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0.379</w:t>
            </w:r>
          </w:p>
        </w:tc>
        <w:tc>
          <w:tcPr>
            <w:tcW w:w="1863" w:type="dxa"/>
            <w:tcBorders>
              <w:top w:val="nil"/>
              <w:bottom w:val="nil"/>
            </w:tcBorders>
            <w:shd w:val="clear" w:color="auto" w:fill="auto"/>
            <w:vAlign w:val="center"/>
          </w:tcPr>
          <w:p>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(-1.443,2.202)</w:t>
            </w:r>
          </w:p>
        </w:tc>
        <w:tc>
          <w:tcPr>
            <w:tcW w:w="1598" w:type="dxa"/>
            <w:tcBorders>
              <w:top w:val="nil"/>
              <w:bottom w:val="nil"/>
            </w:tcBorders>
            <w:shd w:val="clear" w:color="auto" w:fill="auto"/>
            <w:vAlign w:val="center"/>
          </w:tcPr>
          <w:p>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0.668</w:t>
            </w:r>
          </w:p>
        </w:tc>
      </w:tr>
      <w:tr>
        <w:trPr>
          <w:trHeight w:val="285" w:hRule="atLeast"/>
          <w:jc w:val="center"/>
        </w:trPr>
        <w:tc>
          <w:tcPr>
            <w:tcW w:w="2453" w:type="dxa"/>
            <w:vMerge w:val="continue"/>
            <w:tcBorders>
              <w:bottom w:val="single" w:color="000000" w:sz="4" w:space="0"/>
            </w:tcBorders>
            <w:shd w:val="clear" w:color="auto" w:fill="auto"/>
            <w:vAlign w:val="center"/>
          </w:tcPr>
          <w:p>
            <w:pPr>
              <w:widowControl/>
              <w:jc w:val="left"/>
              <w:textAlignment w:val="center"/>
              <w:rPr>
                <w:rFonts w:ascii="Times New Roman" w:hAnsi="Times New Roman" w:eastAsia="Times New Roman Uni"/>
                <w:color w:val="000000"/>
                <w:kern w:val="0"/>
                <w:sz w:val="20"/>
                <w:szCs w:val="20"/>
              </w:rPr>
            </w:pPr>
          </w:p>
        </w:tc>
        <w:tc>
          <w:tcPr>
            <w:tcW w:w="1695" w:type="dxa"/>
            <w:tcBorders>
              <w:top w:val="nil"/>
              <w:bottom w:val="single" w:color="000000" w:sz="4" w:space="0"/>
            </w:tcBorders>
            <w:shd w:val="clear" w:color="auto" w:fill="auto"/>
            <w:vAlign w:val="center"/>
          </w:tcPr>
          <w:p>
            <w:pPr>
              <w:widowControl/>
              <w:jc w:val="left"/>
              <w:textAlignment w:val="center"/>
              <w:rPr>
                <w:rFonts w:ascii="Times New Roman" w:hAnsi="Times New Roman"/>
                <w:color w:val="000000"/>
                <w:kern w:val="0"/>
                <w:sz w:val="20"/>
                <w:szCs w:val="20"/>
              </w:rPr>
            </w:pPr>
            <w:r>
              <w:rPr>
                <w:rFonts w:ascii="Times New Roman" w:hAnsi="Times New Roman"/>
                <w:color w:val="000000"/>
                <w:kern w:val="0"/>
                <w:sz w:val="20"/>
                <w:szCs w:val="20"/>
              </w:rPr>
              <w:t>Region% western</w:t>
            </w:r>
          </w:p>
        </w:tc>
        <w:tc>
          <w:tcPr>
            <w:tcW w:w="710" w:type="dxa"/>
            <w:tcBorders>
              <w:top w:val="nil"/>
              <w:bottom w:val="single" w:color="000000" w:sz="4" w:space="0"/>
            </w:tcBorders>
            <w:shd w:val="clear" w:color="auto" w:fill="auto"/>
            <w:vAlign w:val="center"/>
          </w:tcPr>
          <w:p>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0.346</w:t>
            </w:r>
          </w:p>
        </w:tc>
        <w:tc>
          <w:tcPr>
            <w:tcW w:w="1863" w:type="dxa"/>
            <w:tcBorders>
              <w:top w:val="nil"/>
              <w:bottom w:val="single" w:color="000000" w:sz="4" w:space="0"/>
            </w:tcBorders>
            <w:shd w:val="clear" w:color="auto" w:fill="auto"/>
            <w:vAlign w:val="center"/>
          </w:tcPr>
          <w:p>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(-1.759,2.250)</w:t>
            </w:r>
          </w:p>
        </w:tc>
        <w:tc>
          <w:tcPr>
            <w:tcW w:w="1598" w:type="dxa"/>
            <w:tcBorders>
              <w:top w:val="nil"/>
              <w:bottom w:val="single" w:color="000000" w:sz="4" w:space="0"/>
            </w:tcBorders>
            <w:shd w:val="clear" w:color="auto" w:fill="auto"/>
            <w:vAlign w:val="center"/>
          </w:tcPr>
          <w:p>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0.735</w:t>
            </w:r>
          </w:p>
        </w:tc>
      </w:tr>
    </w:tbl>
    <w:p>
      <w:pPr>
        <w:rPr>
          <w:rFonts w:ascii="Times New Roman" w:hAnsi="Times New Roman"/>
          <w:sz w:val="20"/>
          <w:szCs w:val="20"/>
        </w:rPr>
      </w:pPr>
    </w:p>
    <w:p>
      <w:pPr>
        <w:rPr>
          <w:rFonts w:ascii="Times New Roman" w:hAnsi="Times New Roman"/>
          <w:sz w:val="20"/>
          <w:szCs w:val="20"/>
        </w:rPr>
      </w:pPr>
    </w:p>
    <w:p>
      <w:pPr>
        <w:rPr>
          <w:sz w:val="20"/>
          <w:szCs w:val="20"/>
        </w:rPr>
      </w:pPr>
    </w:p>
    <w:p>
      <w:pPr>
        <w:rPr>
          <w:rFonts w:ascii="Times New Roman" w:hAnsi="Times New Roman"/>
          <w:b/>
          <w:kern w:val="44"/>
          <w:sz w:val="20"/>
          <w:szCs w:val="20"/>
        </w:rPr>
      </w:pPr>
      <w:r>
        <w:rPr>
          <w:sz w:val="20"/>
          <w:szCs w:val="20"/>
        </w:rPr>
        <w:fldChar w:fldCharType="end"/>
      </w:r>
    </w:p>
    <w:p>
      <w:pPr>
        <w:spacing w:line="480" w:lineRule="auto"/>
        <w:rPr>
          <w:rFonts w:ascii="Times New Roman" w:hAnsi="Times New Roman"/>
          <w:b/>
          <w:kern w:val="44"/>
          <w:sz w:val="20"/>
          <w:szCs w:val="2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Times New Roman Regular">
    <w:panose1 w:val="02020603050405020304"/>
    <w:charset w:val="00"/>
    <w:family w:val="auto"/>
    <w:pitch w:val="default"/>
    <w:sig w:usb0="00000000" w:usb1="00000000" w:usb2="00000000" w:usb3="00000000" w:csb0="00000000" w:csb1="00000000"/>
  </w:font>
  <w:font w:name="Calibri Light">
    <w:altName w:val="Helvetica Neue"/>
    <w:panose1 w:val="020F0302020204030204"/>
    <w:charset w:val="00"/>
    <w:family w:val="swiss"/>
    <w:pitch w:val="default"/>
    <w:sig w:usb0="00000000" w:usb1="00000000" w:usb2="00000009" w:usb3="00000000" w:csb0="000001FF" w:csb1="00000000"/>
  </w:font>
  <w:font w:name="Cambria Math">
    <w:altName w:val="Kingsoft Math"/>
    <w:panose1 w:val="02040503050406030204"/>
    <w:charset w:val="00"/>
    <w:family w:val="roman"/>
    <w:pitch w:val="default"/>
    <w:sig w:usb0="00000000" w:usb1="00000000" w:usb2="02000000" w:usb3="00000000" w:csb0="0000019F" w:csb1="00000000"/>
  </w:font>
  <w:font w:name="Kingsoft Math">
    <w:panose1 w:val="02040503050406030204"/>
    <w:charset w:val="00"/>
    <w:family w:val="auto"/>
    <w:pitch w:val="default"/>
    <w:sig w:usb0="00000000" w:usb1="00000000" w:usb2="00000000" w:usb3="00000000" w:csb0="00000000" w:csb1="00000000"/>
  </w:font>
  <w:font w:name="Times New Roman Uni">
    <w:altName w:val="Times"/>
    <w:panose1 w:val="00000000000000000000"/>
    <w:charset w:val="00"/>
    <w:family w:val="auto"/>
    <w:pitch w:val="default"/>
    <w:sig w:usb0="00000000" w:usb1="00000000" w:usb2="00000009" w:usb3="00000000" w:csb0="000001FF" w:csb1="00000000"/>
  </w:font>
  <w:font w:name="Times">
    <w:panose1 w:val="00000500000000020000"/>
    <w:charset w:val="00"/>
    <w:family w:val="auto"/>
    <w:pitch w:val="default"/>
    <w:sig w:usb0="00000000" w:usb1="00000000" w:usb2="00000000" w:usb3="00000000" w:csb0="00000000"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 w:name="DejaVu Math TeX Gyre">
    <w:panose1 w:val="02000503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XDIm4LAIAAFU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odcsCxv9YHmEjuJ5u9wHCJh0jaL0Spy1QrelypwnI7bzn/sU9fg3WP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BcMibgsAgAAVQQAAA4AAAAAAAAAAQAgAAAANQEAAGRy&#10;cy9lMm9Eb2MueG1sUEsFBgAAAAAGAAYAWQEAANM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3NjVkZDUxMjE4NzQ0MjFiYmE0OGY0MjdhZDM0Y2QifQ=="/>
    <w:docVar w:name="EN.Layout" w:val="&lt;ENLayout&gt;&lt;Style&gt;Vancouver（superscript）&lt;/Style&gt;&lt;LeftDelim&gt;{&lt;/LeftDelim&gt;&lt;RightDelim&gt;}&lt;/RightDelim&gt;&lt;FontName&gt;Calibri&lt;/FontName&gt;&lt;FontSize&gt;2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aaxvrf0hxt091ezxppx9stl0frfaws52rxf&quot;&gt;CH trend&lt;record-ids&gt;&lt;item&gt;18&lt;/item&gt;&lt;item&gt;41&lt;/item&gt;&lt;item&gt;84&lt;/item&gt;&lt;/record-ids&gt;&lt;/item&gt;&lt;/Libraries&gt;"/>
  </w:docVars>
  <w:rsids>
    <w:rsidRoot w:val="7D976404"/>
    <w:rsid w:val="000F4322"/>
    <w:rsid w:val="00320107"/>
    <w:rsid w:val="00404BE4"/>
    <w:rsid w:val="0047469F"/>
    <w:rsid w:val="0054510C"/>
    <w:rsid w:val="006C6384"/>
    <w:rsid w:val="00974523"/>
    <w:rsid w:val="00B15E8A"/>
    <w:rsid w:val="00BD1627"/>
    <w:rsid w:val="00BF3B61"/>
    <w:rsid w:val="00C655F7"/>
    <w:rsid w:val="035F4934"/>
    <w:rsid w:val="0AA2683F"/>
    <w:rsid w:val="12BA3EE4"/>
    <w:rsid w:val="13086525"/>
    <w:rsid w:val="18B052B3"/>
    <w:rsid w:val="1A6655F6"/>
    <w:rsid w:val="1B651D82"/>
    <w:rsid w:val="1BA96903"/>
    <w:rsid w:val="246544B3"/>
    <w:rsid w:val="24E5004C"/>
    <w:rsid w:val="2A8360CD"/>
    <w:rsid w:val="2AE71F62"/>
    <w:rsid w:val="3628478F"/>
    <w:rsid w:val="363B44C3"/>
    <w:rsid w:val="37CADB99"/>
    <w:rsid w:val="37F2DF77"/>
    <w:rsid w:val="385C567E"/>
    <w:rsid w:val="3BF78E06"/>
    <w:rsid w:val="3C087143"/>
    <w:rsid w:val="3DFF0712"/>
    <w:rsid w:val="436A713F"/>
    <w:rsid w:val="4696034F"/>
    <w:rsid w:val="55DB3A90"/>
    <w:rsid w:val="560721BC"/>
    <w:rsid w:val="573A7A9A"/>
    <w:rsid w:val="57DD4006"/>
    <w:rsid w:val="57FD73D2"/>
    <w:rsid w:val="591C4D83"/>
    <w:rsid w:val="59FE75B5"/>
    <w:rsid w:val="5B647768"/>
    <w:rsid w:val="5B9D37E9"/>
    <w:rsid w:val="6141796A"/>
    <w:rsid w:val="618B5A4F"/>
    <w:rsid w:val="646B7BC7"/>
    <w:rsid w:val="71760CA6"/>
    <w:rsid w:val="73683C75"/>
    <w:rsid w:val="76C23869"/>
    <w:rsid w:val="76FFF0F1"/>
    <w:rsid w:val="7BFFD370"/>
    <w:rsid w:val="7C89336A"/>
    <w:rsid w:val="7D976404"/>
    <w:rsid w:val="7E771146"/>
    <w:rsid w:val="AD2DAC28"/>
    <w:rsid w:val="DF77B4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toc 3"/>
    <w:basedOn w:val="1"/>
    <w:next w:val="1"/>
    <w:unhideWhenUsed/>
    <w:qFormat/>
    <w:uiPriority w:val="39"/>
    <w:pPr>
      <w:widowControl/>
      <w:spacing w:after="100" w:line="276" w:lineRule="auto"/>
      <w:ind w:left="440"/>
      <w:jc w:val="left"/>
    </w:pPr>
    <w:rPr>
      <w:kern w:val="0"/>
      <w:sz w:val="22"/>
      <w:szCs w:val="22"/>
    </w:rPr>
  </w:style>
  <w:style w:type="paragraph" w:styleId="4">
    <w:name w:val="Balloon Text"/>
    <w:basedOn w:val="1"/>
    <w:link w:val="17"/>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qFormat/>
    <w:uiPriority w:val="39"/>
  </w:style>
  <w:style w:type="paragraph" w:styleId="8">
    <w:name w:val="toc 2"/>
    <w:basedOn w:val="1"/>
    <w:next w:val="1"/>
    <w:unhideWhenUsed/>
    <w:qFormat/>
    <w:uiPriority w:val="39"/>
    <w:pPr>
      <w:widowControl/>
      <w:spacing w:after="100" w:line="276" w:lineRule="auto"/>
      <w:ind w:left="220"/>
      <w:jc w:val="left"/>
    </w:pPr>
    <w:rPr>
      <w:kern w:val="0"/>
      <w:sz w:val="22"/>
      <w:szCs w:val="22"/>
    </w:r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paragraph" w:customStyle="1" w:styleId="12">
    <w:name w:val="EndNote Bibliography"/>
    <w:link w:val="19"/>
    <w:qFormat/>
    <w:uiPriority w:val="0"/>
    <w:pPr>
      <w:jc w:val="both"/>
    </w:pPr>
    <w:rPr>
      <w:rFonts w:ascii="Calibri" w:hAnsi="Calibri" w:eastAsia="宋体" w:cs="Calibri"/>
      <w:kern w:val="2"/>
      <w:sz w:val="44"/>
      <w:szCs w:val="24"/>
      <w:lang w:val="en-US" w:eastAsia="zh-CN" w:bidi="ar-SA"/>
    </w:rPr>
  </w:style>
  <w:style w:type="character" w:customStyle="1" w:styleId="13">
    <w:name w:val="q4iawc"/>
    <w:basedOn w:val="10"/>
    <w:qFormat/>
    <w:uiPriority w:val="0"/>
  </w:style>
  <w:style w:type="character" w:customStyle="1" w:styleId="14">
    <w:name w:val="font21"/>
    <w:basedOn w:val="10"/>
    <w:qFormat/>
    <w:uiPriority w:val="0"/>
    <w:rPr>
      <w:rFonts w:hint="default" w:ascii="Times New Roman Regular" w:hAnsi="Times New Roman Regular" w:eastAsia="Times New Roman Regular" w:cs="Times New Roman Regular"/>
      <w:color w:val="000000"/>
      <w:sz w:val="20"/>
      <w:szCs w:val="20"/>
      <w:u w:val="none"/>
    </w:rPr>
  </w:style>
  <w:style w:type="character" w:customStyle="1" w:styleId="15">
    <w:name w:val="font01"/>
    <w:basedOn w:val="10"/>
    <w:qFormat/>
    <w:uiPriority w:val="0"/>
    <w:rPr>
      <w:rFonts w:hint="default" w:ascii="Times New Roman" w:hAnsi="Times New Roman" w:cs="Times New Roman"/>
      <w:color w:val="000000"/>
      <w:sz w:val="21"/>
      <w:szCs w:val="21"/>
      <w:u w:val="none"/>
      <w:vertAlign w:val="superscript"/>
    </w:rPr>
  </w:style>
  <w:style w:type="character" w:customStyle="1" w:styleId="16">
    <w:name w:val="font41"/>
    <w:basedOn w:val="10"/>
    <w:qFormat/>
    <w:uiPriority w:val="0"/>
    <w:rPr>
      <w:rFonts w:hint="default" w:ascii="Times New Roman" w:hAnsi="Times New Roman" w:cs="Times New Roman"/>
      <w:color w:val="000000"/>
      <w:sz w:val="21"/>
      <w:szCs w:val="21"/>
      <w:u w:val="none"/>
    </w:rPr>
  </w:style>
  <w:style w:type="character" w:customStyle="1" w:styleId="17">
    <w:name w:val="批注框文本 字符"/>
    <w:basedOn w:val="10"/>
    <w:link w:val="4"/>
    <w:qFormat/>
    <w:uiPriority w:val="0"/>
    <w:rPr>
      <w:rFonts w:asciiTheme="minorHAnsi" w:hAnsiTheme="minorHAnsi" w:eastAsiaTheme="minorEastAsia" w:cstheme="minorBidi"/>
      <w:kern w:val="2"/>
      <w:sz w:val="18"/>
      <w:szCs w:val="18"/>
    </w:rPr>
  </w:style>
  <w:style w:type="paragraph" w:customStyle="1" w:styleId="18">
    <w:name w:val="EndNote Bibliography Title"/>
    <w:basedOn w:val="1"/>
    <w:link w:val="20"/>
    <w:qFormat/>
    <w:uiPriority w:val="0"/>
    <w:pPr>
      <w:jc w:val="center"/>
    </w:pPr>
    <w:rPr>
      <w:rFonts w:ascii="Calibri" w:hAnsi="Calibri" w:cs="Calibri"/>
      <w:sz w:val="44"/>
    </w:rPr>
  </w:style>
  <w:style w:type="character" w:customStyle="1" w:styleId="19">
    <w:name w:val="EndNote Bibliography Char"/>
    <w:basedOn w:val="10"/>
    <w:link w:val="12"/>
    <w:qFormat/>
    <w:uiPriority w:val="0"/>
    <w:rPr>
      <w:rFonts w:ascii="Calibri" w:hAnsi="Calibri" w:cs="Calibri"/>
      <w:kern w:val="2"/>
      <w:sz w:val="44"/>
      <w:szCs w:val="24"/>
    </w:rPr>
  </w:style>
  <w:style w:type="character" w:customStyle="1" w:styleId="20">
    <w:name w:val="EndNote Bibliography Title Char"/>
    <w:basedOn w:val="19"/>
    <w:link w:val="18"/>
    <w:qFormat/>
    <w:uiPriority w:val="0"/>
    <w:rPr>
      <w:rFonts w:ascii="Calibri" w:hAnsi="Calibri" w:cs="Calibri" w:eastAsiaTheme="minorEastAsia"/>
      <w:kern w:val="2"/>
      <w:sz w:val="44"/>
      <w:szCs w:val="24"/>
    </w:rPr>
  </w:style>
  <w:style w:type="paragraph" w:customStyle="1" w:styleId="21">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bCs/>
      <w:color w:val="2E75B6" w:themeColor="accent1" w:themeShade="BF"/>
      <w:kern w:val="0"/>
      <w:sz w:val="28"/>
      <w:szCs w:val="28"/>
    </w:rPr>
  </w:style>
  <w:style w:type="character" w:customStyle="1" w:styleId="22">
    <w:name w:val="font11"/>
    <w:basedOn w:val="10"/>
    <w:uiPriority w:val="0"/>
    <w:rPr>
      <w:rFonts w:hint="default" w:ascii="Times New Roman" w:hAnsi="Times New Roman" w:cs="Times New Roman"/>
      <w:color w:val="000000"/>
      <w:sz w:val="24"/>
      <w:szCs w:val="24"/>
      <w:u w:val="none"/>
    </w:rPr>
  </w:style>
  <w:style w:type="paragraph" w:customStyle="1" w:styleId="23">
    <w:name w:val="Revision"/>
    <w:hidden/>
    <w:semiHidden/>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tiff"/><Relationship Id="rId7" Type="http://schemas.openxmlformats.org/officeDocument/2006/relationships/image" Target="media/image1.tiff"/><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2400</Words>
  <Characters>13684</Characters>
  <Lines>114</Lines>
  <Paragraphs>32</Paragraphs>
  <TotalTime>87</TotalTime>
  <ScaleCrop>false</ScaleCrop>
  <LinksUpToDate>false</LinksUpToDate>
  <CharactersWithSpaces>16052</CharactersWithSpaces>
  <Application>WPS Office_4.6.1.7467_F1E327BC-269C-435d-A152-05C5408002CA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2022-04-28T00:28:00Z</dcterms:created>
  <dc:creator>姚永娜</dc:creator>
  <cp:lastModifiedBy>姚永娜</cp:lastModifiedBy>
  <dcterms:modified xsi:type="dcterms:W3CDTF">2022-10-30T21:28:30Z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905666B1AF1A12B6A9855663CE5C10C4</vt:lpwstr>
  </property>
  <property fmtid="{D5CDD505-2E9C-101B-9397-08002B2CF9AE}" pid="4" name="commondata">
    <vt:lpwstr>eyJoZGlkIjoiYzFhNjhiNjIwZmNkZGIzOGExZDBiMDhhOWRjNWFkNTEifQ==</vt:lpwstr>
  </property>
</Properties>
</file>