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303C7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b/>
          <w:sz w:val="28"/>
          <w:szCs w:val="28"/>
        </w:rPr>
        <w:t>Supplementary Materials</w:t>
      </w:r>
    </w:p>
    <w:p w14:paraId="1074D26C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2FCF2FEB" wp14:editId="3A6E20EA">
            <wp:extent cx="5943600" cy="2133600"/>
            <wp:effectExtent l="0" t="0" r="0" b="0"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B926B7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0F1E23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b/>
          <w:sz w:val="24"/>
          <w:szCs w:val="24"/>
        </w:rPr>
        <w:t>Figure S1. The distribution of C</w:t>
      </w:r>
      <w:r>
        <w:rPr>
          <w:b/>
          <w:sz w:val="24"/>
          <w:szCs w:val="24"/>
          <w:vertAlign w:val="subscript"/>
        </w:rPr>
        <w:t>4</w:t>
      </w:r>
      <w:r>
        <w:rPr>
          <w:b/>
          <w:sz w:val="24"/>
          <w:szCs w:val="24"/>
        </w:rPr>
        <w:t xml:space="preserve"> and C</w:t>
      </w:r>
      <w:r>
        <w:rPr>
          <w:b/>
          <w:sz w:val="24"/>
          <w:szCs w:val="24"/>
          <w:vertAlign w:val="subscript"/>
        </w:rPr>
        <w:t>3</w:t>
      </w:r>
      <w:r>
        <w:rPr>
          <w:b/>
          <w:sz w:val="24"/>
          <w:szCs w:val="24"/>
        </w:rPr>
        <w:t xml:space="preserve"> observations from the TRY database.</w:t>
      </w:r>
      <w:r>
        <w:rPr>
          <w:sz w:val="24"/>
          <w:szCs w:val="24"/>
        </w:rPr>
        <w:t xml:space="preserve">  (a) the spatial distribution of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(red) and C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(gray) observations; (b) the distribution of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(red) and C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(gray) in a climate space.</w:t>
      </w:r>
    </w:p>
    <w:p w14:paraId="5D03EEAB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7AE7FAAC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30888F8C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01F7B977" w14:textId="77777777" w:rsidR="006C1EC7" w:rsidRDefault="006C1EC7" w:rsidP="006C1EC7">
      <w:pPr>
        <w:spacing w:line="30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2DF182FB" wp14:editId="253AA616">
            <wp:extent cx="4872038" cy="2927907"/>
            <wp:effectExtent l="0" t="0" r="0" b="0"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2038" cy="29279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92C846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7519E831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b/>
          <w:sz w:val="24"/>
          <w:szCs w:val="24"/>
        </w:rPr>
        <w:t>Figure S2. The observed relationship between C</w:t>
      </w:r>
      <w:r>
        <w:rPr>
          <w:b/>
          <w:sz w:val="24"/>
          <w:szCs w:val="24"/>
          <w:vertAlign w:val="subscript"/>
        </w:rPr>
        <w:t>4</w:t>
      </w:r>
      <w:r>
        <w:rPr>
          <w:b/>
          <w:sz w:val="24"/>
          <w:szCs w:val="24"/>
        </w:rPr>
        <w:t xml:space="preserve"> species abundance and C</w:t>
      </w:r>
      <w:r>
        <w:rPr>
          <w:b/>
          <w:sz w:val="24"/>
          <w:szCs w:val="24"/>
          <w:vertAlign w:val="subscript"/>
        </w:rPr>
        <w:t>4</w:t>
      </w:r>
      <w:r>
        <w:rPr>
          <w:b/>
          <w:sz w:val="24"/>
          <w:szCs w:val="24"/>
        </w:rPr>
        <w:t xml:space="preserve"> area abundance. </w:t>
      </w:r>
      <w:r>
        <w:rPr>
          <w:sz w:val="24"/>
          <w:szCs w:val="24"/>
        </w:rPr>
        <w:t>Error bars indicate one standard deviation of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area abundance observations under each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species abundance. The shaded area indicates one standard deviation of the slope values of 1000 linear regressions between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species and area abundances. For each regression we fitted randomly sampled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area </w:t>
      </w:r>
      <w:r>
        <w:rPr>
          <w:sz w:val="24"/>
          <w:szCs w:val="24"/>
        </w:rPr>
        <w:lastRenderedPageBreak/>
        <w:t>abundance against the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species abundance. The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area and species abundance observations were acquired from the global nutrient network. </w:t>
      </w:r>
    </w:p>
    <w:p w14:paraId="7DED8A92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1CE9FD1A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579F7DE0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60257BB" wp14:editId="32EC948D">
            <wp:extent cx="5943600" cy="2901315"/>
            <wp:effectExtent l="0" t="0" r="0" b="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CD364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D367514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b/>
          <w:sz w:val="24"/>
          <w:szCs w:val="24"/>
        </w:rPr>
        <w:t>Figure S3. The changes in C</w:t>
      </w:r>
      <w:r>
        <w:rPr>
          <w:b/>
          <w:sz w:val="24"/>
          <w:szCs w:val="24"/>
          <w:vertAlign w:val="subscript"/>
        </w:rPr>
        <w:t>4</w:t>
      </w:r>
      <w:r>
        <w:rPr>
          <w:b/>
          <w:sz w:val="24"/>
          <w:szCs w:val="24"/>
        </w:rPr>
        <w:t xml:space="preserve"> area abundance and photosynthesis from DGVMs. </w:t>
      </w:r>
      <w:r>
        <w:rPr>
          <w:sz w:val="24"/>
          <w:szCs w:val="24"/>
        </w:rPr>
        <w:t>(a) The changes in the area of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natural grasses,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crops and total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, in terms of percentage of global vegetated surface; (e-f) The changes in the photosynthesis (i.e., gross primary productivity) of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natural grasses,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crops and total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photosynthesis, in the unit of percentage of global photosynthesis.</w:t>
      </w:r>
    </w:p>
    <w:p w14:paraId="1D363A43" w14:textId="77777777" w:rsidR="006C1EC7" w:rsidRDefault="006C1EC7" w:rsidP="006C1EC7">
      <w:pPr>
        <w:spacing w:line="300" w:lineRule="auto"/>
        <w:rPr>
          <w:sz w:val="24"/>
          <w:szCs w:val="24"/>
        </w:rPr>
      </w:pPr>
    </w:p>
    <w:p w14:paraId="4465E672" w14:textId="77777777" w:rsidR="006C1EC7" w:rsidRDefault="006C1EC7" w:rsidP="006C1EC7">
      <w:pPr>
        <w:spacing w:line="300" w:lineRule="auto"/>
      </w:pPr>
    </w:p>
    <w:p w14:paraId="14466F8B" w14:textId="77777777" w:rsidR="006C1EC7" w:rsidRDefault="006C1EC7" w:rsidP="006C1EC7">
      <w:pPr>
        <w:spacing w:line="300" w:lineRule="auto"/>
      </w:pPr>
      <w:r>
        <w:rPr>
          <w:noProof/>
        </w:rPr>
        <w:drawing>
          <wp:inline distT="114300" distB="114300" distL="114300" distR="114300" wp14:anchorId="390BA31D" wp14:editId="0E7D6ABA">
            <wp:extent cx="5943600" cy="952500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31EFF3" w14:textId="77777777" w:rsidR="006C1EC7" w:rsidRDefault="006C1EC7" w:rsidP="006C1EC7">
      <w:pPr>
        <w:spacing w:line="30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Figure S4. </w:t>
      </w:r>
      <w:r>
        <w:rPr>
          <w:sz w:val="24"/>
          <w:szCs w:val="24"/>
        </w:rPr>
        <w:t>The changes in the area of three major C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crops from 1992 to 2014. (a) Maize, (b) Millet and (c) Sorghum.</w:t>
      </w:r>
    </w:p>
    <w:p w14:paraId="78D0DB0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EC7"/>
    <w:rsid w:val="006C1EC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929C6"/>
  <w15:chartTrackingRefBased/>
  <w15:docId w15:val="{29D88F8F-9E66-4BCB-9557-17270DE6F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EC7"/>
    <w:pPr>
      <w:spacing w:after="0" w:line="276" w:lineRule="auto"/>
    </w:pPr>
    <w:rPr>
      <w:rFonts w:ascii="Arial" w:eastAsia="Arial" w:hAnsi="Arial" w:cs="Arial"/>
      <w:lang w:val="e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1102</Characters>
  <Application>Microsoft Office Word</Application>
  <DocSecurity>0</DocSecurity>
  <Lines>9</Lines>
  <Paragraphs>2</Paragraphs>
  <ScaleCrop>false</ScaleCrop>
  <Company>Springer Nature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2023-02-01T04:12:00Z</dcterms:created>
  <dcterms:modified xsi:type="dcterms:W3CDTF">2023-02-01T04:12:00Z</dcterms:modified>
</cp:coreProperties>
</file>