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ED6CD" w14:textId="77777777" w:rsidR="007A3E92" w:rsidRDefault="007A3E92" w:rsidP="007A3E92">
      <w:r>
        <w:rPr>
          <w:rFonts w:ascii="Times New Roman" w:hAnsi="Times New Roman" w:cs="Times New Roman"/>
          <w:b/>
        </w:rPr>
        <w:t>Table S1.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000000"/>
        </w:rPr>
        <w:t>3D variables derived from canopy height models of 36 plots used in this study.</w:t>
      </w:r>
    </w:p>
    <w:tbl>
      <w:tblPr>
        <w:tblStyle w:val="Tabladelista2-nfasis3"/>
        <w:tblW w:w="9072" w:type="dxa"/>
        <w:tblLayout w:type="fixed"/>
        <w:tblLook w:val="0000" w:firstRow="0" w:lastRow="0" w:firstColumn="0" w:lastColumn="0" w:noHBand="0" w:noVBand="0"/>
      </w:tblPr>
      <w:tblGrid>
        <w:gridCol w:w="2551"/>
        <w:gridCol w:w="2268"/>
        <w:gridCol w:w="4253"/>
      </w:tblGrid>
      <w:tr w:rsidR="007A3E92" w14:paraId="070B56F4" w14:textId="77777777" w:rsidTr="00581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14:paraId="17231A37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s-CO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val="es-CO"/>
              </w:rPr>
              <w:t xml:space="preserve">Variable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s-CO"/>
              </w:rPr>
              <w:t>name</w:t>
            </w:r>
            <w:proofErr w:type="spellEnd"/>
          </w:p>
        </w:tc>
        <w:tc>
          <w:tcPr>
            <w:tcW w:w="226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14:paraId="38B17C1C" w14:textId="77777777" w:rsidR="007A3E92" w:rsidRDefault="007A3E92" w:rsidP="00581A00">
            <w:pPr>
              <w:suppressAutoHyphens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s-CO"/>
              </w:rPr>
              <w:t>Units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 w:themeFill="background1"/>
          </w:tcPr>
          <w:p w14:paraId="0BF31222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000000"/>
                <w:lang w:val="es-CO"/>
              </w:rPr>
              <w:t>Description</w:t>
            </w:r>
            <w:proofErr w:type="spellEnd"/>
          </w:p>
        </w:tc>
      </w:tr>
      <w:tr w:rsidR="007A3E92" w14:paraId="580A4B4F" w14:textId="77777777" w:rsidTr="00581A00">
        <w:trPr>
          <w:trHeight w:val="4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single" w:sz="12" w:space="0" w:color="000000"/>
              <w:bottom w:val="nil"/>
            </w:tcBorders>
            <w:shd w:val="clear" w:color="auto" w:fill="FFFFFF" w:themeFill="background1"/>
            <w:vAlign w:val="center"/>
          </w:tcPr>
          <w:p w14:paraId="591395BF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hmean</w:t>
            </w:r>
            <w:proofErr w:type="spellEnd"/>
          </w:p>
        </w:tc>
        <w:tc>
          <w:tcPr>
            <w:tcW w:w="2268" w:type="dxa"/>
            <w:tcBorders>
              <w:top w:val="single" w:sz="12" w:space="0" w:color="000000"/>
              <w:bottom w:val="nil"/>
            </w:tcBorders>
            <w:shd w:val="clear" w:color="auto" w:fill="FFFFFF" w:themeFill="background1"/>
            <w:vAlign w:val="center"/>
          </w:tcPr>
          <w:p w14:paraId="5F64A8AF" w14:textId="77777777" w:rsidR="007A3E92" w:rsidRDefault="007A3E92" w:rsidP="00581A00">
            <w:pPr>
              <w:suppressAutoHyphens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3" w:type="dxa"/>
            <w:tcBorders>
              <w:top w:val="single" w:sz="12" w:space="0" w:color="000000"/>
              <w:bottom w:val="nil"/>
            </w:tcBorders>
            <w:shd w:val="clear" w:color="auto" w:fill="FFFFFF" w:themeFill="background1"/>
            <w:vAlign w:val="center"/>
          </w:tcPr>
          <w:p w14:paraId="33A83BC9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Mean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height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Canopy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Height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Model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(CHM).</w:t>
            </w:r>
          </w:p>
        </w:tc>
      </w:tr>
      <w:tr w:rsidR="007A3E92" w14:paraId="5CBC15B8" w14:textId="77777777" w:rsidTr="00581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DF805DF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hsd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F05EC44" w14:textId="77777777" w:rsidR="007A3E92" w:rsidRDefault="007A3E92" w:rsidP="00581A00">
            <w:pPr>
              <w:suppressAutoHyphens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3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145C5A5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Standard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deviation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height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in CHM</w:t>
            </w:r>
          </w:p>
        </w:tc>
      </w:tr>
      <w:tr w:rsidR="007A3E92" w14:paraId="1171B4D0" w14:textId="77777777" w:rsidTr="00581A00">
        <w:trPr>
          <w:trHeight w:val="1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69A1853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hskew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0A3F1E2" w14:textId="77777777" w:rsidR="007A3E92" w:rsidRDefault="007A3E92" w:rsidP="00581A00">
            <w:pPr>
              <w:suppressAutoHyphens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unitless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3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C833AC0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Skewness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distribution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heights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in CHM</w:t>
            </w:r>
          </w:p>
        </w:tc>
      </w:tr>
      <w:tr w:rsidR="007A3E92" w14:paraId="5FFE38EA" w14:textId="77777777" w:rsidTr="00581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23259F7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hmax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0B240BA" w14:textId="77777777" w:rsidR="007A3E92" w:rsidRDefault="007A3E92" w:rsidP="00581A00">
            <w:pPr>
              <w:suppressAutoHyphens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3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016A2446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Maximum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height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in CHM</w:t>
            </w:r>
          </w:p>
        </w:tc>
      </w:tr>
      <w:tr w:rsidR="007A3E92" w14:paraId="61329669" w14:textId="77777777" w:rsidTr="00581A00">
        <w:trPr>
          <w:trHeight w:val="43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36DA5EA6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hentropy</w:t>
            </w:r>
            <w:proofErr w:type="spellEnd"/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26DCBFC" w14:textId="77777777" w:rsidR="007A3E92" w:rsidRDefault="007A3E92" w:rsidP="00581A00">
            <w:pPr>
              <w:suppressAutoHyphens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unitless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3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79377FE6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Normalized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Shannon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diversity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index</w:t>
            </w:r>
            <w:proofErr w:type="spellEnd"/>
          </w:p>
        </w:tc>
      </w:tr>
      <w:tr w:rsidR="007A3E92" w14:paraId="430439E2" w14:textId="77777777" w:rsidTr="00581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nil"/>
              <w:bottom w:val="single" w:sz="12" w:space="0" w:color="AEAAAA"/>
            </w:tcBorders>
            <w:shd w:val="clear" w:color="auto" w:fill="FFFFFF" w:themeFill="background1"/>
            <w:vAlign w:val="center"/>
          </w:tcPr>
          <w:p w14:paraId="6CC11DB9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hmedian</w:t>
            </w:r>
            <w:proofErr w:type="spellEnd"/>
          </w:p>
        </w:tc>
        <w:tc>
          <w:tcPr>
            <w:tcW w:w="2268" w:type="dxa"/>
            <w:tcBorders>
              <w:top w:val="nil"/>
              <w:bottom w:val="single" w:sz="12" w:space="0" w:color="AEAAAA"/>
            </w:tcBorders>
            <w:shd w:val="clear" w:color="auto" w:fill="FFFFFF" w:themeFill="background1"/>
            <w:vAlign w:val="center"/>
          </w:tcPr>
          <w:p w14:paraId="479E2B68" w14:textId="77777777" w:rsidR="007A3E92" w:rsidRDefault="007A3E92" w:rsidP="00581A00">
            <w:pPr>
              <w:suppressAutoHyphens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3" w:type="dxa"/>
            <w:tcBorders>
              <w:top w:val="nil"/>
              <w:bottom w:val="single" w:sz="12" w:space="0" w:color="AEAAAA"/>
            </w:tcBorders>
            <w:shd w:val="clear" w:color="auto" w:fill="FFFFFF" w:themeFill="background1"/>
            <w:vAlign w:val="center"/>
          </w:tcPr>
          <w:p w14:paraId="19F40F86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Median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heights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in CHM</w:t>
            </w:r>
          </w:p>
        </w:tc>
      </w:tr>
      <w:tr w:rsidR="007A3E92" w14:paraId="52E76515" w14:textId="77777777" w:rsidTr="00581A00">
        <w:trPr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single" w:sz="12" w:space="0" w:color="AEAAAA"/>
              <w:bottom w:val="single" w:sz="12" w:space="0" w:color="AEAAAA"/>
            </w:tcBorders>
            <w:shd w:val="clear" w:color="auto" w:fill="FFFFFF" w:themeFill="background1"/>
            <w:vAlign w:val="center"/>
          </w:tcPr>
          <w:p w14:paraId="142D6168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COVAR</w:t>
            </w:r>
          </w:p>
        </w:tc>
        <w:tc>
          <w:tcPr>
            <w:tcW w:w="2268" w:type="dxa"/>
            <w:tcBorders>
              <w:top w:val="single" w:sz="12" w:space="0" w:color="AEAAAA"/>
              <w:bottom w:val="single" w:sz="12" w:space="0" w:color="AEAAAA"/>
            </w:tcBorders>
            <w:shd w:val="clear" w:color="auto" w:fill="FFFFFF" w:themeFill="background1"/>
            <w:vAlign w:val="center"/>
          </w:tcPr>
          <w:p w14:paraId="2BFE7F24" w14:textId="77777777" w:rsidR="007A3E92" w:rsidRDefault="007A3E92" w:rsidP="00581A00">
            <w:pPr>
              <w:suppressAutoHyphens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unitless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3" w:type="dxa"/>
            <w:tcBorders>
              <w:top w:val="single" w:sz="12" w:space="0" w:color="AEAAAA"/>
              <w:bottom w:val="single" w:sz="12" w:space="0" w:color="AEAAAA"/>
            </w:tcBorders>
            <w:shd w:val="clear" w:color="auto" w:fill="FFFFFF" w:themeFill="background1"/>
            <w:vAlign w:val="center"/>
          </w:tcPr>
          <w:p w14:paraId="5D604FEF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Coefficient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Variation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Heights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=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sd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/mean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each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point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cloud</w:t>
            </w:r>
            <w:proofErr w:type="spellEnd"/>
          </w:p>
        </w:tc>
      </w:tr>
      <w:tr w:rsidR="007A3E92" w14:paraId="705A7604" w14:textId="77777777" w:rsidTr="00581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single" w:sz="12" w:space="0" w:color="AEAAAA"/>
              <w:bottom w:val="nil"/>
            </w:tcBorders>
            <w:shd w:val="clear" w:color="auto" w:fill="FFFFFF" w:themeFill="background1"/>
            <w:vAlign w:val="center"/>
          </w:tcPr>
          <w:p w14:paraId="121DA7A1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VCIm</w:t>
            </w:r>
            <w:proofErr w:type="spellEnd"/>
          </w:p>
        </w:tc>
        <w:tc>
          <w:tcPr>
            <w:tcW w:w="2268" w:type="dxa"/>
            <w:tcBorders>
              <w:top w:val="single" w:sz="12" w:space="0" w:color="AEAAAA"/>
              <w:bottom w:val="nil"/>
            </w:tcBorders>
            <w:shd w:val="clear" w:color="auto" w:fill="FFFFFF" w:themeFill="background1"/>
            <w:vAlign w:val="center"/>
          </w:tcPr>
          <w:p w14:paraId="16B48C87" w14:textId="77777777" w:rsidR="007A3E92" w:rsidRDefault="007A3E92" w:rsidP="00581A00">
            <w:pPr>
              <w:suppressAutoHyphens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_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3" w:type="dxa"/>
            <w:tcBorders>
              <w:top w:val="single" w:sz="12" w:space="0" w:color="AEAAAA"/>
              <w:bottom w:val="nil"/>
            </w:tcBorders>
            <w:shd w:val="clear" w:color="auto" w:fill="FFFFFF" w:themeFill="background1"/>
            <w:vAlign w:val="center"/>
          </w:tcPr>
          <w:p w14:paraId="277FE3FF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Vertical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Complexity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Index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based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on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.las</w:t>
            </w:r>
            <w:proofErr w:type="gram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cloud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(van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Ewijk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et al., 2011).</w:t>
            </w:r>
          </w:p>
        </w:tc>
      </w:tr>
      <w:tr w:rsidR="007A3E92" w14:paraId="48E16437" w14:textId="77777777" w:rsidTr="00581A00">
        <w:trPr>
          <w:trHeight w:val="1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nil"/>
              <w:bottom w:val="single" w:sz="12" w:space="0" w:color="AEAAAA"/>
            </w:tcBorders>
            <w:shd w:val="clear" w:color="auto" w:fill="FFFFFF" w:themeFill="background1"/>
            <w:vAlign w:val="center"/>
          </w:tcPr>
          <w:p w14:paraId="596E6320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VCIsd</w:t>
            </w:r>
            <w:proofErr w:type="spellEnd"/>
          </w:p>
        </w:tc>
        <w:tc>
          <w:tcPr>
            <w:tcW w:w="2268" w:type="dxa"/>
            <w:tcBorders>
              <w:top w:val="nil"/>
              <w:bottom w:val="single" w:sz="12" w:space="0" w:color="AEAAAA"/>
            </w:tcBorders>
            <w:shd w:val="clear" w:color="auto" w:fill="FFFFFF" w:themeFill="background1"/>
            <w:vAlign w:val="center"/>
          </w:tcPr>
          <w:p w14:paraId="7ADD9D36" w14:textId="77777777" w:rsidR="007A3E92" w:rsidRDefault="007A3E92" w:rsidP="00581A00">
            <w:pPr>
              <w:suppressAutoHyphens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3" w:type="dxa"/>
            <w:tcBorders>
              <w:top w:val="nil"/>
              <w:bottom w:val="single" w:sz="12" w:space="0" w:color="AEAAAA"/>
            </w:tcBorders>
            <w:shd w:val="clear" w:color="auto" w:fill="FFFFFF" w:themeFill="background1"/>
            <w:vAlign w:val="center"/>
          </w:tcPr>
          <w:p w14:paraId="22E5119C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Standard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deviation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VCI</w:t>
            </w:r>
          </w:p>
        </w:tc>
      </w:tr>
      <w:tr w:rsidR="007A3E92" w14:paraId="273A816A" w14:textId="77777777" w:rsidTr="00581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single" w:sz="12" w:space="0" w:color="AEAAAA"/>
              <w:bottom w:val="single" w:sz="12" w:space="0" w:color="AEAAAA"/>
            </w:tcBorders>
            <w:shd w:val="clear" w:color="auto" w:fill="FFFFFF" w:themeFill="background1"/>
            <w:vAlign w:val="center"/>
          </w:tcPr>
          <w:p w14:paraId="09CE63F5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VDR</w:t>
            </w:r>
          </w:p>
        </w:tc>
        <w:tc>
          <w:tcPr>
            <w:tcW w:w="2268" w:type="dxa"/>
            <w:tcBorders>
              <w:top w:val="single" w:sz="12" w:space="0" w:color="AEAAAA"/>
              <w:bottom w:val="single" w:sz="12" w:space="0" w:color="AEAAAA"/>
            </w:tcBorders>
            <w:shd w:val="clear" w:color="auto" w:fill="FFFFFF" w:themeFill="background1"/>
            <w:vAlign w:val="center"/>
          </w:tcPr>
          <w:p w14:paraId="4DDD568A" w14:textId="77777777" w:rsidR="007A3E92" w:rsidRDefault="007A3E92" w:rsidP="00581A00">
            <w:pPr>
              <w:suppressAutoHyphens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between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0 - 1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3" w:type="dxa"/>
            <w:tcBorders>
              <w:top w:val="single" w:sz="12" w:space="0" w:color="AEAAAA"/>
              <w:bottom w:val="single" w:sz="12" w:space="0" w:color="AEAAAA"/>
            </w:tcBorders>
            <w:shd w:val="clear" w:color="auto" w:fill="FFFFFF" w:themeFill="background1"/>
            <w:vAlign w:val="center"/>
          </w:tcPr>
          <w:p w14:paraId="3F4DD03D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Vertical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Distribution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Ratio, VDR =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-median/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max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. (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Goetz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et al., 2007)</w:t>
            </w:r>
          </w:p>
        </w:tc>
      </w:tr>
      <w:tr w:rsidR="007A3E92" w14:paraId="1CB6E6B6" w14:textId="77777777" w:rsidTr="00581A00">
        <w:trPr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single" w:sz="12" w:space="0" w:color="AEAAAA"/>
              <w:bottom w:val="nil"/>
            </w:tcBorders>
            <w:shd w:val="clear" w:color="auto" w:fill="FFFFFF" w:themeFill="background1"/>
            <w:vAlign w:val="center"/>
          </w:tcPr>
          <w:p w14:paraId="0A837D67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denq25, denq50, denq75, denq90</w:t>
            </w:r>
          </w:p>
        </w:tc>
        <w:tc>
          <w:tcPr>
            <w:tcW w:w="2268" w:type="dxa"/>
            <w:tcBorders>
              <w:top w:val="single" w:sz="12" w:space="0" w:color="AEAAAA"/>
              <w:bottom w:val="nil"/>
            </w:tcBorders>
            <w:shd w:val="clear" w:color="auto" w:fill="FFFFFF" w:themeFill="background1"/>
            <w:vAlign w:val="center"/>
          </w:tcPr>
          <w:p w14:paraId="716E8D3D" w14:textId="77777777" w:rsidR="007A3E92" w:rsidRDefault="007A3E92" w:rsidP="00581A00">
            <w:pPr>
              <w:suppressAutoHyphens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m/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pixels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3" w:type="dxa"/>
            <w:tcBorders>
              <w:top w:val="single" w:sz="12" w:space="0" w:color="AEAAAA"/>
              <w:bottom w:val="nil"/>
            </w:tcBorders>
            <w:shd w:val="clear" w:color="auto" w:fill="FFFFFF" w:themeFill="background1"/>
            <w:vAlign w:val="center"/>
          </w:tcPr>
          <w:p w14:paraId="392D5F89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Density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height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over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each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quantile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(sum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heights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over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each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quantile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/total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number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pixels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)</w:t>
            </w:r>
          </w:p>
        </w:tc>
      </w:tr>
      <w:tr w:rsidR="007A3E92" w14:paraId="62B74463" w14:textId="77777777" w:rsidTr="00581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single" w:sz="12" w:space="0" w:color="AEAAAA"/>
              <w:bottom w:val="nil"/>
            </w:tcBorders>
            <w:shd w:val="clear" w:color="auto" w:fill="FFFFFF" w:themeFill="background1"/>
            <w:vAlign w:val="center"/>
          </w:tcPr>
          <w:p w14:paraId="2FBD82B9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area_chull</w:t>
            </w:r>
            <w:proofErr w:type="spellEnd"/>
          </w:p>
        </w:tc>
        <w:tc>
          <w:tcPr>
            <w:tcW w:w="2268" w:type="dxa"/>
            <w:tcBorders>
              <w:top w:val="single" w:sz="12" w:space="0" w:color="AEAAAA"/>
              <w:bottom w:val="nil"/>
            </w:tcBorders>
            <w:shd w:val="clear" w:color="auto" w:fill="FFFFFF" w:themeFill="background1"/>
            <w:vAlign w:val="center"/>
          </w:tcPr>
          <w:p w14:paraId="144CCC4D" w14:textId="77777777" w:rsidR="007A3E92" w:rsidRDefault="007A3E92" w:rsidP="00581A00">
            <w:pPr>
              <w:suppressAutoHyphens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m²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3" w:type="dxa"/>
            <w:tcBorders>
              <w:top w:val="single" w:sz="12" w:space="0" w:color="AEAAAA"/>
              <w:bottom w:val="nil"/>
            </w:tcBorders>
            <w:shd w:val="clear" w:color="auto" w:fill="FFFFFF" w:themeFill="background1"/>
            <w:vAlign w:val="center"/>
          </w:tcPr>
          <w:p w14:paraId="61465853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Area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over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convex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hull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each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point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cloud</w:t>
            </w:r>
            <w:proofErr w:type="spellEnd"/>
          </w:p>
        </w:tc>
      </w:tr>
      <w:tr w:rsidR="007A3E92" w14:paraId="56594CDF" w14:textId="77777777" w:rsidTr="00581A00">
        <w:trPr>
          <w:trHeight w:val="1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nil"/>
              <w:bottom w:val="single" w:sz="12" w:space="0" w:color="AEAAAA"/>
            </w:tcBorders>
            <w:shd w:val="clear" w:color="auto" w:fill="FFFFFF" w:themeFill="background1"/>
            <w:vAlign w:val="center"/>
          </w:tcPr>
          <w:p w14:paraId="2BC77ACF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v_voxels</w:t>
            </w:r>
            <w:proofErr w:type="spellEnd"/>
          </w:p>
        </w:tc>
        <w:tc>
          <w:tcPr>
            <w:tcW w:w="2268" w:type="dxa"/>
            <w:tcBorders>
              <w:top w:val="nil"/>
              <w:bottom w:val="single" w:sz="12" w:space="0" w:color="AEAAAA"/>
            </w:tcBorders>
            <w:shd w:val="clear" w:color="auto" w:fill="FFFFFF" w:themeFill="background1"/>
            <w:vAlign w:val="center"/>
          </w:tcPr>
          <w:p w14:paraId="1EBF1FCF" w14:textId="77777777" w:rsidR="007A3E92" w:rsidRDefault="007A3E92" w:rsidP="00581A00">
            <w:pPr>
              <w:suppressAutoHyphens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m³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3" w:type="dxa"/>
            <w:tcBorders>
              <w:top w:val="nil"/>
              <w:bottom w:val="single" w:sz="12" w:space="0" w:color="AEAAAA"/>
            </w:tcBorders>
            <w:shd w:val="clear" w:color="auto" w:fill="FFFFFF" w:themeFill="background1"/>
            <w:vAlign w:val="center"/>
          </w:tcPr>
          <w:p w14:paraId="2533FC0D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Volume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estimated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through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voxel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aproximation</w:t>
            </w:r>
            <w:proofErr w:type="spellEnd"/>
          </w:p>
        </w:tc>
      </w:tr>
      <w:tr w:rsidR="007A3E92" w14:paraId="61E44EB2" w14:textId="77777777" w:rsidTr="00581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single" w:sz="12" w:space="0" w:color="AEAAAA"/>
              <w:bottom w:val="single" w:sz="12" w:space="0" w:color="AEAAAA"/>
            </w:tcBorders>
            <w:shd w:val="clear" w:color="auto" w:fill="FFFFFF" w:themeFill="background1"/>
            <w:vAlign w:val="center"/>
          </w:tcPr>
          <w:p w14:paraId="3AE6F229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glcm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statistics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 xml:space="preserve"> (mean,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variance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homogeneity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contrast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dissimilarity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entropy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second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 xml:space="preserve"> momento)</w:t>
            </w:r>
          </w:p>
        </w:tc>
        <w:tc>
          <w:tcPr>
            <w:tcW w:w="2268" w:type="dxa"/>
            <w:tcBorders>
              <w:top w:val="single" w:sz="12" w:space="0" w:color="AEAAAA"/>
              <w:bottom w:val="single" w:sz="12" w:space="0" w:color="AEAAAA"/>
            </w:tcBorders>
            <w:shd w:val="clear" w:color="auto" w:fill="FFFFFF" w:themeFill="background1"/>
            <w:vAlign w:val="center"/>
          </w:tcPr>
          <w:p w14:paraId="48E4DEFE" w14:textId="77777777" w:rsidR="007A3E92" w:rsidRDefault="007A3E92" w:rsidP="00581A00">
            <w:pPr>
              <w:suppressAutoHyphens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_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3" w:type="dxa"/>
            <w:tcBorders>
              <w:top w:val="single" w:sz="12" w:space="0" w:color="AEAAAA"/>
              <w:bottom w:val="single" w:sz="12" w:space="0" w:color="AEAAAA"/>
            </w:tcBorders>
            <w:shd w:val="clear" w:color="auto" w:fill="FFFFFF" w:themeFill="background1"/>
            <w:vAlign w:val="center"/>
          </w:tcPr>
          <w:p w14:paraId="0F4B96C9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3x3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window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was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used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the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analysis</w:t>
            </w:r>
            <w:proofErr w:type="spellEnd"/>
          </w:p>
        </w:tc>
      </w:tr>
      <w:tr w:rsidR="007A3E92" w14:paraId="0068EE88" w14:textId="77777777" w:rsidTr="00581A00">
        <w:trPr>
          <w:trHeight w:val="1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single" w:sz="12" w:space="0" w:color="AEAAAA"/>
              <w:bottom w:val="single" w:sz="12" w:space="0" w:color="AEAAAA"/>
            </w:tcBorders>
            <w:shd w:val="clear" w:color="auto" w:fill="FFFFFF" w:themeFill="background1"/>
            <w:vAlign w:val="center"/>
          </w:tcPr>
          <w:p w14:paraId="0EABECEA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Q1, Q20, Q30… Q90</w:t>
            </w:r>
          </w:p>
        </w:tc>
        <w:tc>
          <w:tcPr>
            <w:tcW w:w="2268" w:type="dxa"/>
            <w:tcBorders>
              <w:top w:val="single" w:sz="12" w:space="0" w:color="AEAAAA"/>
              <w:bottom w:val="single" w:sz="12" w:space="0" w:color="AEAAAA"/>
            </w:tcBorders>
            <w:shd w:val="clear" w:color="auto" w:fill="FFFFFF" w:themeFill="background1"/>
            <w:vAlign w:val="center"/>
          </w:tcPr>
          <w:p w14:paraId="74AC9636" w14:textId="77777777" w:rsidR="007A3E92" w:rsidRDefault="007A3E92" w:rsidP="00581A00">
            <w:pPr>
              <w:suppressAutoHyphens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m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3" w:type="dxa"/>
            <w:tcBorders>
              <w:top w:val="single" w:sz="12" w:space="0" w:color="AEAAAA"/>
              <w:bottom w:val="single" w:sz="12" w:space="0" w:color="AEAAAA"/>
            </w:tcBorders>
            <w:shd w:val="clear" w:color="auto" w:fill="FFFFFF" w:themeFill="background1"/>
            <w:vAlign w:val="center"/>
          </w:tcPr>
          <w:p w14:paraId="1C0B8137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Quantiles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heights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in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each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CHM</w:t>
            </w:r>
          </w:p>
        </w:tc>
      </w:tr>
      <w:tr w:rsidR="007A3E92" w14:paraId="3925E851" w14:textId="77777777" w:rsidTr="00581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single" w:sz="12" w:space="0" w:color="AEAAAA"/>
              <w:bottom w:val="single" w:sz="12" w:space="0" w:color="AEAAAA"/>
            </w:tcBorders>
            <w:shd w:val="clear" w:color="auto" w:fill="FFFFFF" w:themeFill="background1"/>
            <w:vAlign w:val="center"/>
          </w:tcPr>
          <w:p w14:paraId="549378D3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s2, s4, s6, s8, s10… s32</w:t>
            </w:r>
          </w:p>
        </w:tc>
        <w:tc>
          <w:tcPr>
            <w:tcW w:w="2268" w:type="dxa"/>
            <w:tcBorders>
              <w:top w:val="single" w:sz="12" w:space="0" w:color="AEAAAA"/>
              <w:bottom w:val="single" w:sz="12" w:space="0" w:color="AEAAAA"/>
            </w:tcBorders>
            <w:shd w:val="clear" w:color="auto" w:fill="FFFFFF" w:themeFill="background1"/>
            <w:vAlign w:val="center"/>
          </w:tcPr>
          <w:p w14:paraId="388F10F1" w14:textId="77777777" w:rsidR="007A3E92" w:rsidRDefault="007A3E92" w:rsidP="00581A00">
            <w:pPr>
              <w:suppressAutoHyphens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unitless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3" w:type="dxa"/>
            <w:tcBorders>
              <w:top w:val="single" w:sz="12" w:space="0" w:color="AEAAAA"/>
              <w:bottom w:val="single" w:sz="12" w:space="0" w:color="AEAAAA"/>
            </w:tcBorders>
            <w:shd w:val="clear" w:color="auto" w:fill="FFFFFF" w:themeFill="background1"/>
            <w:vAlign w:val="center"/>
          </w:tcPr>
          <w:p w14:paraId="6389D10E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Relationship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between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area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cover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by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each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slide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pixels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over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each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height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) and total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area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cover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by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plot</w:t>
            </w:r>
            <w:proofErr w:type="spellEnd"/>
          </w:p>
        </w:tc>
      </w:tr>
      <w:tr w:rsidR="007A3E92" w14:paraId="03222D9C" w14:textId="77777777" w:rsidTr="00581A00">
        <w:trPr>
          <w:trHeight w:val="1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single" w:sz="12" w:space="0" w:color="AEAAAA"/>
              <w:bottom w:val="nil"/>
            </w:tcBorders>
            <w:shd w:val="clear" w:color="auto" w:fill="FFFFFF" w:themeFill="background1"/>
            <w:vAlign w:val="center"/>
          </w:tcPr>
          <w:p w14:paraId="7E4E4A48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s1.25_mean, s1.25_med, s1.25_max</w:t>
            </w:r>
          </w:p>
        </w:tc>
        <w:tc>
          <w:tcPr>
            <w:tcW w:w="2268" w:type="dxa"/>
            <w:tcBorders>
              <w:top w:val="single" w:sz="12" w:space="0" w:color="AEAAAA"/>
              <w:bottom w:val="nil"/>
            </w:tcBorders>
            <w:shd w:val="clear" w:color="auto" w:fill="FFFFFF" w:themeFill="background1"/>
            <w:vAlign w:val="center"/>
          </w:tcPr>
          <w:p w14:paraId="1C84AAB6" w14:textId="77777777" w:rsidR="007A3E92" w:rsidRDefault="007A3E92" w:rsidP="00581A00">
            <w:pPr>
              <w:suppressAutoHyphens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3" w:type="dxa"/>
            <w:vMerge w:val="restart"/>
            <w:tcBorders>
              <w:top w:val="single" w:sz="12" w:space="0" w:color="AEAAAA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2895DA04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Relative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likelihood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heights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between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</w:t>
            </w:r>
          </w:p>
          <w:p w14:paraId="17D99363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0 -1.25 m</w:t>
            </w:r>
          </w:p>
          <w:p w14:paraId="10F7FED4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1.25 - 4.5 m</w:t>
            </w:r>
          </w:p>
          <w:p w14:paraId="14F7D7E5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and 4.5 - 10 m</w:t>
            </w:r>
          </w:p>
        </w:tc>
      </w:tr>
      <w:tr w:rsidR="007A3E92" w14:paraId="111CE93D" w14:textId="77777777" w:rsidTr="00581A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513C5CBD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s4.5_mean, s4.5_med, s4.5_max</w:t>
            </w:r>
          </w:p>
        </w:tc>
        <w:tc>
          <w:tcPr>
            <w:tcW w:w="2268" w:type="dxa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13BE98CE" w14:textId="77777777" w:rsidR="007A3E92" w:rsidRDefault="007A3E92" w:rsidP="00581A00">
            <w:pPr>
              <w:suppressAutoHyphens w:val="0"/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  <w:proofErr w:type="spellStart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>between</w:t>
            </w:r>
            <w:proofErr w:type="spellEnd"/>
            <w:r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  <w:t xml:space="preserve"> 0 - 1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3" w:type="dxa"/>
            <w:vMerge/>
            <w:shd w:val="clear" w:color="auto" w:fill="FFFFFF" w:themeFill="background1"/>
          </w:tcPr>
          <w:p w14:paraId="11F8CEA9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</w:p>
        </w:tc>
      </w:tr>
      <w:tr w:rsidR="007A3E92" w14:paraId="6ECD29A3" w14:textId="77777777" w:rsidTr="00581A00">
        <w:trPr>
          <w:trHeight w:val="123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551" w:type="dxa"/>
            <w:tcBorders>
              <w:top w:val="nil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1D2C7359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</w:pPr>
            <w:r>
              <w:rPr>
                <w:rFonts w:ascii="Times New Roman" w:hAnsi="Times New Roman" w:cs="Times New Roman"/>
                <w:i/>
                <w:iCs/>
                <w:color w:val="3B3838" w:themeColor="background2" w:themeShade="40"/>
                <w:lang w:val="es-CO"/>
              </w:rPr>
              <w:t>s10_mean, s10_med, s10_max</w:t>
            </w:r>
          </w:p>
        </w:tc>
        <w:tc>
          <w:tcPr>
            <w:tcW w:w="2268" w:type="dxa"/>
            <w:tcBorders>
              <w:top w:val="nil"/>
              <w:bottom w:val="single" w:sz="12" w:space="0" w:color="000000"/>
            </w:tcBorders>
            <w:shd w:val="clear" w:color="auto" w:fill="FFFFFF" w:themeFill="background1"/>
            <w:vAlign w:val="center"/>
          </w:tcPr>
          <w:p w14:paraId="4D51DAEC" w14:textId="77777777" w:rsidR="007A3E92" w:rsidRDefault="007A3E92" w:rsidP="00581A00">
            <w:pPr>
              <w:suppressAutoHyphens w:val="0"/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253" w:type="dxa"/>
            <w:vMerge/>
            <w:tcBorders>
              <w:bottom w:val="single" w:sz="12" w:space="0" w:color="000000"/>
            </w:tcBorders>
            <w:shd w:val="clear" w:color="auto" w:fill="FFFFFF" w:themeFill="background1"/>
          </w:tcPr>
          <w:p w14:paraId="58487569" w14:textId="77777777" w:rsidR="007A3E92" w:rsidRDefault="007A3E92" w:rsidP="00581A00">
            <w:pPr>
              <w:suppressAutoHyphens w:val="0"/>
              <w:spacing w:line="240" w:lineRule="auto"/>
              <w:jc w:val="center"/>
              <w:rPr>
                <w:rFonts w:ascii="Times New Roman" w:hAnsi="Times New Roman" w:cs="Times New Roman"/>
                <w:color w:val="3B3838" w:themeColor="background2" w:themeShade="40"/>
                <w:lang w:val="es-CO"/>
              </w:rPr>
            </w:pPr>
          </w:p>
        </w:tc>
      </w:tr>
    </w:tbl>
    <w:p w14:paraId="4FC35304" w14:textId="77777777" w:rsidR="007A3E92" w:rsidRDefault="007A3E92" w:rsidP="007A3E92"/>
    <w:p w14:paraId="688B5AAB" w14:textId="77777777" w:rsidR="005D0E83" w:rsidRDefault="005D0E83"/>
    <w:sectPr w:rsidR="005D0E8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0BC"/>
    <w:rsid w:val="002150BC"/>
    <w:rsid w:val="005D0E83"/>
    <w:rsid w:val="007A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7379FB-A013-441E-927D-365D80CD3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3E92"/>
    <w:pPr>
      <w:suppressAutoHyphens/>
      <w:spacing w:line="480" w:lineRule="auto"/>
      <w:jc w:val="both"/>
    </w:pPr>
    <w:rPr>
      <w:rFonts w:ascii="Calibri" w:eastAsia="Calibri" w:hAnsi="Calibri" w:cs="DejaVu Sans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delista2-nfasis3">
    <w:name w:val="List Table 2 Accent 3"/>
    <w:basedOn w:val="Tablanormal"/>
    <w:uiPriority w:val="47"/>
    <w:rsid w:val="007A3E92"/>
    <w:pPr>
      <w:suppressAutoHyphens/>
      <w:spacing w:after="0" w:line="240" w:lineRule="auto"/>
    </w:pPr>
    <w:rPr>
      <w:rFonts w:ascii="Calibri" w:eastAsia="Calibri" w:hAnsi="Calibri" w:cs="DejaVu Sans"/>
      <w:sz w:val="20"/>
      <w:szCs w:val="20"/>
      <w:lang w:val="en-US" w:eastAsia="es-CO"/>
    </w:r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NATHALIA BOLIVAR</dc:creator>
  <cp:keywords/>
  <dc:description/>
  <cp:lastModifiedBy>NATHALIA BOLIVAR</cp:lastModifiedBy>
  <cp:revision>2</cp:revision>
  <dcterms:created xsi:type="dcterms:W3CDTF">2023-01-20T22:24:00Z</dcterms:created>
  <dcterms:modified xsi:type="dcterms:W3CDTF">2023-01-20T22:24:00Z</dcterms:modified>
</cp:coreProperties>
</file>