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1A2A2" w14:textId="18BFE7A1" w:rsidR="00717AD8" w:rsidRPr="00D76ACB" w:rsidRDefault="00D76ACB">
      <w:pPr>
        <w:rPr>
          <w:rFonts w:ascii="Times New Roman" w:hAnsi="Times New Roman" w:cs="Times New Roman"/>
          <w:b/>
          <w:bCs/>
          <w:sz w:val="28"/>
          <w:szCs w:val="28"/>
        </w:rPr>
      </w:pPr>
      <w:r w:rsidRPr="00D76ACB">
        <w:rPr>
          <w:rFonts w:ascii="Times New Roman" w:hAnsi="Times New Roman" w:cs="Times New Roman"/>
          <w:b/>
          <w:bCs/>
          <w:sz w:val="28"/>
          <w:szCs w:val="28"/>
        </w:rPr>
        <w:t>Supplemental figures for:</w:t>
      </w:r>
    </w:p>
    <w:p w14:paraId="1525CB1B" w14:textId="65ED8673" w:rsidR="00D76ACB" w:rsidRDefault="00D76ACB">
      <w:pPr>
        <w:rPr>
          <w:rFonts w:ascii="Times New Roman" w:hAnsi="Times New Roman" w:cs="Times New Roman"/>
          <w:sz w:val="24"/>
          <w:szCs w:val="24"/>
        </w:rPr>
      </w:pPr>
    </w:p>
    <w:p w14:paraId="4CFAAF46" w14:textId="77777777" w:rsidR="00D76ACB" w:rsidRPr="00D8383F" w:rsidRDefault="00D76ACB" w:rsidP="00D76ACB">
      <w:pPr>
        <w:spacing w:line="480" w:lineRule="auto"/>
        <w:contextualSpacing/>
        <w:jc w:val="center"/>
        <w:rPr>
          <w:rFonts w:ascii="Times New Roman" w:hAnsi="Times New Roman" w:cs="Times New Roman"/>
          <w:b/>
          <w:bCs/>
          <w:i/>
          <w:iCs/>
          <w:sz w:val="24"/>
          <w:szCs w:val="24"/>
        </w:rPr>
      </w:pPr>
      <w:r w:rsidRPr="00D8383F">
        <w:rPr>
          <w:rFonts w:ascii="Times New Roman" w:hAnsi="Times New Roman" w:cs="Times New Roman"/>
          <w:b/>
          <w:bCs/>
          <w:sz w:val="24"/>
          <w:szCs w:val="24"/>
        </w:rPr>
        <w:t xml:space="preserve">Cuticular and glandular chemistry are correlated with ovary size in two populations of the facultatively social carpenter bee, </w:t>
      </w:r>
      <w:r w:rsidRPr="00D8383F">
        <w:rPr>
          <w:rFonts w:ascii="Times New Roman" w:hAnsi="Times New Roman" w:cs="Times New Roman"/>
          <w:b/>
          <w:bCs/>
          <w:i/>
          <w:iCs/>
          <w:sz w:val="24"/>
          <w:szCs w:val="24"/>
        </w:rPr>
        <w:t>Xylocopa</w:t>
      </w:r>
      <w:r w:rsidRPr="00D8383F">
        <w:rPr>
          <w:rFonts w:ascii="Times New Roman" w:hAnsi="Times New Roman" w:cs="Times New Roman"/>
          <w:b/>
          <w:bCs/>
          <w:sz w:val="24"/>
          <w:szCs w:val="24"/>
        </w:rPr>
        <w:t xml:space="preserve"> so</w:t>
      </w:r>
      <w:r w:rsidRPr="00D8383F">
        <w:rPr>
          <w:rFonts w:ascii="Times New Roman" w:hAnsi="Times New Roman" w:cs="Times New Roman"/>
          <w:b/>
          <w:bCs/>
          <w:i/>
          <w:iCs/>
          <w:sz w:val="24"/>
          <w:szCs w:val="24"/>
        </w:rPr>
        <w:t>norina</w:t>
      </w:r>
    </w:p>
    <w:p w14:paraId="4822E121" w14:textId="77777777" w:rsidR="00D76ACB" w:rsidRPr="00D8383F" w:rsidRDefault="00D76ACB" w:rsidP="00D76ACB">
      <w:pPr>
        <w:spacing w:line="480" w:lineRule="auto"/>
        <w:contextualSpacing/>
        <w:rPr>
          <w:rFonts w:ascii="Times New Roman" w:hAnsi="Times New Roman" w:cs="Times New Roman"/>
          <w:sz w:val="24"/>
          <w:szCs w:val="24"/>
        </w:rPr>
      </w:pPr>
    </w:p>
    <w:p w14:paraId="7D237A83" w14:textId="77777777" w:rsidR="00D76ACB" w:rsidRPr="00D8383F" w:rsidRDefault="00D76ACB" w:rsidP="00D76ACB">
      <w:pPr>
        <w:spacing w:line="480" w:lineRule="auto"/>
        <w:contextualSpacing/>
        <w:jc w:val="center"/>
        <w:rPr>
          <w:rFonts w:ascii="Times New Roman" w:hAnsi="Times New Roman" w:cs="Times New Roman"/>
          <w:sz w:val="24"/>
          <w:szCs w:val="24"/>
          <w:vertAlign w:val="superscript"/>
        </w:rPr>
      </w:pPr>
      <w:r w:rsidRPr="00D8383F">
        <w:rPr>
          <w:rFonts w:ascii="Times New Roman" w:hAnsi="Times New Roman" w:cs="Times New Roman"/>
          <w:sz w:val="24"/>
          <w:szCs w:val="24"/>
        </w:rPr>
        <w:t>Nicholas W. Saleh</w:t>
      </w:r>
      <w:r w:rsidRPr="00D8383F">
        <w:rPr>
          <w:rFonts w:ascii="Times New Roman" w:hAnsi="Times New Roman" w:cs="Times New Roman"/>
          <w:sz w:val="24"/>
          <w:szCs w:val="24"/>
          <w:vertAlign w:val="superscript"/>
        </w:rPr>
        <w:t>1,2</w:t>
      </w:r>
      <w:r>
        <w:rPr>
          <w:rFonts w:ascii="Times New Roman" w:hAnsi="Times New Roman" w:cs="Times New Roman"/>
          <w:sz w:val="24"/>
          <w:szCs w:val="24"/>
          <w:vertAlign w:val="superscript"/>
        </w:rPr>
        <w:t>*</w:t>
      </w:r>
      <w:r w:rsidRPr="00D8383F">
        <w:rPr>
          <w:rFonts w:ascii="Times New Roman" w:hAnsi="Times New Roman" w:cs="Times New Roman"/>
          <w:sz w:val="24"/>
          <w:szCs w:val="24"/>
        </w:rPr>
        <w:t>, Madeleine M. Ostwald</w:t>
      </w:r>
      <w:r w:rsidRPr="00D8383F">
        <w:rPr>
          <w:rFonts w:ascii="Times New Roman" w:hAnsi="Times New Roman" w:cs="Times New Roman"/>
          <w:sz w:val="24"/>
          <w:szCs w:val="24"/>
          <w:vertAlign w:val="superscript"/>
        </w:rPr>
        <w:t>3</w:t>
      </w:r>
      <w:r w:rsidRPr="00D8383F">
        <w:rPr>
          <w:rFonts w:ascii="Times New Roman" w:hAnsi="Times New Roman" w:cs="Times New Roman"/>
          <w:sz w:val="24"/>
          <w:szCs w:val="24"/>
        </w:rPr>
        <w:t>, Santiago R. Ramírez</w:t>
      </w:r>
      <w:r w:rsidRPr="00D8383F">
        <w:rPr>
          <w:rFonts w:ascii="Times New Roman" w:hAnsi="Times New Roman" w:cs="Times New Roman"/>
          <w:sz w:val="24"/>
          <w:szCs w:val="24"/>
          <w:vertAlign w:val="superscript"/>
        </w:rPr>
        <w:t>2</w:t>
      </w:r>
    </w:p>
    <w:p w14:paraId="551FF763" w14:textId="77777777" w:rsidR="00D76ACB" w:rsidRPr="00E51BB4" w:rsidRDefault="00D76ACB" w:rsidP="00D76ACB">
      <w:pPr>
        <w:spacing w:line="240" w:lineRule="auto"/>
        <w:jc w:val="center"/>
        <w:rPr>
          <w:rFonts w:ascii="Times New Roman" w:hAnsi="Times New Roman"/>
          <w:i/>
          <w:iCs/>
          <w:sz w:val="24"/>
          <w:szCs w:val="24"/>
        </w:rPr>
      </w:pPr>
      <w:r w:rsidRPr="00E51BB4">
        <w:rPr>
          <w:rFonts w:ascii="Times New Roman" w:hAnsi="Times New Roman"/>
          <w:i/>
          <w:iCs/>
          <w:sz w:val="24"/>
          <w:szCs w:val="24"/>
          <w:vertAlign w:val="superscript"/>
        </w:rPr>
        <w:t>1</w:t>
      </w:r>
      <w:r w:rsidRPr="00E51BB4">
        <w:rPr>
          <w:rFonts w:ascii="Times New Roman" w:hAnsi="Times New Roman"/>
          <w:i/>
          <w:iCs/>
          <w:sz w:val="24"/>
          <w:szCs w:val="24"/>
        </w:rPr>
        <w:t>Entomology and Nematology Department, Fort Lauderdale Research and Education Center, University of Florida, Davie, FL, USA</w:t>
      </w:r>
    </w:p>
    <w:p w14:paraId="46627E49" w14:textId="77777777" w:rsidR="00D76ACB" w:rsidRPr="00E51BB4" w:rsidRDefault="00D76ACB" w:rsidP="00D76ACB">
      <w:pPr>
        <w:spacing w:line="240" w:lineRule="auto"/>
        <w:jc w:val="center"/>
        <w:rPr>
          <w:rFonts w:ascii="Times New Roman" w:hAnsi="Times New Roman"/>
          <w:i/>
          <w:iCs/>
          <w:sz w:val="24"/>
          <w:szCs w:val="24"/>
        </w:rPr>
      </w:pPr>
      <w:r w:rsidRPr="00E51BB4">
        <w:rPr>
          <w:rFonts w:ascii="Times New Roman" w:hAnsi="Times New Roman"/>
          <w:i/>
          <w:iCs/>
          <w:sz w:val="24"/>
          <w:szCs w:val="24"/>
          <w:vertAlign w:val="superscript"/>
        </w:rPr>
        <w:t>2</w:t>
      </w:r>
      <w:r w:rsidRPr="00E51BB4">
        <w:rPr>
          <w:rFonts w:ascii="Times New Roman" w:hAnsi="Times New Roman"/>
          <w:i/>
          <w:iCs/>
          <w:sz w:val="24"/>
          <w:szCs w:val="24"/>
        </w:rPr>
        <w:t>Center for Population Biology, University of California, Davis, CA, USA</w:t>
      </w:r>
    </w:p>
    <w:p w14:paraId="4B9390E2" w14:textId="77777777" w:rsidR="00D76ACB" w:rsidRPr="00E51BB4" w:rsidRDefault="00D76ACB" w:rsidP="00D76ACB">
      <w:pPr>
        <w:spacing w:line="240" w:lineRule="auto"/>
        <w:jc w:val="center"/>
        <w:rPr>
          <w:rFonts w:ascii="Times New Roman" w:hAnsi="Times New Roman"/>
          <w:i/>
          <w:iCs/>
          <w:sz w:val="24"/>
          <w:szCs w:val="24"/>
        </w:rPr>
      </w:pPr>
      <w:r w:rsidRPr="00E51BB4">
        <w:rPr>
          <w:rFonts w:ascii="Times New Roman" w:hAnsi="Times New Roman"/>
          <w:i/>
          <w:iCs/>
          <w:sz w:val="24"/>
          <w:szCs w:val="24"/>
          <w:vertAlign w:val="superscript"/>
        </w:rPr>
        <w:t>3</w:t>
      </w:r>
      <w:r w:rsidRPr="00E51BB4">
        <w:rPr>
          <w:rFonts w:ascii="Times New Roman" w:hAnsi="Times New Roman"/>
          <w:i/>
          <w:iCs/>
          <w:sz w:val="24"/>
          <w:szCs w:val="24"/>
        </w:rPr>
        <w:t>Cheadle Center for Biodiversity &amp; Ecological Restoration, University of California, Santa Barbara, CA, USA</w:t>
      </w:r>
    </w:p>
    <w:p w14:paraId="772A0A2F" w14:textId="77777777" w:rsidR="00D76ACB" w:rsidRDefault="00D76ACB" w:rsidP="00D76ACB">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*corresponding author: </w:t>
      </w:r>
      <w:hyperlink r:id="rId4" w:history="1">
        <w:r w:rsidRPr="00BE57E6">
          <w:rPr>
            <w:rStyle w:val="Hyperlink"/>
            <w:rFonts w:ascii="Times New Roman" w:hAnsi="Times New Roman" w:cs="Times New Roman"/>
            <w:sz w:val="24"/>
            <w:szCs w:val="24"/>
          </w:rPr>
          <w:t>nsaleh@ufl.edu</w:t>
        </w:r>
      </w:hyperlink>
    </w:p>
    <w:p w14:paraId="644BDA18" w14:textId="7F7444E2" w:rsidR="00D76ACB" w:rsidRDefault="00D76ACB">
      <w:pPr>
        <w:rPr>
          <w:rFonts w:ascii="Times New Roman" w:hAnsi="Times New Roman" w:cs="Times New Roman"/>
          <w:sz w:val="24"/>
          <w:szCs w:val="24"/>
        </w:rPr>
      </w:pPr>
    </w:p>
    <w:p w14:paraId="2A839E72" w14:textId="16623723" w:rsidR="00D76ACB" w:rsidRDefault="00D76ACB">
      <w:pPr>
        <w:rPr>
          <w:rFonts w:ascii="Times New Roman" w:hAnsi="Times New Roman" w:cs="Times New Roman"/>
          <w:sz w:val="24"/>
          <w:szCs w:val="24"/>
        </w:rPr>
      </w:pPr>
    </w:p>
    <w:p w14:paraId="50E9E446" w14:textId="37E731DD" w:rsidR="00D76ACB" w:rsidRDefault="00D76ACB">
      <w:pPr>
        <w:rPr>
          <w:rFonts w:ascii="Times New Roman" w:hAnsi="Times New Roman" w:cs="Times New Roman"/>
          <w:sz w:val="24"/>
          <w:szCs w:val="24"/>
        </w:rPr>
      </w:pPr>
    </w:p>
    <w:p w14:paraId="3B70BC5C" w14:textId="6EF6DD6D" w:rsidR="00D76ACB" w:rsidRDefault="00D76ACB">
      <w:pPr>
        <w:rPr>
          <w:rFonts w:ascii="Times New Roman" w:hAnsi="Times New Roman" w:cs="Times New Roman"/>
          <w:sz w:val="24"/>
          <w:szCs w:val="24"/>
        </w:rPr>
      </w:pPr>
    </w:p>
    <w:p w14:paraId="0F998DCB" w14:textId="10E16D81" w:rsidR="00D76ACB" w:rsidRDefault="00D76ACB">
      <w:pPr>
        <w:rPr>
          <w:rFonts w:ascii="Times New Roman" w:hAnsi="Times New Roman" w:cs="Times New Roman"/>
          <w:sz w:val="24"/>
          <w:szCs w:val="24"/>
        </w:rPr>
      </w:pPr>
    </w:p>
    <w:p w14:paraId="3332AFA7" w14:textId="3A895F94" w:rsidR="00D76ACB" w:rsidRDefault="00D76ACB">
      <w:pPr>
        <w:rPr>
          <w:rFonts w:ascii="Times New Roman" w:hAnsi="Times New Roman" w:cs="Times New Roman"/>
          <w:sz w:val="24"/>
          <w:szCs w:val="24"/>
        </w:rPr>
      </w:pPr>
    </w:p>
    <w:p w14:paraId="4324764D" w14:textId="68DB3107" w:rsidR="00D76ACB" w:rsidRDefault="00D76ACB">
      <w:pPr>
        <w:rPr>
          <w:rFonts w:ascii="Times New Roman" w:hAnsi="Times New Roman" w:cs="Times New Roman"/>
          <w:sz w:val="24"/>
          <w:szCs w:val="24"/>
        </w:rPr>
      </w:pPr>
    </w:p>
    <w:p w14:paraId="3BF4B734" w14:textId="362521AE" w:rsidR="00D76ACB" w:rsidRDefault="00D76ACB">
      <w:pPr>
        <w:rPr>
          <w:rFonts w:ascii="Times New Roman" w:hAnsi="Times New Roman" w:cs="Times New Roman"/>
          <w:sz w:val="24"/>
          <w:szCs w:val="24"/>
        </w:rPr>
      </w:pPr>
    </w:p>
    <w:p w14:paraId="4989D73E" w14:textId="481346DB" w:rsidR="00D76ACB" w:rsidRDefault="00D76ACB">
      <w:pPr>
        <w:rPr>
          <w:rFonts w:ascii="Times New Roman" w:hAnsi="Times New Roman" w:cs="Times New Roman"/>
          <w:sz w:val="24"/>
          <w:szCs w:val="24"/>
        </w:rPr>
      </w:pPr>
    </w:p>
    <w:p w14:paraId="26921787" w14:textId="4D9D52F6" w:rsidR="00D76ACB" w:rsidRDefault="00D76ACB">
      <w:pPr>
        <w:rPr>
          <w:rFonts w:ascii="Times New Roman" w:hAnsi="Times New Roman" w:cs="Times New Roman"/>
          <w:sz w:val="24"/>
          <w:szCs w:val="24"/>
        </w:rPr>
      </w:pPr>
    </w:p>
    <w:p w14:paraId="278474B2" w14:textId="1F7D9587" w:rsidR="00D76ACB" w:rsidRDefault="00D76ACB">
      <w:pPr>
        <w:rPr>
          <w:rFonts w:ascii="Times New Roman" w:hAnsi="Times New Roman" w:cs="Times New Roman"/>
          <w:sz w:val="24"/>
          <w:szCs w:val="24"/>
        </w:rPr>
      </w:pPr>
    </w:p>
    <w:p w14:paraId="2FDE0CBF" w14:textId="749BD7C5" w:rsidR="00D76ACB" w:rsidRDefault="00D76ACB">
      <w:pPr>
        <w:rPr>
          <w:rFonts w:ascii="Times New Roman" w:hAnsi="Times New Roman" w:cs="Times New Roman"/>
          <w:sz w:val="24"/>
          <w:szCs w:val="24"/>
        </w:rPr>
      </w:pPr>
    </w:p>
    <w:p w14:paraId="19B19F59" w14:textId="4E3AD9B2" w:rsidR="00D76ACB" w:rsidRDefault="00D76ACB">
      <w:pPr>
        <w:rPr>
          <w:rFonts w:ascii="Times New Roman" w:hAnsi="Times New Roman" w:cs="Times New Roman"/>
          <w:sz w:val="24"/>
          <w:szCs w:val="24"/>
        </w:rPr>
      </w:pPr>
    </w:p>
    <w:p w14:paraId="42BE5CA1" w14:textId="1BF45399" w:rsidR="00D76ACB" w:rsidRDefault="00D76ACB">
      <w:pPr>
        <w:rPr>
          <w:rFonts w:ascii="Times New Roman" w:hAnsi="Times New Roman" w:cs="Times New Roman"/>
          <w:sz w:val="24"/>
          <w:szCs w:val="24"/>
        </w:rPr>
      </w:pPr>
    </w:p>
    <w:p w14:paraId="0737D686" w14:textId="042D802A" w:rsidR="00D76ACB" w:rsidRDefault="00D76ACB">
      <w:pPr>
        <w:rPr>
          <w:rFonts w:ascii="Times New Roman" w:hAnsi="Times New Roman" w:cs="Times New Roman"/>
          <w:sz w:val="24"/>
          <w:szCs w:val="24"/>
        </w:rPr>
      </w:pPr>
    </w:p>
    <w:p w14:paraId="609A888C" w14:textId="23755307" w:rsidR="00D76ACB" w:rsidRDefault="00D76ACB">
      <w:pPr>
        <w:rPr>
          <w:rFonts w:ascii="Times New Roman" w:hAnsi="Times New Roman" w:cs="Times New Roman"/>
          <w:sz w:val="24"/>
          <w:szCs w:val="24"/>
        </w:rPr>
      </w:pPr>
    </w:p>
    <w:p w14:paraId="452C7CD7" w14:textId="77777777" w:rsidR="00D76ACB" w:rsidRDefault="00D76ACB" w:rsidP="00D76ACB">
      <w:pPr>
        <w:spacing w:line="480" w:lineRule="auto"/>
        <w:contextualSpacing/>
        <w:rPr>
          <w:rFonts w:ascii="Times New Roman" w:hAnsi="Times New Roman" w:cs="Times New Roman"/>
          <w:b/>
          <w:bCs/>
          <w:sz w:val="24"/>
          <w:szCs w:val="24"/>
        </w:rPr>
      </w:pPr>
      <w:r>
        <w:rPr>
          <w:noProof/>
        </w:rPr>
        <w:lastRenderedPageBreak/>
        <w:drawing>
          <wp:inline distT="0" distB="0" distL="0" distR="0" wp14:anchorId="1C3ECD87" wp14:editId="5CB2A312">
            <wp:extent cx="6029325" cy="4660487"/>
            <wp:effectExtent l="0" t="0" r="0" b="6985"/>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39072" cy="4668021"/>
                    </a:xfrm>
                    <a:prstGeom prst="rect">
                      <a:avLst/>
                    </a:prstGeom>
                    <a:noFill/>
                    <a:ln>
                      <a:noFill/>
                    </a:ln>
                  </pic:spPr>
                </pic:pic>
              </a:graphicData>
            </a:graphic>
          </wp:inline>
        </w:drawing>
      </w:r>
    </w:p>
    <w:p w14:paraId="56BE13C1" w14:textId="77777777" w:rsidR="00D76ACB" w:rsidRDefault="00D76ACB" w:rsidP="00D76ACB">
      <w:pPr>
        <w:spacing w:line="480" w:lineRule="auto"/>
        <w:contextualSpacing/>
        <w:rPr>
          <w:rFonts w:ascii="Times New Roman" w:hAnsi="Times New Roman" w:cs="Times New Roman"/>
          <w:b/>
          <w:bCs/>
          <w:sz w:val="24"/>
          <w:szCs w:val="24"/>
        </w:rPr>
      </w:pPr>
    </w:p>
    <w:p w14:paraId="5508B02C" w14:textId="77777777" w:rsidR="00D76ACB" w:rsidRDefault="00D76ACB" w:rsidP="00D76ACB">
      <w:pPr>
        <w:spacing w:line="480" w:lineRule="auto"/>
        <w:contextualSpacing/>
        <w:rPr>
          <w:rFonts w:ascii="Times New Roman" w:hAnsi="Times New Roman" w:cs="Times New Roman"/>
          <w:sz w:val="24"/>
          <w:szCs w:val="24"/>
        </w:rPr>
      </w:pPr>
      <w:r>
        <w:rPr>
          <w:rFonts w:ascii="Times New Roman" w:hAnsi="Times New Roman" w:cs="Times New Roman"/>
          <w:b/>
          <w:bCs/>
          <w:sz w:val="24"/>
          <w:szCs w:val="24"/>
        </w:rPr>
        <w:t xml:space="preserve">Fig S1. </w:t>
      </w:r>
      <w:r>
        <w:rPr>
          <w:rFonts w:ascii="Times New Roman" w:hAnsi="Times New Roman" w:cs="Times New Roman"/>
          <w:sz w:val="24"/>
          <w:szCs w:val="24"/>
        </w:rPr>
        <w:t>Ovary size index based on the presence (N = 23) or absence (N = 15) of yellow bodies in the Arizona populations. Individuals without yellow bodies had significantly smaller ovary size index values than individuals with yellow bodies present (</w:t>
      </w:r>
      <w:r w:rsidRPr="009804AB">
        <w:rPr>
          <w:rFonts w:ascii="Times New Roman" w:hAnsi="Times New Roman" w:cs="Times New Roman"/>
          <w:i/>
          <w:iCs/>
          <w:sz w:val="24"/>
          <w:szCs w:val="24"/>
        </w:rPr>
        <w:t>P = 0.005</w:t>
      </w:r>
      <w:r>
        <w:rPr>
          <w:rFonts w:ascii="Times New Roman" w:hAnsi="Times New Roman" w:cs="Times New Roman"/>
          <w:sz w:val="24"/>
          <w:szCs w:val="24"/>
        </w:rPr>
        <w:t>). Boxplots show the median value for each category and the line with the asterisk indicates statistical significance.</w:t>
      </w:r>
    </w:p>
    <w:p w14:paraId="495B78C0" w14:textId="77777777" w:rsidR="00D76ACB" w:rsidRDefault="00D76ACB" w:rsidP="00D76ACB">
      <w:pPr>
        <w:spacing w:line="480" w:lineRule="auto"/>
        <w:contextualSpacing/>
        <w:rPr>
          <w:rFonts w:ascii="Times New Roman" w:hAnsi="Times New Roman" w:cs="Times New Roman"/>
          <w:sz w:val="24"/>
          <w:szCs w:val="24"/>
        </w:rPr>
      </w:pPr>
    </w:p>
    <w:p w14:paraId="553445C0" w14:textId="77777777" w:rsidR="00D76ACB" w:rsidRDefault="00D76ACB" w:rsidP="00D76ACB">
      <w:pPr>
        <w:spacing w:line="480" w:lineRule="auto"/>
        <w:contextualSpacing/>
        <w:rPr>
          <w:rFonts w:ascii="Times New Roman" w:hAnsi="Times New Roman" w:cs="Times New Roman"/>
          <w:sz w:val="24"/>
          <w:szCs w:val="24"/>
        </w:rPr>
      </w:pPr>
      <w:r>
        <w:rPr>
          <w:noProof/>
        </w:rPr>
        <w:lastRenderedPageBreak/>
        <w:drawing>
          <wp:inline distT="0" distB="0" distL="0" distR="0" wp14:anchorId="5A23E7AE" wp14:editId="0E6D6465">
            <wp:extent cx="5791621" cy="4476750"/>
            <wp:effectExtent l="0" t="0" r="0" b="0"/>
            <wp:docPr id="4" name="Picture 4" descr="Box and whisk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Box and whisker chart&#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95670" cy="4479880"/>
                    </a:xfrm>
                    <a:prstGeom prst="rect">
                      <a:avLst/>
                    </a:prstGeom>
                    <a:noFill/>
                    <a:ln>
                      <a:noFill/>
                    </a:ln>
                  </pic:spPr>
                </pic:pic>
              </a:graphicData>
            </a:graphic>
          </wp:inline>
        </w:drawing>
      </w:r>
    </w:p>
    <w:p w14:paraId="5164B515" w14:textId="77777777" w:rsidR="00D76ACB" w:rsidRDefault="00D76ACB" w:rsidP="00D76ACB">
      <w:pPr>
        <w:spacing w:line="480" w:lineRule="auto"/>
        <w:contextualSpacing/>
        <w:rPr>
          <w:rFonts w:ascii="Times New Roman" w:hAnsi="Times New Roman" w:cs="Times New Roman"/>
          <w:sz w:val="24"/>
          <w:szCs w:val="24"/>
        </w:rPr>
      </w:pPr>
      <w:r>
        <w:rPr>
          <w:rFonts w:ascii="Times New Roman" w:hAnsi="Times New Roman" w:cs="Times New Roman"/>
          <w:b/>
          <w:bCs/>
          <w:sz w:val="24"/>
          <w:szCs w:val="24"/>
        </w:rPr>
        <w:t xml:space="preserve">Fig S2. </w:t>
      </w:r>
      <w:r>
        <w:rPr>
          <w:rFonts w:ascii="Times New Roman" w:hAnsi="Times New Roman" w:cs="Times New Roman"/>
          <w:sz w:val="24"/>
          <w:szCs w:val="24"/>
        </w:rPr>
        <w:t>Ovary size index based on the presence (N = 22) or absence (N = 18) of yellow bodies in the Arizona populations. Individuals without yellow bodies had significantly larger ovary size than individuals with yellow bodies present (</w:t>
      </w:r>
      <w:r w:rsidRPr="009804AB">
        <w:rPr>
          <w:rFonts w:ascii="Times New Roman" w:hAnsi="Times New Roman" w:cs="Times New Roman"/>
          <w:i/>
          <w:iCs/>
          <w:sz w:val="24"/>
          <w:szCs w:val="24"/>
        </w:rPr>
        <w:t>P = 0.02</w:t>
      </w:r>
      <w:r>
        <w:rPr>
          <w:rFonts w:ascii="Times New Roman" w:hAnsi="Times New Roman" w:cs="Times New Roman"/>
          <w:sz w:val="24"/>
          <w:szCs w:val="24"/>
        </w:rPr>
        <w:t>). Boxplots show the median value for each category and the line with the asterisk indicates statistical significance.</w:t>
      </w:r>
    </w:p>
    <w:p w14:paraId="1F83DAC5" w14:textId="77777777" w:rsidR="00D76ACB" w:rsidRDefault="00D76ACB" w:rsidP="00D76ACB">
      <w:pPr>
        <w:spacing w:line="480" w:lineRule="auto"/>
        <w:contextualSpacing/>
        <w:rPr>
          <w:rFonts w:ascii="Times New Roman" w:hAnsi="Times New Roman" w:cs="Times New Roman"/>
          <w:sz w:val="24"/>
          <w:szCs w:val="24"/>
        </w:rPr>
      </w:pPr>
    </w:p>
    <w:p w14:paraId="206C7FE0" w14:textId="77777777" w:rsidR="00D76ACB" w:rsidRDefault="00D76ACB" w:rsidP="00D76ACB">
      <w:pPr>
        <w:spacing w:line="480" w:lineRule="auto"/>
        <w:contextualSpacing/>
        <w:rPr>
          <w:rFonts w:ascii="Times New Roman" w:hAnsi="Times New Roman" w:cs="Times New Roman"/>
          <w:sz w:val="24"/>
          <w:szCs w:val="24"/>
        </w:rPr>
      </w:pPr>
    </w:p>
    <w:p w14:paraId="7D7272B6" w14:textId="77777777" w:rsidR="00D76ACB" w:rsidRDefault="00D76ACB" w:rsidP="00D76ACB">
      <w:pPr>
        <w:spacing w:line="480" w:lineRule="auto"/>
        <w:contextualSpacing/>
        <w:rPr>
          <w:rFonts w:ascii="Times New Roman" w:hAnsi="Times New Roman" w:cs="Times New Roman"/>
          <w:sz w:val="24"/>
          <w:szCs w:val="24"/>
        </w:rPr>
      </w:pPr>
      <w:r>
        <w:rPr>
          <w:noProof/>
        </w:rPr>
        <w:lastRenderedPageBreak/>
        <w:drawing>
          <wp:inline distT="0" distB="0" distL="0" distR="0" wp14:anchorId="63EAB08D" wp14:editId="4A32F3FB">
            <wp:extent cx="4419600" cy="4756734"/>
            <wp:effectExtent l="0" t="0" r="0" b="635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40470" cy="4779196"/>
                    </a:xfrm>
                    <a:prstGeom prst="rect">
                      <a:avLst/>
                    </a:prstGeom>
                    <a:noFill/>
                    <a:ln>
                      <a:noFill/>
                    </a:ln>
                  </pic:spPr>
                </pic:pic>
              </a:graphicData>
            </a:graphic>
          </wp:inline>
        </w:drawing>
      </w:r>
    </w:p>
    <w:p w14:paraId="2AA7B51E" w14:textId="77777777" w:rsidR="00D76ACB" w:rsidRDefault="00D76ACB" w:rsidP="00D76ACB">
      <w:pPr>
        <w:spacing w:line="480" w:lineRule="auto"/>
        <w:rPr>
          <w:rFonts w:ascii="Times New Roman" w:hAnsi="Times New Roman"/>
          <w:sz w:val="24"/>
          <w:szCs w:val="24"/>
        </w:rPr>
      </w:pPr>
      <w:r>
        <w:rPr>
          <w:rFonts w:ascii="Times New Roman" w:hAnsi="Times New Roman" w:cs="Times New Roman"/>
          <w:b/>
          <w:bCs/>
          <w:sz w:val="24"/>
          <w:szCs w:val="24"/>
        </w:rPr>
        <w:t xml:space="preserve">Figure S3. </w:t>
      </w:r>
      <w:r>
        <w:rPr>
          <w:rFonts w:ascii="Times New Roman" w:hAnsi="Times New Roman"/>
          <w:sz w:val="24"/>
          <w:szCs w:val="24"/>
        </w:rPr>
        <w:t xml:space="preserve">Variable importance plot from random forest analysis of cuticular extracts from individuals collected from inside versus outside of the nest in Arizona samples. A higher “Mean Decrease in Accuracy” value indicates a more important variable for classifying samples into the inside vs outside of nest collection location categories. In this, case compounds at retention time 33.2 and 24.9 have the greatest effect on accurately classifying samples into specified groups. </w:t>
      </w:r>
    </w:p>
    <w:p w14:paraId="7EDC0341" w14:textId="77777777" w:rsidR="00D76ACB" w:rsidRDefault="00D76ACB" w:rsidP="00D76ACB">
      <w:pPr>
        <w:spacing w:line="480" w:lineRule="auto"/>
        <w:contextualSpacing/>
        <w:rPr>
          <w:rFonts w:ascii="Times New Roman" w:hAnsi="Times New Roman" w:cs="Times New Roman"/>
          <w:sz w:val="24"/>
          <w:szCs w:val="24"/>
        </w:rPr>
      </w:pPr>
    </w:p>
    <w:p w14:paraId="5975E021" w14:textId="77777777" w:rsidR="00D76ACB" w:rsidRDefault="00D76ACB" w:rsidP="00D76ACB">
      <w:pPr>
        <w:spacing w:line="480" w:lineRule="auto"/>
        <w:contextualSpacing/>
        <w:rPr>
          <w:rFonts w:ascii="Times New Roman" w:hAnsi="Times New Roman" w:cs="Times New Roman"/>
          <w:sz w:val="24"/>
          <w:szCs w:val="24"/>
        </w:rPr>
      </w:pPr>
      <w:r>
        <w:rPr>
          <w:noProof/>
        </w:rPr>
        <w:lastRenderedPageBreak/>
        <w:drawing>
          <wp:inline distT="0" distB="0" distL="0" distR="0" wp14:anchorId="0C27D098" wp14:editId="581F6805">
            <wp:extent cx="4629150" cy="4372469"/>
            <wp:effectExtent l="0" t="0" r="0" b="9525"/>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43211" cy="4385751"/>
                    </a:xfrm>
                    <a:prstGeom prst="rect">
                      <a:avLst/>
                    </a:prstGeom>
                    <a:noFill/>
                    <a:ln>
                      <a:noFill/>
                    </a:ln>
                  </pic:spPr>
                </pic:pic>
              </a:graphicData>
            </a:graphic>
          </wp:inline>
        </w:drawing>
      </w:r>
    </w:p>
    <w:p w14:paraId="1A243439" w14:textId="77777777" w:rsidR="00D76ACB" w:rsidRDefault="00D76ACB" w:rsidP="00D76ACB">
      <w:pPr>
        <w:spacing w:line="480" w:lineRule="auto"/>
        <w:contextualSpacing/>
        <w:rPr>
          <w:rFonts w:ascii="Times New Roman" w:hAnsi="Times New Roman" w:cs="Times New Roman"/>
          <w:sz w:val="24"/>
          <w:szCs w:val="24"/>
        </w:rPr>
      </w:pPr>
    </w:p>
    <w:p w14:paraId="79F42733" w14:textId="77777777" w:rsidR="00D76ACB" w:rsidRDefault="00D76ACB" w:rsidP="00D76ACB">
      <w:pPr>
        <w:spacing w:line="480" w:lineRule="auto"/>
        <w:rPr>
          <w:rFonts w:ascii="Times New Roman" w:hAnsi="Times New Roman"/>
          <w:sz w:val="24"/>
          <w:szCs w:val="24"/>
        </w:rPr>
      </w:pPr>
      <w:r>
        <w:rPr>
          <w:rFonts w:ascii="Times New Roman" w:hAnsi="Times New Roman" w:cs="Times New Roman"/>
          <w:b/>
          <w:bCs/>
          <w:sz w:val="24"/>
          <w:szCs w:val="24"/>
        </w:rPr>
        <w:t xml:space="preserve">Figure S4. </w:t>
      </w:r>
      <w:r>
        <w:rPr>
          <w:rFonts w:ascii="Times New Roman" w:hAnsi="Times New Roman"/>
          <w:sz w:val="24"/>
          <w:szCs w:val="24"/>
        </w:rPr>
        <w:t>Variable importance plot from random forest analysis of Dufour’s gland extracts from individuals collected from inside versus outside of the nest in Arizona samples. A higher “Mean Decrease in Accuracy” value indicates a more important variable for classifying samples into the inside vs outside of nest collection location categories. In this, case the compound at retention time 25.3 has the greatest effect on accurately classifying samples into specified groups.</w:t>
      </w:r>
    </w:p>
    <w:p w14:paraId="2690CE15" w14:textId="77777777" w:rsidR="00D76ACB" w:rsidRDefault="00D76ACB" w:rsidP="00D76ACB">
      <w:pPr>
        <w:spacing w:line="480" w:lineRule="auto"/>
        <w:contextualSpacing/>
        <w:rPr>
          <w:rFonts w:ascii="Times New Roman" w:hAnsi="Times New Roman" w:cs="Times New Roman"/>
          <w:sz w:val="24"/>
          <w:szCs w:val="24"/>
        </w:rPr>
      </w:pPr>
    </w:p>
    <w:p w14:paraId="66FF0A28" w14:textId="77777777" w:rsidR="00D76ACB" w:rsidRPr="00D76ACB" w:rsidRDefault="00D76ACB">
      <w:pPr>
        <w:rPr>
          <w:rFonts w:ascii="Times New Roman" w:hAnsi="Times New Roman" w:cs="Times New Roman"/>
          <w:sz w:val="24"/>
          <w:szCs w:val="24"/>
        </w:rPr>
      </w:pPr>
    </w:p>
    <w:sectPr w:rsidR="00D76ACB" w:rsidRPr="00D76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ACB"/>
    <w:rsid w:val="0013642F"/>
    <w:rsid w:val="00717AD8"/>
    <w:rsid w:val="00D76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8EEE4"/>
  <w15:chartTrackingRefBased/>
  <w15:docId w15:val="{F8F86C61-FAEE-48B6-B749-55F2D305E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6A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mailto:nsaleh@ufl.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Saleh</dc:creator>
  <cp:keywords/>
  <dc:description/>
  <cp:lastModifiedBy>Nick Saleh</cp:lastModifiedBy>
  <cp:revision>2</cp:revision>
  <dcterms:created xsi:type="dcterms:W3CDTF">2023-01-18T18:28:00Z</dcterms:created>
  <dcterms:modified xsi:type="dcterms:W3CDTF">2023-01-18T18:28:00Z</dcterms:modified>
</cp:coreProperties>
</file>