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783D58" w14:textId="77777777" w:rsidR="006459FE" w:rsidRPr="006459FE" w:rsidRDefault="006459FE" w:rsidP="00AC4F8F">
      <w:pPr>
        <w:spacing w:line="480" w:lineRule="auto"/>
        <w:rPr>
          <w:rFonts w:ascii="Calibri" w:eastAsia="Calibri" w:hAnsi="Calibri" w:cs="Times New Roman"/>
          <w:b/>
          <w:bCs/>
          <w:color w:val="4472C4" w:themeColor="accent1"/>
        </w:rPr>
      </w:pPr>
      <w:bookmarkStart w:id="0" w:name="_Hlk115707910"/>
      <w:r w:rsidRPr="006459FE">
        <w:rPr>
          <w:rFonts w:ascii="Calibri" w:eastAsia="Calibri" w:hAnsi="Calibri" w:cs="Times New Roman"/>
          <w:b/>
          <w:bCs/>
          <w:color w:val="4472C4" w:themeColor="accent1"/>
        </w:rPr>
        <w:t>Supplemental Methods</w:t>
      </w:r>
    </w:p>
    <w:p w14:paraId="57B31CA5" w14:textId="50F768B1" w:rsidR="00AC4F8F" w:rsidRPr="000E0240" w:rsidRDefault="00AC4F8F" w:rsidP="00AC4F8F">
      <w:pPr>
        <w:spacing w:line="480" w:lineRule="auto"/>
        <w:rPr>
          <w:rFonts w:ascii="Calibri" w:eastAsia="Calibri" w:hAnsi="Calibri" w:cs="Times New Roman"/>
          <w:b/>
          <w:bCs/>
        </w:rPr>
      </w:pPr>
      <w:r w:rsidRPr="000E0240">
        <w:rPr>
          <w:rFonts w:ascii="Calibri" w:eastAsia="Calibri" w:hAnsi="Calibri" w:cs="Times New Roman"/>
          <w:b/>
          <w:bCs/>
        </w:rPr>
        <w:t>Analysis of single cell RNA-Sequencing (</w:t>
      </w:r>
      <w:proofErr w:type="spellStart"/>
      <w:r w:rsidRPr="000E0240">
        <w:rPr>
          <w:rFonts w:ascii="Calibri" w:eastAsia="Calibri" w:hAnsi="Calibri" w:cs="Times New Roman"/>
          <w:b/>
          <w:bCs/>
        </w:rPr>
        <w:t>scRNA-seq</w:t>
      </w:r>
      <w:proofErr w:type="spellEnd"/>
      <w:r w:rsidRPr="000E0240">
        <w:rPr>
          <w:rFonts w:ascii="Calibri" w:eastAsia="Calibri" w:hAnsi="Calibri" w:cs="Times New Roman"/>
          <w:b/>
          <w:bCs/>
        </w:rPr>
        <w:t>) Data</w:t>
      </w:r>
    </w:p>
    <w:p w14:paraId="0D5ECFAA" w14:textId="77777777" w:rsidR="00AC4F8F" w:rsidRPr="000E0240" w:rsidRDefault="00AC4F8F" w:rsidP="00AC4F8F">
      <w:pPr>
        <w:spacing w:after="0" w:line="480" w:lineRule="auto"/>
        <w:rPr>
          <w:rFonts w:ascii="Calibri" w:eastAsia="Calibri" w:hAnsi="Calibri" w:cs="Times New Roman"/>
        </w:rPr>
      </w:pPr>
      <w:proofErr w:type="spellStart"/>
      <w:r w:rsidRPr="000E0240">
        <w:rPr>
          <w:rFonts w:ascii="Calibri" w:eastAsia="Calibri" w:hAnsi="Calibri" w:cs="Times New Roman"/>
        </w:rPr>
        <w:t>scRNA-seq</w:t>
      </w:r>
      <w:proofErr w:type="spellEnd"/>
      <w:r w:rsidRPr="000E0240">
        <w:rPr>
          <w:rFonts w:ascii="Calibri" w:eastAsia="Calibri" w:hAnsi="Calibri" w:cs="Times New Roman"/>
        </w:rPr>
        <w:t xml:space="preserve"> data from BM samples of patients with MM (GSE186448) (manuscript in revision) were analysed using the </w:t>
      </w:r>
      <w:proofErr w:type="spellStart"/>
      <w:r w:rsidRPr="000E0240">
        <w:rPr>
          <w:rFonts w:ascii="Calibri" w:eastAsia="Calibri" w:hAnsi="Calibri" w:cs="Times New Roman"/>
        </w:rPr>
        <w:t>scflow</w:t>
      </w:r>
      <w:proofErr w:type="spellEnd"/>
      <w:r w:rsidRPr="000E0240">
        <w:rPr>
          <w:rFonts w:ascii="Calibri" w:eastAsia="Calibri" w:hAnsi="Calibri" w:cs="Times New Roman"/>
        </w:rPr>
        <w:t xml:space="preserve"> pipeline (</w:t>
      </w:r>
      <w:hyperlink r:id="rId5" w:history="1">
        <w:r w:rsidRPr="000E0240">
          <w:rPr>
            <w:rFonts w:ascii="Calibri" w:eastAsia="Calibri" w:hAnsi="Calibri" w:cs="Times New Roman"/>
            <w:color w:val="0563C1" w:themeColor="hyperlink"/>
            <w:u w:val="single"/>
          </w:rPr>
          <w:t>https://github.com/cribbslab/scflow</w:t>
        </w:r>
      </w:hyperlink>
      <w:r w:rsidRPr="000E0240">
        <w:rPr>
          <w:rFonts w:ascii="Calibri" w:eastAsia="Calibri" w:hAnsi="Calibri" w:cs="Times New Roman"/>
        </w:rPr>
        <w:t xml:space="preserve">). The </w:t>
      </w:r>
      <w:proofErr w:type="spellStart"/>
      <w:r w:rsidRPr="000E0240">
        <w:rPr>
          <w:rFonts w:ascii="Calibri" w:eastAsia="Calibri" w:hAnsi="Calibri" w:cs="Times New Roman"/>
        </w:rPr>
        <w:t>kallisto</w:t>
      </w:r>
      <w:proofErr w:type="spellEnd"/>
      <w:r w:rsidRPr="000E0240">
        <w:rPr>
          <w:rFonts w:ascii="Calibri" w:eastAsia="Calibri" w:hAnsi="Calibri" w:cs="Times New Roman"/>
        </w:rPr>
        <w:t>/</w:t>
      </w:r>
      <w:proofErr w:type="spellStart"/>
      <w:r w:rsidRPr="000E0240">
        <w:rPr>
          <w:rFonts w:ascii="Calibri" w:eastAsia="Calibri" w:hAnsi="Calibri" w:cs="Times New Roman"/>
        </w:rPr>
        <w:t>bustools</w:t>
      </w:r>
      <w:proofErr w:type="spellEnd"/>
      <w:r w:rsidRPr="000E0240">
        <w:rPr>
          <w:rFonts w:ascii="Calibri" w:eastAsia="Calibri" w:hAnsi="Calibri" w:cs="Times New Roman"/>
        </w:rPr>
        <w:t xml:space="preserve"> workflow</w:t>
      </w:r>
      <w:r w:rsidRPr="000E0240">
        <w:rPr>
          <w:rFonts w:ascii="Calibri" w:eastAsia="Calibri" w:hAnsi="Calibri" w:cs="Times New Roman"/>
        </w:rPr>
        <w:fldChar w:fldCharType="begin"/>
      </w:r>
      <w:r>
        <w:rPr>
          <w:rFonts w:ascii="Calibri" w:eastAsia="Calibri" w:hAnsi="Calibri" w:cs="Times New Roman"/>
        </w:rPr>
        <w:instrText xml:space="preserve"> ADDIN ZOTERO_ITEM CSL_CITATION {"citationID":"pPsqwcb6","properties":{"formattedCitation":"\\super 30\\nosupersub{}","plainCitation":"30","noteIndex":0},"citationItems":[{"id":5447,"uris":["http://zotero.org/users/9294629/items/XSNV579N"],"itemData":{"id":5447,"type":"article-journal","abstract":"We describe a workflow for preprocessing of single-cell RNA-sequencing data that balances efficiency and accuracy. Our workflow is based on the kallisto and bustools programs, and is near optimal in speed with a constant memory requirement providing scalability for arbitrarily large datasets. The workflow is modular, and we demonstrate its flexibility by showing how it can be used for RNA velocity analyses.","container-title":"Nature Biotechnology","DOI":"10.1038/s41587-021-00870-2","ISSN":"1546-1696","issue":"7","journalAbbreviation":"Nat Biotechnol","language":"en","license":"2021 The Author(s), under exclusive licence to Springer Nature America, Inc.","note":"number: 7\npublisher: Nature Publishing Group","page":"813-818","source":"www.nature.com","title":"Modular, efficient and constant-memory single-cell RNA-seq preprocessing","volume":"39","author":[{"family":"Melsted","given":"Páll"},{"family":"Booeshaghi","given":"A. Sina"},{"family":"Liu","given":"Lauren"},{"family":"Gao","given":"Fan"},{"family":"Lu","given":"Lambda"},{"family":"Min","given":"Kyung Hoi (Joseph)"},{"family":"Veiga Beltrame","given":"Eduardo","non-dropping-particle":"da"},{"family":"Hjörleifsson","given":"Kristján Eldjárn"},{"family":"Gehring","given":"Jase"},{"family":"Pachter","given":"Lior"}],"issued":{"date-parts":[["2021",7]]}}}],"schema":"https://github.com/citation-style-language/schema/raw/master/csl-citation.json"} </w:instrText>
      </w:r>
      <w:r w:rsidRPr="000E0240">
        <w:rPr>
          <w:rFonts w:ascii="Calibri" w:eastAsia="Calibri" w:hAnsi="Calibri" w:cs="Times New Roman"/>
        </w:rPr>
        <w:fldChar w:fldCharType="separate"/>
      </w:r>
      <w:r w:rsidRPr="00502837">
        <w:rPr>
          <w:rFonts w:ascii="Calibri" w:hAnsi="Calibri" w:cs="Calibri"/>
          <w:szCs w:val="24"/>
          <w:vertAlign w:val="superscript"/>
        </w:rPr>
        <w:t>30</w:t>
      </w:r>
      <w:r w:rsidRPr="000E0240">
        <w:rPr>
          <w:rFonts w:ascii="Calibri" w:eastAsia="Calibri" w:hAnsi="Calibri" w:cs="Times New Roman"/>
        </w:rPr>
        <w:fldChar w:fldCharType="end"/>
      </w:r>
      <w:r w:rsidRPr="000E0240">
        <w:rPr>
          <w:rFonts w:ascii="Calibri" w:eastAsia="Calibri" w:hAnsi="Calibri" w:cs="Times New Roman"/>
        </w:rPr>
        <w:t xml:space="preserve"> was used to </w:t>
      </w:r>
      <w:proofErr w:type="spellStart"/>
      <w:r w:rsidRPr="000E0240">
        <w:rPr>
          <w:rFonts w:ascii="Calibri" w:eastAsia="Calibri" w:hAnsi="Calibri" w:cs="Times New Roman"/>
        </w:rPr>
        <w:t>pseudoalign</w:t>
      </w:r>
      <w:proofErr w:type="spellEnd"/>
      <w:r w:rsidRPr="000E0240">
        <w:rPr>
          <w:rFonts w:ascii="Calibri" w:eastAsia="Calibri" w:hAnsi="Calibri" w:cs="Times New Roman"/>
        </w:rPr>
        <w:t xml:space="preserve"> the reads, using a </w:t>
      </w:r>
      <w:proofErr w:type="spellStart"/>
      <w:r w:rsidRPr="000E0240">
        <w:rPr>
          <w:rFonts w:ascii="Calibri" w:eastAsia="Calibri" w:hAnsi="Calibri" w:cs="Times New Roman"/>
        </w:rPr>
        <w:t>kmer</w:t>
      </w:r>
      <w:proofErr w:type="spellEnd"/>
      <w:r w:rsidRPr="000E0240">
        <w:rPr>
          <w:rFonts w:ascii="Calibri" w:eastAsia="Calibri" w:hAnsi="Calibri" w:cs="Times New Roman"/>
        </w:rPr>
        <w:t xml:space="preserve"> size of 31 base pairs to the GRCh38 (hg38) reference transcriptome. The output was converted to a </w:t>
      </w:r>
      <w:proofErr w:type="spellStart"/>
      <w:r w:rsidRPr="000E0240">
        <w:rPr>
          <w:rFonts w:ascii="Calibri" w:eastAsia="Calibri" w:hAnsi="Calibri" w:cs="Times New Roman"/>
        </w:rPr>
        <w:t>singleCellExperiment</w:t>
      </w:r>
      <w:proofErr w:type="spellEnd"/>
      <w:r w:rsidRPr="000E0240">
        <w:rPr>
          <w:rFonts w:ascii="Calibri" w:eastAsia="Calibri" w:hAnsi="Calibri" w:cs="Times New Roman"/>
        </w:rPr>
        <w:t xml:space="preserve"> class object for initial filtering and then converted to a Seurat object for further downstream processing. Quality control and filtering was performed using a mitochondrial ratio </w:t>
      </w:r>
      <w:proofErr w:type="spellStart"/>
      <w:r w:rsidRPr="000E0240">
        <w:rPr>
          <w:rFonts w:ascii="Calibri" w:eastAsia="Calibri" w:hAnsi="Calibri" w:cs="Times New Roman"/>
        </w:rPr>
        <w:t>cuttoff</w:t>
      </w:r>
      <w:proofErr w:type="spellEnd"/>
      <w:r w:rsidRPr="000E0240">
        <w:rPr>
          <w:rFonts w:ascii="Calibri" w:eastAsia="Calibri" w:hAnsi="Calibri" w:cs="Times New Roman"/>
        </w:rPr>
        <w:t xml:space="preserve"> of 0.1, fewer than 500 UMIs, or fewer than 300 or greater than 6000 features were removed. Clustering and sample integration were performed using Seurat (v4)</w:t>
      </w:r>
      <w:r w:rsidRPr="000E0240">
        <w:rPr>
          <w:rFonts w:ascii="Calibri" w:eastAsia="Calibri" w:hAnsi="Calibri" w:cs="Times New Roman"/>
        </w:rPr>
        <w:fldChar w:fldCharType="begin"/>
      </w:r>
      <w:r>
        <w:rPr>
          <w:rFonts w:ascii="Calibri" w:eastAsia="Calibri" w:hAnsi="Calibri" w:cs="Times New Roman"/>
        </w:rPr>
        <w:instrText xml:space="preserve"> ADDIN ZOTERO_ITEM CSL_CITATION {"citationID":"oQVSrXGJ","properties":{"formattedCitation":"\\super 31\\nosupersub{}","plainCitation":"31","noteIndex":0},"citationItems":[{"id":5450,"uris":["http://zotero.org/users/9294629/items/JTH6GXA8"],"itemData":{"id":5450,"type":"article-journal","abstract":"The simultaneous measurement of multiple modalities represents an exciting frontier for single-cell genomics and necessitates computational methods that can define cellular states based on multimodal data. Here, we introduce “weighted-nearest neighbor” analysis, an unsupervised framework to learn the relative utility of each data type in each cell, enabling an integrative analysis of multiple modalities. We apply our procedure to a CITE-seq dataset of 211,000 human peripheral blood mononuclear cells (PBMCs) with panels extending to 228 antibodies to construct a multimodal reference atlas of the circulating immune system. Multimodal analysis substantially improves our ability to resolve cell states, allowing us to identify and validate previously unreported lymphoid subpopulations. Moreover, we demonstrate how to leverage this reference to rapidly map new datasets and to interpret immune responses to vaccination and coronavirus disease 2019 (COVID-19). Our approach represents a broadly applicable strategy to analyze single-cell multimodal datasets and to look beyond the transcriptome toward a unified and multimodal definition of cellular identity.","container-title":"Cell","DOI":"10.1016/j.cell.2021.04.048","ISSN":"0092-8674","issue":"13","journalAbbreviation":"Cell","language":"en","page":"3573-3587.e29","source":"ScienceDirect","title":"Integrated analysis of multimodal single-cell data","volume":"184","author":[{"family":"Hao","given":"Yuhan"},{"family":"Hao","given":"Stephanie"},{"family":"Andersen-Nissen","given":"Erica"},{"family":"Mauck","given":"William M."},{"family":"Zheng","given":"Shiwei"},{"family":"Butler","given":"Andrew"},{"family":"Lee","given":"Maddie J."},{"family":"Wilk","given":"Aaron J."},{"family":"Darby","given":"Charlotte"},{"family":"Zager","given":"Michael"},{"family":"Hoffman","given":"Paul"},{"family":"Stoeckius","given":"Marlon"},{"family":"Papalexi","given":"Efthymia"},{"family":"Mimitou","given":"Eleni P."},{"family":"Jain","given":"Jaison"},{"family":"Srivastava","given":"Avi"},{"family":"Stuart","given":"Tim"},{"family":"Fleming","given":"Lamar M."},{"family":"Yeung","given":"Bertrand"},{"family":"Rogers","given":"Angela J."},{"family":"McElrath","given":"Juliana M."},{"family":"Blish","given":"Catherine A."},{"family":"Gottardo","given":"Raphael"},{"family":"Smibert","given":"Peter"},{"family":"Satija","given":"Rahul"}],"issued":{"date-parts":[["2021",6,24]]}}}],"schema":"https://github.com/citation-style-language/schema/raw/master/csl-citation.json"} </w:instrText>
      </w:r>
      <w:r w:rsidRPr="000E0240">
        <w:rPr>
          <w:rFonts w:ascii="Calibri" w:eastAsia="Calibri" w:hAnsi="Calibri" w:cs="Times New Roman"/>
        </w:rPr>
        <w:fldChar w:fldCharType="separate"/>
      </w:r>
      <w:r w:rsidRPr="00502837">
        <w:rPr>
          <w:rFonts w:ascii="Calibri" w:hAnsi="Calibri" w:cs="Calibri"/>
          <w:szCs w:val="24"/>
          <w:vertAlign w:val="superscript"/>
        </w:rPr>
        <w:t>31</w:t>
      </w:r>
      <w:r w:rsidRPr="000E0240">
        <w:rPr>
          <w:rFonts w:ascii="Calibri" w:eastAsia="Calibri" w:hAnsi="Calibri" w:cs="Times New Roman"/>
        </w:rPr>
        <w:fldChar w:fldCharType="end"/>
      </w:r>
      <w:r w:rsidRPr="000E0240">
        <w:rPr>
          <w:rFonts w:ascii="Calibri" w:eastAsia="Calibri" w:hAnsi="Calibri" w:cs="Times New Roman"/>
        </w:rPr>
        <w:t>. Automated cell type annotation using singleR</w:t>
      </w:r>
      <w:r w:rsidRPr="000E0240">
        <w:rPr>
          <w:rFonts w:ascii="Calibri" w:eastAsia="Calibri" w:hAnsi="Calibri" w:cs="Times New Roman"/>
        </w:rPr>
        <w:fldChar w:fldCharType="begin"/>
      </w:r>
      <w:r>
        <w:rPr>
          <w:rFonts w:ascii="Calibri" w:eastAsia="Calibri" w:hAnsi="Calibri" w:cs="Times New Roman"/>
        </w:rPr>
        <w:instrText xml:space="preserve"> ADDIN ZOTERO_ITEM CSL_CITATION {"citationID":"sbk7uv9E","properties":{"formattedCitation":"\\super 32\\nosupersub{}","plainCitation":"32","noteIndex":0},"citationItems":[{"id":5453,"uris":["http://zotero.org/users/9294629/items/Z77SI3JE"],"itemData":{"id":5453,"type":"article-journal","abstract":"Tissue fibrosis is a major cause of mortality that results from the deposition of matrix proteins by an activated mesenchyme. Macrophages accumulate in fibrosis, but the role of specific subgroups in supporting fibrogenesis has not been investigated in vivo. Here, we used single-cell RNA sequencing (scRNA-seq) to characterize the heterogeneity of macrophages in bleomycin-induced lung fibrosis in mice. A novel computational framework for the annotation of scRNA-seq by reference to bulk transcriptomes (SingleR) enabled the subclustering of macrophages and revealed a disease-associated subgroup with a transitional gene expression profile intermediate between monocyte-derived and alveolar macrophages. These CX3CR1+SiglecF+ transitional macrophages localized to the fibrotic niche and had a profibrotic effect in vivo. Human orthologs of genes expressed by the transitional macrophages were upregulated in samples from patients with idiopathic pulmonary fibrosis. Thus, we have identified a pathological subgroup of transitional macrophages that are required for the fibrotic response to injury.","container-title":"Nature Immunology","DOI":"10.1038/s41590-018-0276-y","ISSN":"1529-2916","issue":"2","journalAbbreviation":"Nat Immunol","language":"en","license":"2019 The Author(s), under exclusive licence to Springer Nature America, Inc.","note":"number: 2\npublisher: Nature Publishing Group","page":"163-172","source":"www.nature.com","title":"Reference-based analysis of lung single-cell sequencing reveals a transitional profibrotic macrophage","volume":"20","author":[{"family":"Aran","given":"Dvir"},{"family":"Looney","given":"Agnieszka P."},{"family":"Liu","given":"Leqian"},{"family":"Wu","given":"Esther"},{"family":"Fong","given":"Valerie"},{"family":"Hsu","given":"Austin"},{"family":"Chak","given":"Suzanna"},{"family":"Naikawadi","given":"Ram P."},{"family":"Wolters","given":"Paul J."},{"family":"Abate","given":"Adam R."},{"family":"Butte","given":"Atul J."},{"family":"Bhattacharya","given":"Mallar"}],"issued":{"date-parts":[["2019",2]]}}}],"schema":"https://github.com/citation-style-language/schema/raw/master/csl-citation.json"} </w:instrText>
      </w:r>
      <w:r w:rsidRPr="000E0240">
        <w:rPr>
          <w:rFonts w:ascii="Calibri" w:eastAsia="Calibri" w:hAnsi="Calibri" w:cs="Times New Roman"/>
        </w:rPr>
        <w:fldChar w:fldCharType="separate"/>
      </w:r>
      <w:r w:rsidRPr="00502837">
        <w:rPr>
          <w:rFonts w:ascii="Calibri" w:hAnsi="Calibri" w:cs="Calibri"/>
          <w:szCs w:val="24"/>
          <w:vertAlign w:val="superscript"/>
        </w:rPr>
        <w:t>32</w:t>
      </w:r>
      <w:r w:rsidRPr="000E0240">
        <w:rPr>
          <w:rFonts w:ascii="Calibri" w:eastAsia="Calibri" w:hAnsi="Calibri" w:cs="Times New Roman"/>
        </w:rPr>
        <w:fldChar w:fldCharType="end"/>
      </w:r>
      <w:r w:rsidRPr="000E0240">
        <w:rPr>
          <w:rFonts w:ascii="Calibri" w:eastAsia="Calibri" w:hAnsi="Calibri" w:cs="Times New Roman"/>
        </w:rPr>
        <w:t>, scCLassify</w:t>
      </w:r>
      <w:r w:rsidRPr="000E0240">
        <w:rPr>
          <w:rFonts w:ascii="Calibri" w:eastAsia="Calibri" w:hAnsi="Calibri" w:cs="Times New Roman"/>
        </w:rPr>
        <w:fldChar w:fldCharType="begin"/>
      </w:r>
      <w:r>
        <w:rPr>
          <w:rFonts w:ascii="Calibri" w:eastAsia="Calibri" w:hAnsi="Calibri" w:cs="Times New Roman"/>
        </w:rPr>
        <w:instrText xml:space="preserve"> ADDIN ZOTERO_ITEM CSL_CITATION {"citationID":"wXFeaHBY","properties":{"formattedCitation":"\\super 33\\nosupersub{}","plainCitation":"33","noteIndex":0},"citationItems":[{"id":5456,"uris":["http://zotero.org/users/9294629/items/5HTUNC8F"],"itemData":{"id":5456,"type":"article-journal","abstract":"Abstract Automated cell type identification is a key computational challenge in single-cell RNA-sequencing (scRNA-seq) data. To capitalise on the large collection of well-annotated scRNA-seq datasets, we developed scClassify, a multiscale classification framework based on ensemble learning and cell type hierarchies constructed from single or multiple annotated datasets as references. scClassify enables the estimation of sample size required for accurate classification of cell types in a cell type hierarchy and allows joint classification of cells when multiple references are available. We show that scClassify consistently performs better than other supervised cell type classification methods across 114 pairs of reference and testing data, representing a diverse combination of sizes, technologies and levels of complexity, and further demonstrate the unique components of scClassify through simulations and compendia of experimental datasets. Finally, we demonstrate the scalability of scClassify on large single-cell atlases and highlight a novel application of identifying subpopulations of cells from the Tabula Muris data that were unidentified in the original publication. Together, scClassify represents state-of-the-art methodology in automated cell type identification from scRNA-seq data.","container-title":"Molecular Systems Biology","DOI":"10.15252/msb.20199389","ISSN":"1744-4292","issue":"6","note":"publisher: John Wiley &amp; Sons, Ltd","page":"e9389","source":"embopress.org (Atypon)","title":"scClassify: sample size estimation and multiscale classification of cells using single and multiple reference","title-short":"scClassify","volume":"16","issued":{"date-parts":[["2020",6]]}}}],"schema":"https://github.com/citation-style-language/schema/raw/master/csl-citation.json"} </w:instrText>
      </w:r>
      <w:r w:rsidRPr="000E0240">
        <w:rPr>
          <w:rFonts w:ascii="Calibri" w:eastAsia="Calibri" w:hAnsi="Calibri" w:cs="Times New Roman"/>
        </w:rPr>
        <w:fldChar w:fldCharType="separate"/>
      </w:r>
      <w:r w:rsidRPr="00502837">
        <w:rPr>
          <w:rFonts w:ascii="Calibri" w:hAnsi="Calibri" w:cs="Calibri"/>
          <w:szCs w:val="24"/>
          <w:vertAlign w:val="superscript"/>
        </w:rPr>
        <w:t>33</w:t>
      </w:r>
      <w:r w:rsidRPr="000E0240">
        <w:rPr>
          <w:rFonts w:ascii="Calibri" w:eastAsia="Calibri" w:hAnsi="Calibri" w:cs="Times New Roman"/>
        </w:rPr>
        <w:fldChar w:fldCharType="end"/>
      </w:r>
      <w:r w:rsidRPr="000E0240">
        <w:rPr>
          <w:rFonts w:ascii="Calibri" w:eastAsia="Calibri" w:hAnsi="Calibri" w:cs="Times New Roman"/>
        </w:rPr>
        <w:t xml:space="preserve"> and clustifyr</w:t>
      </w:r>
      <w:r w:rsidRPr="000E0240">
        <w:rPr>
          <w:rFonts w:ascii="Calibri" w:eastAsia="Calibri" w:hAnsi="Calibri" w:cs="Times New Roman"/>
        </w:rPr>
        <w:fldChar w:fldCharType="begin"/>
      </w:r>
      <w:r>
        <w:rPr>
          <w:rFonts w:ascii="Calibri" w:eastAsia="Calibri" w:hAnsi="Calibri" w:cs="Times New Roman"/>
        </w:rPr>
        <w:instrText xml:space="preserve"> ADDIN ZOTERO_ITEM CSL_CITATION {"citationID":"lBf1LIUR","properties":{"formattedCitation":"\\super 34\\nosupersub{}","plainCitation":"34","noteIndex":0},"citationItems":[{"id":5458,"uris":["http://zotero.org/users/9294629/items/8WDIQ26T"],"itemData":{"id":5458,"type":"report","abstract":"Assignment of cell types from single-cell RNA sequencing (scRNA-seq) data remains a time-consuming and error-prone process. Current packages for identity assignment use limited types of reference data and often have rigid data structure requirements. We developed the clustifyr R package to leverage several external data types, including gene expression profiles to assign likely cell types using data from scRNA-seq, bulk RNA-seq, microarray expression data, or signature gene lists. We benchmark various parameters of a correlation-based approach and implement gene list enrichment methods. clustifyr is a lightweight and effective cell-type assignment tool developed for compatibility with various scRNA-seq analysis workflows. clustifyr is publicly available at https://github.com/rnabioco/clustifyr","language":"en","license":"http://creativecommons.org/licenses/by/4.0/","note":"DOI: 10.12688/f1000research.22969.2\ntype: article","number":"9:223","publisher":"F1000Research","source":"f1000research.com","title":"clustifyr: an R package for automated single-cell RNA sequencing cluster classification","title-short":"clustifyr","URL":"https://f1000research.com/articles/9-223","author":[{"family":"Fu","given":"Rui"},{"family":"Gillen","given":"Austin E."},{"family":"Sheridan","given":"Ryan M."},{"family":"Tian","given":"Chengzhe"},{"family":"Daya","given":"Michelle"},{"family":"Hao","given":"Yue"},{"family":"Hesselberth","given":"Jay R."},{"family":"Riemondy","given":"Kent A."}],"accessed":{"date-parts":[["2022",9,13]]},"issued":{"date-parts":[["2020",7,16]]}}}],"schema":"https://github.com/citation-style-language/schema/raw/master/csl-citation.json"} </w:instrText>
      </w:r>
      <w:r w:rsidRPr="000E0240">
        <w:rPr>
          <w:rFonts w:ascii="Calibri" w:eastAsia="Calibri" w:hAnsi="Calibri" w:cs="Times New Roman"/>
        </w:rPr>
        <w:fldChar w:fldCharType="separate"/>
      </w:r>
      <w:r w:rsidRPr="00502837">
        <w:rPr>
          <w:rFonts w:ascii="Calibri" w:hAnsi="Calibri" w:cs="Calibri"/>
          <w:szCs w:val="24"/>
          <w:vertAlign w:val="superscript"/>
        </w:rPr>
        <w:t>34</w:t>
      </w:r>
      <w:r w:rsidRPr="000E0240">
        <w:rPr>
          <w:rFonts w:ascii="Calibri" w:eastAsia="Calibri" w:hAnsi="Calibri" w:cs="Times New Roman"/>
        </w:rPr>
        <w:fldChar w:fldCharType="end"/>
      </w:r>
      <w:r w:rsidRPr="000E0240">
        <w:rPr>
          <w:rFonts w:ascii="Calibri" w:eastAsia="Calibri" w:hAnsi="Calibri" w:cs="Times New Roman"/>
        </w:rPr>
        <w:t xml:space="preserve"> were used as a guide for manual annotation. Seurat’s Wilcoxon approach was used for differential gene expression analysis.</w:t>
      </w:r>
    </w:p>
    <w:p w14:paraId="09515B4B" w14:textId="77777777" w:rsidR="00AC4F8F" w:rsidRPr="000E0240" w:rsidRDefault="00AC4F8F" w:rsidP="00AC4F8F">
      <w:pPr>
        <w:spacing w:after="0" w:line="480" w:lineRule="auto"/>
        <w:rPr>
          <w:rFonts w:ascii="Calibri" w:eastAsia="Calibri" w:hAnsi="Calibri" w:cs="Times New Roman"/>
        </w:rPr>
      </w:pPr>
    </w:p>
    <w:p w14:paraId="1127F802" w14:textId="77777777" w:rsidR="00AC4F8F" w:rsidRPr="000E0240" w:rsidRDefault="00AC4F8F" w:rsidP="00AC4F8F">
      <w:pPr>
        <w:spacing w:after="0" w:line="480" w:lineRule="auto"/>
        <w:rPr>
          <w:rFonts w:cstheme="minorHAnsi"/>
          <w:lang w:eastAsia="en-GB"/>
        </w:rPr>
      </w:pPr>
      <w:proofErr w:type="spellStart"/>
      <w:r w:rsidRPr="000E0240">
        <w:rPr>
          <w:rFonts w:ascii="Calibri" w:eastAsia="Calibri" w:hAnsi="Calibri" w:cs="Times New Roman"/>
        </w:rPr>
        <w:t>scRNA-seq</w:t>
      </w:r>
      <w:proofErr w:type="spellEnd"/>
      <w:r w:rsidRPr="000E0240">
        <w:rPr>
          <w:rFonts w:ascii="Calibri" w:eastAsia="Calibri" w:hAnsi="Calibri" w:cs="Times New Roman"/>
        </w:rPr>
        <w:t xml:space="preserve"> </w:t>
      </w:r>
      <w:r w:rsidRPr="000E0240">
        <w:rPr>
          <w:rFonts w:cstheme="minorHAnsi"/>
          <w:lang w:eastAsia="en-GB"/>
        </w:rPr>
        <w:t>and associated CITE-</w:t>
      </w:r>
      <w:proofErr w:type="spellStart"/>
      <w:r w:rsidRPr="000E0240">
        <w:rPr>
          <w:rFonts w:cstheme="minorHAnsi"/>
          <w:lang w:eastAsia="en-GB"/>
        </w:rPr>
        <w:t>seq</w:t>
      </w:r>
      <w:proofErr w:type="spellEnd"/>
      <w:r w:rsidRPr="000E0240">
        <w:rPr>
          <w:rFonts w:cstheme="minorHAnsi"/>
          <w:lang w:eastAsia="en-GB"/>
        </w:rPr>
        <w:t xml:space="preserve"> data from BM samples of healthy controls (GSE139369)</w:t>
      </w:r>
      <w:r w:rsidRPr="000E0240">
        <w:rPr>
          <w:rFonts w:cstheme="minorHAnsi"/>
          <w:lang w:eastAsia="en-GB"/>
        </w:rPr>
        <w:fldChar w:fldCharType="begin"/>
      </w:r>
      <w:r>
        <w:rPr>
          <w:rFonts w:cstheme="minorHAnsi"/>
          <w:lang w:eastAsia="en-GB"/>
        </w:rPr>
        <w:instrText xml:space="preserve"> ADDIN ZOTERO_ITEM CSL_CITATION {"citationID":"gUV4vGcZ","properties":{"formattedCitation":"\\super 35\\nosupersub{}","plainCitation":"35","noteIndex":0},"citationItems":[{"id":5581,"uris":["http://zotero.org/users/9294629/items/NGDWDLDQ"],"itemData":{"id":5581,"type":"article-journal","abstract":"Identifying the causes of human diseases requires deconvolution of abnormal molecular phenotypes spanning DNA accessibility, gene expression and protein abundance1–3. We present a single-cell framework that integrates highly multiplexed protein quantification, transcriptome profiling and analysis of chromatin accessibility. Using this approach, we establish a normal epigenetic baseline for healthy blood development, which we then use to deconvolve aberrant molecular features within blood from patients with mixed-phenotype acute leukemia4,5. Despite widespread epigenetic heterogeneity within the patient cohort, we observe common malignant signatures across patients as well as patient-specific regulatory features that are shared across phenotypic compartments of individual patients. Integrative analysis of transcriptomic and chromatin-accessibility maps identified 91,601 putative peak-to-gene linkages and transcription factors that regulate leukemia-specific genes, such as RUNX1-linked regulatory elements proximal to the marker gene CD69. These results demonstrate how integrative, multiomic analysis of single cells within the framework of normal development can reveal both distinct and shared molecular mechanisms of disease from patient samples.","container-title":"Nature Biotechnology","DOI":"10.1038/s41587-019-0332-7","ISSN":"1546-1696","issue":"12","journalAbbreviation":"Nat Biotechnol","language":"en","license":"2019 The Author(s), under exclusive licence to Springer Nature America, Inc.","note":"number: 12\npublisher: Nature Publishing Group","page":"1458-1465","source":"www.nature.com","title":"Single-cell multiomic analysis identifies regulatory programs in mixed-phenotype acute leukemia","volume":"37","author":[{"family":"Granja","given":"Jeffrey M."},{"family":"Klemm","given":"Sandy"},{"family":"McGinnis","given":"Lisa M."},{"family":"Kathiria","given":"Arwa S."},{"family":"Mezger","given":"Anja"},{"family":"Corces","given":"M. Ryan"},{"family":"Parks","given":"Benjamin"},{"family":"Gars","given":"Eric"},{"family":"Liedtke","given":"Michaela"},{"family":"Zheng","given":"Grace X. Y."},{"family":"Chang","given":"Howard Y."},{"family":"Majeti","given":"Ravindra"},{"family":"Greenleaf","given":"William J."}],"issued":{"date-parts":[["2019",12]]}}}],"schema":"https://github.com/citation-style-language/schema/raw/master/csl-citation.json"} </w:instrText>
      </w:r>
      <w:r w:rsidRPr="000E0240">
        <w:rPr>
          <w:rFonts w:cstheme="minorHAnsi"/>
          <w:lang w:eastAsia="en-GB"/>
        </w:rPr>
        <w:fldChar w:fldCharType="separate"/>
      </w:r>
      <w:r w:rsidRPr="00502837">
        <w:rPr>
          <w:rFonts w:ascii="Calibri" w:hAnsi="Calibri" w:cs="Calibri"/>
          <w:szCs w:val="24"/>
          <w:vertAlign w:val="superscript"/>
        </w:rPr>
        <w:t>35</w:t>
      </w:r>
      <w:r w:rsidRPr="000E0240">
        <w:rPr>
          <w:rFonts w:cstheme="minorHAnsi"/>
          <w:lang w:eastAsia="en-GB"/>
        </w:rPr>
        <w:fldChar w:fldCharType="end"/>
      </w:r>
      <w:r w:rsidRPr="000E0240">
        <w:rPr>
          <w:rFonts w:cstheme="minorHAnsi"/>
          <w:lang w:eastAsia="en-GB"/>
        </w:rPr>
        <w:t xml:space="preserve"> were analysed using </w:t>
      </w:r>
      <w:proofErr w:type="spellStart"/>
      <w:r w:rsidRPr="000E0240">
        <w:rPr>
          <w:rFonts w:cstheme="minorHAnsi"/>
          <w:lang w:eastAsia="en-GB"/>
        </w:rPr>
        <w:t>scanpy</w:t>
      </w:r>
      <w:proofErr w:type="spellEnd"/>
      <w:r w:rsidRPr="000E0240">
        <w:rPr>
          <w:rFonts w:cstheme="minorHAnsi"/>
          <w:lang w:eastAsia="en-GB"/>
        </w:rPr>
        <w:t xml:space="preserve"> 1.7.0</w:t>
      </w:r>
      <w:r w:rsidRPr="000E0240">
        <w:rPr>
          <w:rFonts w:cstheme="minorHAnsi"/>
          <w:lang w:eastAsia="en-GB"/>
        </w:rPr>
        <w:fldChar w:fldCharType="begin"/>
      </w:r>
      <w:r>
        <w:rPr>
          <w:rFonts w:cstheme="minorHAnsi"/>
          <w:lang w:eastAsia="en-GB"/>
        </w:rPr>
        <w:instrText xml:space="preserve"> ADDIN ZOTERO_ITEM CSL_CITATION {"citationID":"w9hXKQaK","properties":{"formattedCitation":"\\super 36\\nosupersub{}","plainCitation":"36","noteIndex":0},"citationItems":[{"id":5591,"uris":["http://zotero.org/users/9294629/items/SKZVENJJ"],"itemData":{"id":5591,"type":"article-journal","abstract":"Scanpy is a scalable toolkit for analyzing single-cell gene expression data. It includes methods for preprocessing, visualization, clustering, pseudotime and trajectory inference, differential expression testing, and simulation of gene regulatory networks. Its Python-based implementation efficiently deals with data sets of more than one million cells (https://github.com/theislab/Scanpy). Along with Scanpy, we present AnnData, a generic class for handling annotated data matrices (https://github.com/theislab/anndata).","container-title":"Genome Biology","DOI":"10.1186/s13059-017-1382-0","ISSN":"1474-760X","issue":"1","journalAbbreviation":"Genome Biology","page":"15","source":"BioMed Central","title":"SCANPY: large-scale single-cell gene expression data analysis","title-short":"SCANPY","volume":"19","author":[{"family":"Wolf","given":"F. Alexander"},{"family":"Angerer","given":"Philipp"},{"family":"Theis","given":"Fabian J."}],"issued":{"date-parts":[["2018",2,6]]}}}],"schema":"https://github.com/citation-style-language/schema/raw/master/csl-citation.json"} </w:instrText>
      </w:r>
      <w:r w:rsidRPr="000E0240">
        <w:rPr>
          <w:rFonts w:cstheme="minorHAnsi"/>
          <w:lang w:eastAsia="en-GB"/>
        </w:rPr>
        <w:fldChar w:fldCharType="separate"/>
      </w:r>
      <w:r w:rsidRPr="00502837">
        <w:rPr>
          <w:rFonts w:ascii="Calibri" w:hAnsi="Calibri" w:cs="Calibri"/>
          <w:szCs w:val="24"/>
          <w:vertAlign w:val="superscript"/>
        </w:rPr>
        <w:t>36</w:t>
      </w:r>
      <w:r w:rsidRPr="000E0240">
        <w:rPr>
          <w:rFonts w:cstheme="minorHAnsi"/>
          <w:lang w:eastAsia="en-GB"/>
        </w:rPr>
        <w:fldChar w:fldCharType="end"/>
      </w:r>
      <w:r w:rsidRPr="000E0240">
        <w:rPr>
          <w:rFonts w:cstheme="minorHAnsi"/>
          <w:lang w:eastAsia="en-GB"/>
        </w:rPr>
        <w:t xml:space="preserve">. CD3 protein-expressing bone marrow single-cells were processed to 7 clusters. Briefly, size factor-normalised log-transformed scaled highly variable genes were used to calculate principal components for neighbourhood graph construction, in turn used for </w:t>
      </w:r>
      <w:proofErr w:type="spellStart"/>
      <w:r w:rsidRPr="000E0240">
        <w:rPr>
          <w:rFonts w:cstheme="minorHAnsi"/>
          <w:lang w:eastAsia="en-GB"/>
        </w:rPr>
        <w:t>leiden</w:t>
      </w:r>
      <w:proofErr w:type="spellEnd"/>
      <w:r w:rsidRPr="000E0240">
        <w:rPr>
          <w:rFonts w:cstheme="minorHAnsi"/>
          <w:lang w:eastAsia="en-GB"/>
        </w:rPr>
        <w:t xml:space="preserve"> clustering</w:t>
      </w:r>
      <w:r w:rsidRPr="000E0240">
        <w:rPr>
          <w:rFonts w:cstheme="minorHAnsi"/>
          <w:lang w:eastAsia="en-GB"/>
        </w:rPr>
        <w:fldChar w:fldCharType="begin"/>
      </w:r>
      <w:r>
        <w:rPr>
          <w:rFonts w:cstheme="minorHAnsi"/>
          <w:lang w:eastAsia="en-GB"/>
        </w:rPr>
        <w:instrText xml:space="preserve"> ADDIN ZOTERO_ITEM CSL_CITATION {"citationID":"dHgQoMnn","properties":{"formattedCitation":"\\super 37\\nosupersub{}","plainCitation":"37","noteIndex":0},"citationItems":[{"id":5594,"uris":["http://zotero.org/users/9294629/items/7E5J3GPD"],"itemData":{"id":5594,"type":"article-journal","abstract":"Community detection is often used to understand the structure of large and complex networks. One of the most popular algorithms for uncovering community structure is the so-called Louvain algorithm. We show that this algorithm has a major defect that largely went unnoticed until now: the Louvain algorithm may yield arbitrarily badly connected communities. In the worst case, communities may even be disconnected, especially when running the algorithm iteratively. In our experimental analysis, we observe that up to 25% of the communities are badly connected and up to 16% are disconnected. To address this problem, we introduce the Leiden algorithm. We prove that the Leiden algorithm yields communities that are guaranteed to be connected. In addition, we prove that, when the Leiden algorithm is applied iteratively, it converges to a partition in which all subsets of all communities are locally optimally assigned. Furthermore, by relying on a fast local move approach, the Leiden algorithm runs faster than the Louvain algorithm. We demonstrate the performance of the Leiden algorithm for several benchmark and real-world networks. We find that the Leiden algorithm is faster than the Louvain algorithm and uncovers better partitions, in addition to providing explicit guarantees.","container-title":"Scientific Reports","DOI":"10.1038/s41598-019-41695-z","ISSN":"2045-2322","issue":"1","journalAbbreviation":"Sci Rep","language":"en","license":"2019 The Author(s)","note":"number: 1\npublisher: Nature Publishing Group","page":"5233","source":"www.nature.com","title":"From Louvain to Leiden: guaranteeing well-connected communities","title-short":"From Louvain to Leiden","volume":"9","author":[{"family":"Traag","given":"V. A."},{"family":"Waltman","given":"L."},{"family":"Eck","given":"N. J.","non-dropping-particle":"van"}],"issued":{"date-parts":[["2019",3,26]]}}}],"schema":"https://github.com/citation-style-language/schema/raw/master/csl-citation.json"} </w:instrText>
      </w:r>
      <w:r w:rsidRPr="000E0240">
        <w:rPr>
          <w:rFonts w:cstheme="minorHAnsi"/>
          <w:lang w:eastAsia="en-GB"/>
        </w:rPr>
        <w:fldChar w:fldCharType="separate"/>
      </w:r>
      <w:r w:rsidRPr="00502837">
        <w:rPr>
          <w:rFonts w:ascii="Calibri" w:hAnsi="Calibri" w:cs="Calibri"/>
          <w:szCs w:val="24"/>
          <w:vertAlign w:val="superscript"/>
        </w:rPr>
        <w:t>37</w:t>
      </w:r>
      <w:r w:rsidRPr="000E0240">
        <w:rPr>
          <w:rFonts w:cstheme="minorHAnsi"/>
          <w:lang w:eastAsia="en-GB"/>
        </w:rPr>
        <w:fldChar w:fldCharType="end"/>
      </w:r>
      <w:r w:rsidRPr="000E0240">
        <w:rPr>
          <w:rFonts w:cstheme="minorHAnsi"/>
          <w:lang w:eastAsia="en-GB"/>
        </w:rPr>
        <w:t xml:space="preserve"> and UMAP calculation</w:t>
      </w:r>
      <w:r w:rsidRPr="000E0240">
        <w:rPr>
          <w:rFonts w:cstheme="minorHAnsi"/>
          <w:lang w:eastAsia="en-GB"/>
        </w:rPr>
        <w:fldChar w:fldCharType="begin"/>
      </w:r>
      <w:r>
        <w:rPr>
          <w:rFonts w:cstheme="minorHAnsi"/>
          <w:lang w:eastAsia="en-GB"/>
        </w:rPr>
        <w:instrText xml:space="preserve"> ADDIN ZOTERO_ITEM CSL_CITATION {"citationID":"7iOZM5Ub","properties":{"formattedCitation":"\\super 38\\nosupersub{}","plainCitation":"38","noteIndex":0},"citationItems":[{"id":5597,"uris":["http://zotero.org/users/9294629/items/PC3MJFLL"],"itemData":{"id":5597,"type":"article","abstract":"UMAP (Uniform Manifold Approximation and Projection) is a novel manifold learning technique for dimension reduction. UMAP is constructed from a theoretical framework based in Riemannian geometry and algebraic topology. The result is a practical scalable algorithm that applies to real world data. The UMAP algorithm is competitive with t-SNE for visualization quality, and arguably preserves more of the global structure with superior run time performance. Furthermore, UMAP has no computational restrictions on embedding dimension, making it viable as a general purpose dimension reduction technique for machine learning.","DOI":"10.48550/arXiv.1802.03426","note":"arXiv:1802.03426 [cs, stat]","number":"arXiv:1802.03426","publisher":"arXiv","source":"arXiv.org","title":"UMAP: Uniform Manifold Approximation and Projection for Dimension Reduction","title-short":"UMAP","URL":"http://arxiv.org/abs/1802.03426","author":[{"family":"McInnes","given":"Leland"},{"family":"Healy","given":"John"},{"family":"Melville","given":"James"}],"accessed":{"date-parts":[["2022",9,26]]},"issued":{"date-parts":[["2020",9,17]]}}}],"schema":"https://github.com/citation-style-language/schema/raw/master/csl-citation.json"} </w:instrText>
      </w:r>
      <w:r w:rsidRPr="000E0240">
        <w:rPr>
          <w:rFonts w:cstheme="minorHAnsi"/>
          <w:lang w:eastAsia="en-GB"/>
        </w:rPr>
        <w:fldChar w:fldCharType="separate"/>
      </w:r>
      <w:r w:rsidRPr="00502837">
        <w:rPr>
          <w:rFonts w:ascii="Calibri" w:hAnsi="Calibri" w:cs="Calibri"/>
          <w:szCs w:val="24"/>
          <w:vertAlign w:val="superscript"/>
        </w:rPr>
        <w:t>38</w:t>
      </w:r>
      <w:r w:rsidRPr="000E0240">
        <w:rPr>
          <w:rFonts w:cstheme="minorHAnsi"/>
          <w:lang w:eastAsia="en-GB"/>
        </w:rPr>
        <w:fldChar w:fldCharType="end"/>
      </w:r>
      <w:r w:rsidRPr="000E0240">
        <w:rPr>
          <w:rFonts w:cstheme="minorHAnsi"/>
          <w:lang w:eastAsia="en-GB"/>
        </w:rPr>
        <w:t>. T cell phenotype was assigned to each cluster using canonical marker genes and surface expression.</w:t>
      </w:r>
    </w:p>
    <w:p w14:paraId="0022F239" w14:textId="77777777" w:rsidR="00AC4F8F" w:rsidRDefault="00AC4F8F">
      <w:pPr>
        <w:rPr>
          <w:b/>
          <w:bCs/>
        </w:rPr>
      </w:pPr>
      <w:r>
        <w:rPr>
          <w:b/>
          <w:bCs/>
        </w:rPr>
        <w:br w:type="page"/>
      </w:r>
    </w:p>
    <w:p w14:paraId="033205FE" w14:textId="0312B7D4" w:rsidR="006203D7" w:rsidRDefault="006203D7" w:rsidP="006203D7">
      <w:pPr>
        <w:rPr>
          <w:b/>
          <w:bCs/>
        </w:rPr>
      </w:pPr>
      <w:r w:rsidRPr="002C08BD">
        <w:rPr>
          <w:b/>
          <w:bCs/>
        </w:rPr>
        <w:lastRenderedPageBreak/>
        <w:t>Table S</w:t>
      </w:r>
      <w:r>
        <w:rPr>
          <w:b/>
          <w:bCs/>
        </w:rPr>
        <w:t>1</w:t>
      </w:r>
      <w:r w:rsidRPr="002C08BD">
        <w:rPr>
          <w:b/>
          <w:bCs/>
        </w:rPr>
        <w:t xml:space="preserve">: </w:t>
      </w:r>
      <w:r>
        <w:rPr>
          <w:b/>
          <w:bCs/>
        </w:rPr>
        <w:t>General and Clinical Characteristics of Patients and Controls</w:t>
      </w:r>
    </w:p>
    <w:tbl>
      <w:tblPr>
        <w:tblStyle w:val="TableGrid"/>
        <w:tblpPr w:leftFromText="180" w:rightFromText="180" w:vertAnchor="text" w:horzAnchor="margin" w:tblpY="54"/>
        <w:tblW w:w="9751" w:type="dxa"/>
        <w:tblLook w:val="04A0" w:firstRow="1" w:lastRow="0" w:firstColumn="1" w:lastColumn="0" w:noHBand="0" w:noVBand="1"/>
      </w:tblPr>
      <w:tblGrid>
        <w:gridCol w:w="1831"/>
        <w:gridCol w:w="840"/>
        <w:gridCol w:w="1152"/>
        <w:gridCol w:w="1768"/>
        <w:gridCol w:w="1560"/>
        <w:gridCol w:w="1340"/>
        <w:gridCol w:w="1260"/>
      </w:tblGrid>
      <w:tr w:rsidR="006203D7" w:rsidRPr="002C08BD" w14:paraId="75B7EA60" w14:textId="77777777" w:rsidTr="006203D7">
        <w:trPr>
          <w:trHeight w:val="570"/>
        </w:trPr>
        <w:tc>
          <w:tcPr>
            <w:tcW w:w="1831" w:type="dxa"/>
            <w:shd w:val="clear" w:color="auto" w:fill="DEEAF6" w:themeFill="accent5" w:themeFillTint="33"/>
            <w:hideMark/>
          </w:tcPr>
          <w:p w14:paraId="444C411E" w14:textId="77777777" w:rsidR="006203D7" w:rsidRPr="002C08BD" w:rsidRDefault="006203D7" w:rsidP="006203D7">
            <w:pPr>
              <w:jc w:val="center"/>
              <w:rPr>
                <w:rFonts w:cstheme="minorHAnsi"/>
                <w:b/>
                <w:bCs/>
                <w:sz w:val="20"/>
                <w:szCs w:val="20"/>
              </w:rPr>
            </w:pPr>
          </w:p>
        </w:tc>
        <w:tc>
          <w:tcPr>
            <w:tcW w:w="840" w:type="dxa"/>
            <w:shd w:val="clear" w:color="auto" w:fill="DEEAF6" w:themeFill="accent5" w:themeFillTint="33"/>
            <w:hideMark/>
          </w:tcPr>
          <w:p w14:paraId="3C6AF6F0" w14:textId="77777777" w:rsidR="006203D7" w:rsidRPr="002C08BD" w:rsidRDefault="006203D7" w:rsidP="006203D7">
            <w:pPr>
              <w:jc w:val="center"/>
              <w:rPr>
                <w:rFonts w:cstheme="minorHAnsi"/>
                <w:b/>
                <w:bCs/>
                <w:sz w:val="20"/>
                <w:szCs w:val="20"/>
              </w:rPr>
            </w:pPr>
            <w:r w:rsidRPr="002C08BD">
              <w:rPr>
                <w:rFonts w:cstheme="minorHAnsi"/>
                <w:b/>
                <w:bCs/>
                <w:sz w:val="20"/>
                <w:szCs w:val="20"/>
              </w:rPr>
              <w:t>Control</w:t>
            </w:r>
          </w:p>
        </w:tc>
        <w:tc>
          <w:tcPr>
            <w:tcW w:w="1152" w:type="dxa"/>
            <w:shd w:val="clear" w:color="auto" w:fill="DEEAF6" w:themeFill="accent5" w:themeFillTint="33"/>
            <w:hideMark/>
          </w:tcPr>
          <w:p w14:paraId="6E902343" w14:textId="77777777" w:rsidR="006203D7" w:rsidRPr="002C08BD" w:rsidRDefault="006203D7" w:rsidP="006203D7">
            <w:pPr>
              <w:jc w:val="center"/>
              <w:rPr>
                <w:rFonts w:cstheme="minorHAnsi"/>
                <w:b/>
                <w:bCs/>
                <w:sz w:val="20"/>
                <w:szCs w:val="20"/>
              </w:rPr>
            </w:pPr>
            <w:r w:rsidRPr="002C08BD">
              <w:rPr>
                <w:rFonts w:cstheme="minorHAnsi"/>
                <w:b/>
                <w:bCs/>
                <w:sz w:val="20"/>
                <w:szCs w:val="20"/>
              </w:rPr>
              <w:t>MGUS</w:t>
            </w:r>
          </w:p>
        </w:tc>
        <w:tc>
          <w:tcPr>
            <w:tcW w:w="1768" w:type="dxa"/>
            <w:shd w:val="clear" w:color="auto" w:fill="DEEAF6" w:themeFill="accent5" w:themeFillTint="33"/>
            <w:hideMark/>
          </w:tcPr>
          <w:p w14:paraId="2AA5A585" w14:textId="77777777" w:rsidR="006203D7" w:rsidRPr="002C08BD" w:rsidRDefault="006203D7" w:rsidP="006203D7">
            <w:pPr>
              <w:jc w:val="center"/>
              <w:rPr>
                <w:rFonts w:cstheme="minorHAnsi"/>
                <w:b/>
                <w:bCs/>
                <w:sz w:val="20"/>
                <w:szCs w:val="20"/>
              </w:rPr>
            </w:pPr>
            <w:r w:rsidRPr="002C08BD">
              <w:rPr>
                <w:rFonts w:cstheme="minorHAnsi"/>
                <w:b/>
                <w:bCs/>
                <w:sz w:val="20"/>
                <w:szCs w:val="20"/>
              </w:rPr>
              <w:t>Asymptomatic MM</w:t>
            </w:r>
          </w:p>
        </w:tc>
        <w:tc>
          <w:tcPr>
            <w:tcW w:w="1560" w:type="dxa"/>
            <w:shd w:val="clear" w:color="auto" w:fill="DEEAF6" w:themeFill="accent5" w:themeFillTint="33"/>
            <w:hideMark/>
          </w:tcPr>
          <w:p w14:paraId="2FCBB39D" w14:textId="77777777" w:rsidR="006203D7" w:rsidRPr="002C08BD" w:rsidRDefault="006203D7" w:rsidP="006203D7">
            <w:pPr>
              <w:jc w:val="center"/>
              <w:rPr>
                <w:rFonts w:cstheme="minorHAnsi"/>
                <w:b/>
                <w:bCs/>
                <w:sz w:val="20"/>
                <w:szCs w:val="20"/>
              </w:rPr>
            </w:pPr>
            <w:r w:rsidRPr="002C08BD">
              <w:rPr>
                <w:rFonts w:cstheme="minorHAnsi"/>
                <w:b/>
                <w:bCs/>
                <w:sz w:val="20"/>
                <w:szCs w:val="20"/>
              </w:rPr>
              <w:t>MM at Diagnosis</w:t>
            </w:r>
          </w:p>
        </w:tc>
        <w:tc>
          <w:tcPr>
            <w:tcW w:w="1340" w:type="dxa"/>
            <w:shd w:val="clear" w:color="auto" w:fill="DEEAF6" w:themeFill="accent5" w:themeFillTint="33"/>
            <w:hideMark/>
          </w:tcPr>
          <w:p w14:paraId="34B64EC6" w14:textId="77777777" w:rsidR="006203D7" w:rsidRPr="002C08BD" w:rsidRDefault="006203D7" w:rsidP="006203D7">
            <w:pPr>
              <w:jc w:val="center"/>
              <w:rPr>
                <w:rFonts w:cstheme="minorHAnsi"/>
                <w:b/>
                <w:bCs/>
                <w:sz w:val="20"/>
                <w:szCs w:val="20"/>
              </w:rPr>
            </w:pPr>
            <w:r w:rsidRPr="002C08BD">
              <w:rPr>
                <w:rFonts w:cstheme="minorHAnsi"/>
                <w:b/>
                <w:bCs/>
                <w:sz w:val="20"/>
                <w:szCs w:val="20"/>
              </w:rPr>
              <w:t>MM on relapse</w:t>
            </w:r>
          </w:p>
        </w:tc>
        <w:tc>
          <w:tcPr>
            <w:tcW w:w="1260" w:type="dxa"/>
            <w:shd w:val="clear" w:color="auto" w:fill="DEEAF6" w:themeFill="accent5" w:themeFillTint="33"/>
            <w:hideMark/>
          </w:tcPr>
          <w:p w14:paraId="50F8D95F" w14:textId="77777777" w:rsidR="006203D7" w:rsidRPr="002C08BD" w:rsidRDefault="006203D7" w:rsidP="006203D7">
            <w:pPr>
              <w:jc w:val="center"/>
              <w:rPr>
                <w:rFonts w:cstheme="minorHAnsi"/>
                <w:b/>
                <w:bCs/>
                <w:sz w:val="20"/>
                <w:szCs w:val="20"/>
              </w:rPr>
            </w:pPr>
            <w:r w:rsidRPr="002C08BD">
              <w:rPr>
                <w:rFonts w:cstheme="minorHAnsi"/>
                <w:b/>
                <w:bCs/>
                <w:sz w:val="20"/>
                <w:szCs w:val="20"/>
              </w:rPr>
              <w:t>MM in remission</w:t>
            </w:r>
          </w:p>
        </w:tc>
      </w:tr>
      <w:tr w:rsidR="006203D7" w:rsidRPr="002C08BD" w14:paraId="1BF0CCD0" w14:textId="77777777" w:rsidTr="006203D7">
        <w:trPr>
          <w:trHeight w:val="290"/>
        </w:trPr>
        <w:tc>
          <w:tcPr>
            <w:tcW w:w="1831" w:type="dxa"/>
            <w:hideMark/>
          </w:tcPr>
          <w:p w14:paraId="2BA74F0D" w14:textId="77777777" w:rsidR="006203D7" w:rsidRPr="006B0570" w:rsidRDefault="006203D7" w:rsidP="006203D7">
            <w:pPr>
              <w:rPr>
                <w:rFonts w:cstheme="minorHAnsi"/>
                <w:sz w:val="20"/>
                <w:szCs w:val="20"/>
              </w:rPr>
            </w:pPr>
            <w:r w:rsidRPr="006B0570">
              <w:rPr>
                <w:rFonts w:cstheme="minorHAnsi"/>
                <w:sz w:val="20"/>
                <w:szCs w:val="20"/>
              </w:rPr>
              <w:t>n</w:t>
            </w:r>
          </w:p>
        </w:tc>
        <w:tc>
          <w:tcPr>
            <w:tcW w:w="840" w:type="dxa"/>
            <w:noWrap/>
            <w:hideMark/>
          </w:tcPr>
          <w:p w14:paraId="4C906809" w14:textId="77777777" w:rsidR="006203D7" w:rsidRPr="002C08BD" w:rsidRDefault="006203D7" w:rsidP="006203D7">
            <w:pPr>
              <w:jc w:val="center"/>
              <w:rPr>
                <w:rFonts w:cstheme="minorHAnsi"/>
                <w:sz w:val="20"/>
                <w:szCs w:val="20"/>
              </w:rPr>
            </w:pPr>
            <w:r w:rsidRPr="002C08BD">
              <w:rPr>
                <w:rFonts w:cstheme="minorHAnsi"/>
                <w:sz w:val="20"/>
                <w:szCs w:val="20"/>
              </w:rPr>
              <w:t>10</w:t>
            </w:r>
          </w:p>
        </w:tc>
        <w:tc>
          <w:tcPr>
            <w:tcW w:w="1152" w:type="dxa"/>
            <w:noWrap/>
            <w:hideMark/>
          </w:tcPr>
          <w:p w14:paraId="5AF3F197" w14:textId="77777777" w:rsidR="006203D7" w:rsidRPr="002C08BD" w:rsidRDefault="006203D7" w:rsidP="006203D7">
            <w:pPr>
              <w:jc w:val="center"/>
              <w:rPr>
                <w:rFonts w:cstheme="minorHAnsi"/>
                <w:sz w:val="20"/>
                <w:szCs w:val="20"/>
              </w:rPr>
            </w:pPr>
            <w:r w:rsidRPr="002C08BD">
              <w:rPr>
                <w:rFonts w:cstheme="minorHAnsi"/>
                <w:sz w:val="20"/>
                <w:szCs w:val="20"/>
              </w:rPr>
              <w:t>13</w:t>
            </w:r>
          </w:p>
        </w:tc>
        <w:tc>
          <w:tcPr>
            <w:tcW w:w="1768" w:type="dxa"/>
            <w:noWrap/>
            <w:hideMark/>
          </w:tcPr>
          <w:p w14:paraId="5B882344" w14:textId="77777777" w:rsidR="006203D7" w:rsidRPr="002C08BD" w:rsidRDefault="006203D7" w:rsidP="006203D7">
            <w:pPr>
              <w:jc w:val="center"/>
              <w:rPr>
                <w:rFonts w:cstheme="minorHAnsi"/>
                <w:sz w:val="20"/>
                <w:szCs w:val="20"/>
              </w:rPr>
            </w:pPr>
            <w:r w:rsidRPr="002C08BD">
              <w:rPr>
                <w:rFonts w:cstheme="minorHAnsi"/>
                <w:sz w:val="20"/>
                <w:szCs w:val="20"/>
              </w:rPr>
              <w:t>11</w:t>
            </w:r>
          </w:p>
        </w:tc>
        <w:tc>
          <w:tcPr>
            <w:tcW w:w="1560" w:type="dxa"/>
            <w:noWrap/>
            <w:hideMark/>
          </w:tcPr>
          <w:p w14:paraId="10BDD9BF" w14:textId="77777777" w:rsidR="006203D7" w:rsidRPr="002C08BD" w:rsidRDefault="006203D7" w:rsidP="006203D7">
            <w:pPr>
              <w:jc w:val="center"/>
              <w:rPr>
                <w:rFonts w:cstheme="minorHAnsi"/>
                <w:sz w:val="20"/>
                <w:szCs w:val="20"/>
              </w:rPr>
            </w:pPr>
            <w:r w:rsidRPr="002C08BD">
              <w:rPr>
                <w:rFonts w:cstheme="minorHAnsi"/>
                <w:sz w:val="20"/>
                <w:szCs w:val="20"/>
              </w:rPr>
              <w:t>12</w:t>
            </w:r>
          </w:p>
        </w:tc>
        <w:tc>
          <w:tcPr>
            <w:tcW w:w="1340" w:type="dxa"/>
            <w:noWrap/>
            <w:hideMark/>
          </w:tcPr>
          <w:p w14:paraId="5E573965" w14:textId="77777777" w:rsidR="006203D7" w:rsidRPr="002C08BD" w:rsidRDefault="006203D7" w:rsidP="006203D7">
            <w:pPr>
              <w:jc w:val="center"/>
              <w:rPr>
                <w:rFonts w:cstheme="minorHAnsi"/>
                <w:sz w:val="20"/>
                <w:szCs w:val="20"/>
              </w:rPr>
            </w:pPr>
            <w:r w:rsidRPr="002C08BD">
              <w:rPr>
                <w:rFonts w:cstheme="minorHAnsi"/>
                <w:sz w:val="20"/>
                <w:szCs w:val="20"/>
              </w:rPr>
              <w:t>14</w:t>
            </w:r>
          </w:p>
        </w:tc>
        <w:tc>
          <w:tcPr>
            <w:tcW w:w="1260" w:type="dxa"/>
            <w:noWrap/>
            <w:hideMark/>
          </w:tcPr>
          <w:p w14:paraId="5341BCB2" w14:textId="77777777" w:rsidR="006203D7" w:rsidRPr="002C08BD" w:rsidRDefault="006203D7" w:rsidP="006203D7">
            <w:pPr>
              <w:jc w:val="center"/>
              <w:rPr>
                <w:rFonts w:cstheme="minorHAnsi"/>
                <w:sz w:val="20"/>
                <w:szCs w:val="20"/>
              </w:rPr>
            </w:pPr>
            <w:r w:rsidRPr="002C08BD">
              <w:rPr>
                <w:rFonts w:cstheme="minorHAnsi"/>
                <w:sz w:val="20"/>
                <w:szCs w:val="20"/>
              </w:rPr>
              <w:t>12</w:t>
            </w:r>
          </w:p>
        </w:tc>
      </w:tr>
      <w:tr w:rsidR="006203D7" w:rsidRPr="002C08BD" w14:paraId="0BC68D6B" w14:textId="77777777" w:rsidTr="006203D7">
        <w:trPr>
          <w:trHeight w:val="510"/>
        </w:trPr>
        <w:tc>
          <w:tcPr>
            <w:tcW w:w="1831" w:type="dxa"/>
            <w:hideMark/>
          </w:tcPr>
          <w:p w14:paraId="7FEDFA5C" w14:textId="77777777" w:rsidR="006203D7" w:rsidRPr="006B0570" w:rsidRDefault="006203D7" w:rsidP="006203D7">
            <w:pPr>
              <w:rPr>
                <w:rFonts w:cstheme="minorHAnsi"/>
                <w:sz w:val="20"/>
                <w:szCs w:val="20"/>
              </w:rPr>
            </w:pPr>
            <w:r w:rsidRPr="006B0570">
              <w:rPr>
                <w:rFonts w:cstheme="minorHAnsi"/>
                <w:sz w:val="20"/>
                <w:szCs w:val="20"/>
              </w:rPr>
              <w:t>Age</w:t>
            </w:r>
            <w:r>
              <w:rPr>
                <w:rFonts w:cstheme="minorHAnsi"/>
                <w:sz w:val="20"/>
                <w:szCs w:val="20"/>
              </w:rPr>
              <w:t xml:space="preserve"> – </w:t>
            </w:r>
            <w:r w:rsidRPr="006B0570">
              <w:rPr>
                <w:rFonts w:cstheme="minorHAnsi"/>
                <w:sz w:val="20"/>
                <w:szCs w:val="20"/>
              </w:rPr>
              <w:t>Median</w:t>
            </w:r>
            <w:r>
              <w:rPr>
                <w:rFonts w:cstheme="minorHAnsi"/>
                <w:sz w:val="20"/>
                <w:szCs w:val="20"/>
              </w:rPr>
              <w:t xml:space="preserve"> (Range)</w:t>
            </w:r>
          </w:p>
        </w:tc>
        <w:tc>
          <w:tcPr>
            <w:tcW w:w="840" w:type="dxa"/>
            <w:noWrap/>
            <w:hideMark/>
          </w:tcPr>
          <w:p w14:paraId="67AAA177" w14:textId="77777777" w:rsidR="006203D7" w:rsidRDefault="006203D7" w:rsidP="006203D7">
            <w:pPr>
              <w:jc w:val="center"/>
              <w:rPr>
                <w:rFonts w:cstheme="minorHAnsi"/>
                <w:sz w:val="20"/>
                <w:szCs w:val="20"/>
              </w:rPr>
            </w:pPr>
            <w:r w:rsidRPr="002C08BD">
              <w:rPr>
                <w:rFonts w:cstheme="minorHAnsi"/>
                <w:sz w:val="20"/>
                <w:szCs w:val="20"/>
              </w:rPr>
              <w:t>8</w:t>
            </w:r>
            <w:r>
              <w:rPr>
                <w:rFonts w:cstheme="minorHAnsi"/>
                <w:sz w:val="20"/>
                <w:szCs w:val="20"/>
              </w:rPr>
              <w:t xml:space="preserve">3 </w:t>
            </w:r>
          </w:p>
          <w:p w14:paraId="180150CA" w14:textId="77777777" w:rsidR="006203D7" w:rsidRPr="002C08BD" w:rsidRDefault="006203D7" w:rsidP="006203D7">
            <w:pPr>
              <w:jc w:val="center"/>
              <w:rPr>
                <w:rFonts w:cstheme="minorHAnsi"/>
                <w:sz w:val="20"/>
                <w:szCs w:val="20"/>
              </w:rPr>
            </w:pPr>
            <w:r>
              <w:rPr>
                <w:rFonts w:cstheme="minorHAnsi"/>
                <w:sz w:val="20"/>
                <w:szCs w:val="20"/>
              </w:rPr>
              <w:t>(44-97)</w:t>
            </w:r>
          </w:p>
        </w:tc>
        <w:tc>
          <w:tcPr>
            <w:tcW w:w="1152" w:type="dxa"/>
            <w:noWrap/>
            <w:hideMark/>
          </w:tcPr>
          <w:p w14:paraId="058500D8" w14:textId="77777777" w:rsidR="006203D7" w:rsidRDefault="006203D7" w:rsidP="006203D7">
            <w:pPr>
              <w:jc w:val="center"/>
              <w:rPr>
                <w:rFonts w:cstheme="minorHAnsi"/>
                <w:sz w:val="20"/>
                <w:szCs w:val="20"/>
              </w:rPr>
            </w:pPr>
            <w:r w:rsidRPr="002C08BD">
              <w:rPr>
                <w:rFonts w:cstheme="minorHAnsi"/>
                <w:sz w:val="20"/>
                <w:szCs w:val="20"/>
              </w:rPr>
              <w:t>65</w:t>
            </w:r>
            <w:r>
              <w:rPr>
                <w:rFonts w:cstheme="minorHAnsi"/>
                <w:sz w:val="20"/>
                <w:szCs w:val="20"/>
              </w:rPr>
              <w:t xml:space="preserve"> </w:t>
            </w:r>
          </w:p>
          <w:p w14:paraId="5A7E1F6E" w14:textId="77777777" w:rsidR="006203D7" w:rsidRPr="002C08BD" w:rsidRDefault="006203D7" w:rsidP="006203D7">
            <w:pPr>
              <w:jc w:val="center"/>
              <w:rPr>
                <w:rFonts w:cstheme="minorHAnsi"/>
                <w:sz w:val="20"/>
                <w:szCs w:val="20"/>
              </w:rPr>
            </w:pPr>
            <w:r>
              <w:rPr>
                <w:rFonts w:cstheme="minorHAnsi"/>
                <w:sz w:val="20"/>
                <w:szCs w:val="20"/>
              </w:rPr>
              <w:t>(50-91)</w:t>
            </w:r>
          </w:p>
        </w:tc>
        <w:tc>
          <w:tcPr>
            <w:tcW w:w="1768" w:type="dxa"/>
            <w:noWrap/>
            <w:hideMark/>
          </w:tcPr>
          <w:p w14:paraId="3388AB4F" w14:textId="77777777" w:rsidR="006203D7" w:rsidRDefault="006203D7" w:rsidP="006203D7">
            <w:pPr>
              <w:jc w:val="center"/>
              <w:rPr>
                <w:rFonts w:cstheme="minorHAnsi"/>
                <w:sz w:val="20"/>
                <w:szCs w:val="20"/>
              </w:rPr>
            </w:pPr>
            <w:r w:rsidRPr="002C08BD">
              <w:rPr>
                <w:rFonts w:cstheme="minorHAnsi"/>
                <w:sz w:val="20"/>
                <w:szCs w:val="20"/>
              </w:rPr>
              <w:t>72</w:t>
            </w:r>
            <w:r>
              <w:rPr>
                <w:rFonts w:cstheme="minorHAnsi"/>
                <w:sz w:val="20"/>
                <w:szCs w:val="20"/>
              </w:rPr>
              <w:t xml:space="preserve"> </w:t>
            </w:r>
          </w:p>
          <w:p w14:paraId="1D20C234" w14:textId="77777777" w:rsidR="006203D7" w:rsidRPr="002C08BD" w:rsidRDefault="006203D7" w:rsidP="006203D7">
            <w:pPr>
              <w:jc w:val="center"/>
              <w:rPr>
                <w:rFonts w:cstheme="minorHAnsi"/>
                <w:sz w:val="20"/>
                <w:szCs w:val="20"/>
              </w:rPr>
            </w:pPr>
            <w:r>
              <w:rPr>
                <w:rFonts w:cstheme="minorHAnsi"/>
                <w:sz w:val="20"/>
                <w:szCs w:val="20"/>
              </w:rPr>
              <w:t>(56-82)</w:t>
            </w:r>
          </w:p>
        </w:tc>
        <w:tc>
          <w:tcPr>
            <w:tcW w:w="1560" w:type="dxa"/>
            <w:noWrap/>
            <w:hideMark/>
          </w:tcPr>
          <w:p w14:paraId="0CC709D4" w14:textId="77777777" w:rsidR="006203D7" w:rsidRDefault="006203D7" w:rsidP="006203D7">
            <w:pPr>
              <w:jc w:val="center"/>
              <w:rPr>
                <w:rFonts w:cstheme="minorHAnsi"/>
                <w:sz w:val="20"/>
                <w:szCs w:val="20"/>
              </w:rPr>
            </w:pPr>
            <w:r w:rsidRPr="002C08BD">
              <w:rPr>
                <w:rFonts w:cstheme="minorHAnsi"/>
                <w:sz w:val="20"/>
                <w:szCs w:val="20"/>
              </w:rPr>
              <w:t>7</w:t>
            </w:r>
            <w:r>
              <w:rPr>
                <w:rFonts w:cstheme="minorHAnsi"/>
                <w:sz w:val="20"/>
                <w:szCs w:val="20"/>
              </w:rPr>
              <w:t xml:space="preserve">4 </w:t>
            </w:r>
          </w:p>
          <w:p w14:paraId="4AD0C1B0" w14:textId="77777777" w:rsidR="006203D7" w:rsidRPr="002C08BD" w:rsidRDefault="006203D7" w:rsidP="006203D7">
            <w:pPr>
              <w:jc w:val="center"/>
              <w:rPr>
                <w:rFonts w:cstheme="minorHAnsi"/>
                <w:sz w:val="20"/>
                <w:szCs w:val="20"/>
              </w:rPr>
            </w:pPr>
            <w:r>
              <w:rPr>
                <w:rFonts w:cstheme="minorHAnsi"/>
                <w:sz w:val="20"/>
                <w:szCs w:val="20"/>
              </w:rPr>
              <w:t>(48-86)</w:t>
            </w:r>
          </w:p>
        </w:tc>
        <w:tc>
          <w:tcPr>
            <w:tcW w:w="1340" w:type="dxa"/>
            <w:noWrap/>
            <w:hideMark/>
          </w:tcPr>
          <w:p w14:paraId="45A35534" w14:textId="77777777" w:rsidR="006203D7" w:rsidRDefault="006203D7" w:rsidP="006203D7">
            <w:pPr>
              <w:jc w:val="center"/>
              <w:rPr>
                <w:rFonts w:cstheme="minorHAnsi"/>
                <w:sz w:val="20"/>
                <w:szCs w:val="20"/>
              </w:rPr>
            </w:pPr>
            <w:r w:rsidRPr="002C08BD">
              <w:rPr>
                <w:rFonts w:cstheme="minorHAnsi"/>
                <w:sz w:val="20"/>
                <w:szCs w:val="20"/>
              </w:rPr>
              <w:t>65</w:t>
            </w:r>
            <w:r>
              <w:rPr>
                <w:rFonts w:cstheme="minorHAnsi"/>
                <w:sz w:val="20"/>
                <w:szCs w:val="20"/>
              </w:rPr>
              <w:t xml:space="preserve"> </w:t>
            </w:r>
          </w:p>
          <w:p w14:paraId="260884AF" w14:textId="77777777" w:rsidR="006203D7" w:rsidRPr="002C08BD" w:rsidRDefault="006203D7" w:rsidP="006203D7">
            <w:pPr>
              <w:jc w:val="center"/>
              <w:rPr>
                <w:rFonts w:cstheme="minorHAnsi"/>
                <w:sz w:val="20"/>
                <w:szCs w:val="20"/>
              </w:rPr>
            </w:pPr>
            <w:r>
              <w:rPr>
                <w:rFonts w:cstheme="minorHAnsi"/>
                <w:sz w:val="20"/>
                <w:szCs w:val="20"/>
              </w:rPr>
              <w:t>(47-88)</w:t>
            </w:r>
          </w:p>
        </w:tc>
        <w:tc>
          <w:tcPr>
            <w:tcW w:w="1260" w:type="dxa"/>
            <w:noWrap/>
            <w:hideMark/>
          </w:tcPr>
          <w:p w14:paraId="2FD6EA6B" w14:textId="77777777" w:rsidR="006203D7" w:rsidRDefault="006203D7" w:rsidP="006203D7">
            <w:pPr>
              <w:jc w:val="center"/>
              <w:rPr>
                <w:rFonts w:cstheme="minorHAnsi"/>
                <w:sz w:val="20"/>
                <w:szCs w:val="20"/>
              </w:rPr>
            </w:pPr>
            <w:r w:rsidRPr="002C08BD">
              <w:rPr>
                <w:rFonts w:cstheme="minorHAnsi"/>
                <w:sz w:val="20"/>
                <w:szCs w:val="20"/>
              </w:rPr>
              <w:t>73</w:t>
            </w:r>
            <w:r>
              <w:rPr>
                <w:rFonts w:cstheme="minorHAnsi"/>
                <w:sz w:val="20"/>
                <w:szCs w:val="20"/>
              </w:rPr>
              <w:t xml:space="preserve"> </w:t>
            </w:r>
          </w:p>
          <w:p w14:paraId="62EBD13A" w14:textId="77777777" w:rsidR="006203D7" w:rsidRPr="002C08BD" w:rsidRDefault="006203D7" w:rsidP="006203D7">
            <w:pPr>
              <w:jc w:val="center"/>
              <w:rPr>
                <w:rFonts w:cstheme="minorHAnsi"/>
                <w:sz w:val="20"/>
                <w:szCs w:val="20"/>
              </w:rPr>
            </w:pPr>
            <w:r>
              <w:rPr>
                <w:rFonts w:cstheme="minorHAnsi"/>
                <w:sz w:val="20"/>
                <w:szCs w:val="20"/>
              </w:rPr>
              <w:t>(53-86)</w:t>
            </w:r>
          </w:p>
        </w:tc>
      </w:tr>
      <w:tr w:rsidR="006203D7" w:rsidRPr="002C08BD" w14:paraId="022F65F1" w14:textId="77777777" w:rsidTr="006203D7">
        <w:trPr>
          <w:trHeight w:val="367"/>
        </w:trPr>
        <w:tc>
          <w:tcPr>
            <w:tcW w:w="1831" w:type="dxa"/>
            <w:hideMark/>
          </w:tcPr>
          <w:p w14:paraId="5B2BF233" w14:textId="77777777" w:rsidR="006203D7" w:rsidRPr="006B0570" w:rsidRDefault="006203D7" w:rsidP="006203D7">
            <w:pPr>
              <w:rPr>
                <w:rFonts w:cstheme="minorHAnsi"/>
                <w:sz w:val="20"/>
                <w:szCs w:val="20"/>
              </w:rPr>
            </w:pPr>
            <w:r w:rsidRPr="006B0570">
              <w:rPr>
                <w:rFonts w:cstheme="minorHAnsi"/>
                <w:sz w:val="20"/>
                <w:szCs w:val="20"/>
              </w:rPr>
              <w:t>Sex - % male</w:t>
            </w:r>
          </w:p>
        </w:tc>
        <w:tc>
          <w:tcPr>
            <w:tcW w:w="840" w:type="dxa"/>
            <w:noWrap/>
            <w:hideMark/>
          </w:tcPr>
          <w:p w14:paraId="3FF76E70" w14:textId="77777777" w:rsidR="006203D7" w:rsidRPr="002C08BD" w:rsidRDefault="006203D7" w:rsidP="006203D7">
            <w:pPr>
              <w:jc w:val="center"/>
              <w:rPr>
                <w:rFonts w:cstheme="minorHAnsi"/>
                <w:sz w:val="20"/>
                <w:szCs w:val="20"/>
              </w:rPr>
            </w:pPr>
            <w:r w:rsidRPr="002C08BD">
              <w:rPr>
                <w:rFonts w:cstheme="minorHAnsi"/>
                <w:sz w:val="20"/>
                <w:szCs w:val="20"/>
              </w:rPr>
              <w:t>30</w:t>
            </w:r>
          </w:p>
        </w:tc>
        <w:tc>
          <w:tcPr>
            <w:tcW w:w="1152" w:type="dxa"/>
            <w:noWrap/>
            <w:hideMark/>
          </w:tcPr>
          <w:p w14:paraId="12548559" w14:textId="77777777" w:rsidR="006203D7" w:rsidRPr="002C08BD" w:rsidRDefault="006203D7" w:rsidP="006203D7">
            <w:pPr>
              <w:jc w:val="center"/>
              <w:rPr>
                <w:rFonts w:cstheme="minorHAnsi"/>
                <w:sz w:val="20"/>
                <w:szCs w:val="20"/>
              </w:rPr>
            </w:pPr>
            <w:r w:rsidRPr="002C08BD">
              <w:rPr>
                <w:rFonts w:cstheme="minorHAnsi"/>
                <w:sz w:val="20"/>
                <w:szCs w:val="20"/>
              </w:rPr>
              <w:t>46</w:t>
            </w:r>
          </w:p>
        </w:tc>
        <w:tc>
          <w:tcPr>
            <w:tcW w:w="1768" w:type="dxa"/>
            <w:noWrap/>
            <w:hideMark/>
          </w:tcPr>
          <w:p w14:paraId="4F8C65D2" w14:textId="77777777" w:rsidR="006203D7" w:rsidRPr="002C08BD" w:rsidRDefault="006203D7" w:rsidP="006203D7">
            <w:pPr>
              <w:jc w:val="center"/>
              <w:rPr>
                <w:rFonts w:cstheme="minorHAnsi"/>
                <w:sz w:val="20"/>
                <w:szCs w:val="20"/>
              </w:rPr>
            </w:pPr>
            <w:r w:rsidRPr="002C08BD">
              <w:rPr>
                <w:rFonts w:cstheme="minorHAnsi"/>
                <w:sz w:val="20"/>
                <w:szCs w:val="20"/>
              </w:rPr>
              <w:t>50</w:t>
            </w:r>
          </w:p>
        </w:tc>
        <w:tc>
          <w:tcPr>
            <w:tcW w:w="1560" w:type="dxa"/>
            <w:noWrap/>
            <w:hideMark/>
          </w:tcPr>
          <w:p w14:paraId="582B15DC" w14:textId="77777777" w:rsidR="006203D7" w:rsidRPr="002C08BD" w:rsidRDefault="006203D7" w:rsidP="006203D7">
            <w:pPr>
              <w:jc w:val="center"/>
              <w:rPr>
                <w:rFonts w:cstheme="minorHAnsi"/>
                <w:sz w:val="20"/>
                <w:szCs w:val="20"/>
              </w:rPr>
            </w:pPr>
            <w:r w:rsidRPr="002C08BD">
              <w:rPr>
                <w:rFonts w:cstheme="minorHAnsi"/>
                <w:sz w:val="20"/>
                <w:szCs w:val="20"/>
              </w:rPr>
              <w:t>50</w:t>
            </w:r>
          </w:p>
        </w:tc>
        <w:tc>
          <w:tcPr>
            <w:tcW w:w="1340" w:type="dxa"/>
            <w:noWrap/>
            <w:hideMark/>
          </w:tcPr>
          <w:p w14:paraId="07F27A55" w14:textId="77777777" w:rsidR="006203D7" w:rsidRPr="002C08BD" w:rsidRDefault="006203D7" w:rsidP="006203D7">
            <w:pPr>
              <w:jc w:val="center"/>
              <w:rPr>
                <w:rFonts w:cstheme="minorHAnsi"/>
                <w:sz w:val="20"/>
                <w:szCs w:val="20"/>
              </w:rPr>
            </w:pPr>
            <w:r w:rsidRPr="002C08BD">
              <w:rPr>
                <w:rFonts w:cstheme="minorHAnsi"/>
                <w:sz w:val="20"/>
                <w:szCs w:val="20"/>
              </w:rPr>
              <w:t>50</w:t>
            </w:r>
          </w:p>
        </w:tc>
        <w:tc>
          <w:tcPr>
            <w:tcW w:w="1260" w:type="dxa"/>
            <w:noWrap/>
            <w:hideMark/>
          </w:tcPr>
          <w:p w14:paraId="7C4BC772" w14:textId="77777777" w:rsidR="006203D7" w:rsidRPr="002C08BD" w:rsidRDefault="006203D7" w:rsidP="006203D7">
            <w:pPr>
              <w:jc w:val="center"/>
              <w:rPr>
                <w:rFonts w:cstheme="minorHAnsi"/>
                <w:sz w:val="20"/>
                <w:szCs w:val="20"/>
              </w:rPr>
            </w:pPr>
            <w:r w:rsidRPr="002C08BD">
              <w:rPr>
                <w:rFonts w:cstheme="minorHAnsi"/>
                <w:sz w:val="20"/>
                <w:szCs w:val="20"/>
              </w:rPr>
              <w:t>60</w:t>
            </w:r>
          </w:p>
        </w:tc>
      </w:tr>
      <w:tr w:rsidR="006203D7" w:rsidRPr="002C08BD" w14:paraId="48CB2CE9" w14:textId="77777777" w:rsidTr="006203D7">
        <w:trPr>
          <w:trHeight w:val="290"/>
        </w:trPr>
        <w:tc>
          <w:tcPr>
            <w:tcW w:w="9751" w:type="dxa"/>
            <w:gridSpan w:val="7"/>
            <w:shd w:val="clear" w:color="auto" w:fill="DEEAF6" w:themeFill="accent5" w:themeFillTint="33"/>
            <w:hideMark/>
          </w:tcPr>
          <w:p w14:paraId="6F667609" w14:textId="77777777" w:rsidR="006203D7" w:rsidRPr="002C08BD" w:rsidRDefault="006203D7" w:rsidP="006203D7">
            <w:pPr>
              <w:rPr>
                <w:rFonts w:cstheme="minorHAnsi"/>
                <w:b/>
                <w:bCs/>
                <w:sz w:val="20"/>
                <w:szCs w:val="20"/>
              </w:rPr>
            </w:pPr>
            <w:r w:rsidRPr="002C08BD">
              <w:rPr>
                <w:rFonts w:cstheme="minorHAnsi"/>
                <w:b/>
                <w:bCs/>
                <w:sz w:val="20"/>
                <w:szCs w:val="20"/>
              </w:rPr>
              <w:t>MMPC Abundance</w:t>
            </w:r>
          </w:p>
        </w:tc>
      </w:tr>
      <w:tr w:rsidR="006203D7" w:rsidRPr="002C08BD" w14:paraId="66F37BB9" w14:textId="77777777" w:rsidTr="006203D7">
        <w:trPr>
          <w:trHeight w:val="530"/>
        </w:trPr>
        <w:tc>
          <w:tcPr>
            <w:tcW w:w="1831" w:type="dxa"/>
            <w:hideMark/>
          </w:tcPr>
          <w:p w14:paraId="3586B7F1" w14:textId="77777777" w:rsidR="006203D7" w:rsidRPr="006B0570" w:rsidRDefault="006203D7" w:rsidP="006203D7">
            <w:pPr>
              <w:rPr>
                <w:rFonts w:cstheme="minorHAnsi"/>
                <w:sz w:val="20"/>
                <w:szCs w:val="20"/>
              </w:rPr>
            </w:pPr>
            <w:r w:rsidRPr="006B0570">
              <w:rPr>
                <w:rFonts w:cstheme="minorHAnsi"/>
                <w:sz w:val="20"/>
                <w:szCs w:val="20"/>
              </w:rPr>
              <w:t>Trephine %</w:t>
            </w:r>
            <w:r>
              <w:rPr>
                <w:rFonts w:cstheme="minorHAnsi"/>
                <w:sz w:val="20"/>
                <w:szCs w:val="20"/>
              </w:rPr>
              <w:t xml:space="preserve"> - Median </w:t>
            </w:r>
            <w:r w:rsidRPr="006B0570">
              <w:rPr>
                <w:rFonts w:cstheme="minorHAnsi"/>
                <w:sz w:val="20"/>
                <w:szCs w:val="20"/>
              </w:rPr>
              <w:t>(</w:t>
            </w:r>
            <w:r>
              <w:rPr>
                <w:rFonts w:cstheme="minorHAnsi"/>
                <w:sz w:val="20"/>
                <w:szCs w:val="20"/>
              </w:rPr>
              <w:t>Range</w:t>
            </w:r>
            <w:r w:rsidRPr="006B0570">
              <w:rPr>
                <w:rFonts w:cstheme="minorHAnsi"/>
                <w:sz w:val="20"/>
                <w:szCs w:val="20"/>
              </w:rPr>
              <w:t>)</w:t>
            </w:r>
          </w:p>
        </w:tc>
        <w:tc>
          <w:tcPr>
            <w:tcW w:w="840" w:type="dxa"/>
            <w:noWrap/>
            <w:hideMark/>
          </w:tcPr>
          <w:p w14:paraId="0C4B7577" w14:textId="77777777" w:rsidR="006203D7" w:rsidRPr="002C08BD" w:rsidRDefault="006203D7" w:rsidP="006203D7">
            <w:pPr>
              <w:jc w:val="center"/>
              <w:rPr>
                <w:rFonts w:cstheme="minorHAnsi"/>
                <w:sz w:val="20"/>
                <w:szCs w:val="20"/>
              </w:rPr>
            </w:pPr>
            <w:r w:rsidRPr="002C08BD">
              <w:rPr>
                <w:rFonts w:cstheme="minorHAnsi"/>
                <w:sz w:val="20"/>
                <w:szCs w:val="20"/>
              </w:rPr>
              <w:t>N</w:t>
            </w:r>
            <w:r>
              <w:rPr>
                <w:rFonts w:cstheme="minorHAnsi"/>
                <w:sz w:val="20"/>
                <w:szCs w:val="20"/>
              </w:rPr>
              <w:t>/</w:t>
            </w:r>
            <w:r w:rsidRPr="002C08BD">
              <w:rPr>
                <w:rFonts w:cstheme="minorHAnsi"/>
                <w:sz w:val="20"/>
                <w:szCs w:val="20"/>
              </w:rPr>
              <w:t>A</w:t>
            </w:r>
          </w:p>
        </w:tc>
        <w:tc>
          <w:tcPr>
            <w:tcW w:w="1152" w:type="dxa"/>
            <w:noWrap/>
            <w:hideMark/>
          </w:tcPr>
          <w:p w14:paraId="45E612B3" w14:textId="77777777" w:rsidR="006203D7" w:rsidRDefault="006203D7" w:rsidP="006203D7">
            <w:pPr>
              <w:jc w:val="center"/>
              <w:rPr>
                <w:rFonts w:cstheme="minorHAnsi"/>
                <w:sz w:val="20"/>
                <w:szCs w:val="20"/>
              </w:rPr>
            </w:pPr>
            <w:r w:rsidRPr="002C08BD">
              <w:rPr>
                <w:rFonts w:cstheme="minorHAnsi"/>
                <w:sz w:val="20"/>
                <w:szCs w:val="20"/>
              </w:rPr>
              <w:t>5</w:t>
            </w:r>
            <w:r>
              <w:rPr>
                <w:rFonts w:cstheme="minorHAnsi"/>
                <w:sz w:val="20"/>
                <w:szCs w:val="20"/>
              </w:rPr>
              <w:t xml:space="preserve"> </w:t>
            </w:r>
          </w:p>
          <w:p w14:paraId="266826E9" w14:textId="77777777" w:rsidR="006203D7" w:rsidRPr="002C08BD" w:rsidRDefault="006203D7" w:rsidP="006203D7">
            <w:pPr>
              <w:jc w:val="center"/>
              <w:rPr>
                <w:rFonts w:cstheme="minorHAnsi"/>
                <w:sz w:val="20"/>
                <w:szCs w:val="20"/>
              </w:rPr>
            </w:pPr>
            <w:r>
              <w:rPr>
                <w:rFonts w:cstheme="minorHAnsi"/>
                <w:sz w:val="20"/>
                <w:szCs w:val="20"/>
              </w:rPr>
              <w:t>(0-9)</w:t>
            </w:r>
          </w:p>
        </w:tc>
        <w:tc>
          <w:tcPr>
            <w:tcW w:w="1768" w:type="dxa"/>
            <w:noWrap/>
            <w:hideMark/>
          </w:tcPr>
          <w:p w14:paraId="04A96FDF" w14:textId="77777777" w:rsidR="006203D7" w:rsidRDefault="006203D7" w:rsidP="006203D7">
            <w:pPr>
              <w:jc w:val="center"/>
              <w:rPr>
                <w:rFonts w:cstheme="minorHAnsi"/>
                <w:sz w:val="20"/>
                <w:szCs w:val="20"/>
              </w:rPr>
            </w:pPr>
            <w:r w:rsidRPr="002C08BD">
              <w:rPr>
                <w:rFonts w:cstheme="minorHAnsi"/>
                <w:sz w:val="20"/>
                <w:szCs w:val="20"/>
              </w:rPr>
              <w:t>16</w:t>
            </w:r>
            <w:r>
              <w:rPr>
                <w:rFonts w:cstheme="minorHAnsi"/>
                <w:sz w:val="20"/>
                <w:szCs w:val="20"/>
              </w:rPr>
              <w:t xml:space="preserve"> </w:t>
            </w:r>
          </w:p>
          <w:p w14:paraId="73356C77" w14:textId="77777777" w:rsidR="006203D7" w:rsidRPr="002C08BD" w:rsidRDefault="006203D7" w:rsidP="006203D7">
            <w:pPr>
              <w:jc w:val="center"/>
              <w:rPr>
                <w:rFonts w:cstheme="minorHAnsi"/>
                <w:sz w:val="20"/>
                <w:szCs w:val="20"/>
              </w:rPr>
            </w:pPr>
            <w:r>
              <w:rPr>
                <w:rFonts w:cstheme="minorHAnsi"/>
                <w:sz w:val="20"/>
                <w:szCs w:val="20"/>
              </w:rPr>
              <w:t>(11-50)</w:t>
            </w:r>
          </w:p>
        </w:tc>
        <w:tc>
          <w:tcPr>
            <w:tcW w:w="1560" w:type="dxa"/>
            <w:noWrap/>
            <w:hideMark/>
          </w:tcPr>
          <w:p w14:paraId="638F02BF" w14:textId="77777777" w:rsidR="006203D7" w:rsidRDefault="006203D7" w:rsidP="006203D7">
            <w:pPr>
              <w:jc w:val="center"/>
              <w:rPr>
                <w:rFonts w:cstheme="minorHAnsi"/>
                <w:sz w:val="20"/>
                <w:szCs w:val="20"/>
              </w:rPr>
            </w:pPr>
            <w:r w:rsidRPr="002C08BD">
              <w:rPr>
                <w:rFonts w:cstheme="minorHAnsi"/>
                <w:sz w:val="20"/>
                <w:szCs w:val="20"/>
              </w:rPr>
              <w:t>55</w:t>
            </w:r>
            <w:r>
              <w:rPr>
                <w:rFonts w:cstheme="minorHAnsi"/>
                <w:sz w:val="20"/>
                <w:szCs w:val="20"/>
              </w:rPr>
              <w:t xml:space="preserve"> </w:t>
            </w:r>
          </w:p>
          <w:p w14:paraId="00693A6C" w14:textId="77777777" w:rsidR="006203D7" w:rsidRPr="002C08BD" w:rsidRDefault="006203D7" w:rsidP="006203D7">
            <w:pPr>
              <w:jc w:val="center"/>
              <w:rPr>
                <w:rFonts w:cstheme="minorHAnsi"/>
                <w:sz w:val="20"/>
                <w:szCs w:val="20"/>
              </w:rPr>
            </w:pPr>
            <w:r>
              <w:rPr>
                <w:rFonts w:cstheme="minorHAnsi"/>
                <w:sz w:val="20"/>
                <w:szCs w:val="20"/>
              </w:rPr>
              <w:t>(15-70)</w:t>
            </w:r>
          </w:p>
        </w:tc>
        <w:tc>
          <w:tcPr>
            <w:tcW w:w="1340" w:type="dxa"/>
            <w:noWrap/>
            <w:hideMark/>
          </w:tcPr>
          <w:p w14:paraId="5FF2FD53" w14:textId="77777777" w:rsidR="006203D7" w:rsidRDefault="006203D7" w:rsidP="006203D7">
            <w:pPr>
              <w:jc w:val="center"/>
              <w:rPr>
                <w:rFonts w:cstheme="minorHAnsi"/>
                <w:sz w:val="20"/>
                <w:szCs w:val="20"/>
              </w:rPr>
            </w:pPr>
            <w:r>
              <w:rPr>
                <w:rFonts w:cstheme="minorHAnsi"/>
                <w:sz w:val="20"/>
                <w:szCs w:val="20"/>
              </w:rPr>
              <w:t xml:space="preserve">40 </w:t>
            </w:r>
          </w:p>
          <w:p w14:paraId="07ED4CEC" w14:textId="77777777" w:rsidR="006203D7" w:rsidRPr="002C08BD" w:rsidRDefault="006203D7" w:rsidP="006203D7">
            <w:pPr>
              <w:jc w:val="center"/>
              <w:rPr>
                <w:rFonts w:cstheme="minorHAnsi"/>
                <w:sz w:val="20"/>
                <w:szCs w:val="20"/>
              </w:rPr>
            </w:pPr>
            <w:r>
              <w:rPr>
                <w:rFonts w:cstheme="minorHAnsi"/>
                <w:sz w:val="20"/>
                <w:szCs w:val="20"/>
              </w:rPr>
              <w:t>(0-80)</w:t>
            </w:r>
          </w:p>
        </w:tc>
        <w:tc>
          <w:tcPr>
            <w:tcW w:w="1260" w:type="dxa"/>
            <w:noWrap/>
            <w:hideMark/>
          </w:tcPr>
          <w:p w14:paraId="35ACAD96" w14:textId="77777777" w:rsidR="006203D7" w:rsidRDefault="006203D7" w:rsidP="006203D7">
            <w:pPr>
              <w:jc w:val="center"/>
              <w:rPr>
                <w:rFonts w:cstheme="minorHAnsi"/>
                <w:sz w:val="20"/>
                <w:szCs w:val="20"/>
              </w:rPr>
            </w:pPr>
            <w:r w:rsidRPr="002C08BD">
              <w:rPr>
                <w:rFonts w:cstheme="minorHAnsi"/>
                <w:sz w:val="20"/>
                <w:szCs w:val="20"/>
              </w:rPr>
              <w:t>5</w:t>
            </w:r>
            <w:r>
              <w:rPr>
                <w:rFonts w:cstheme="minorHAnsi"/>
                <w:sz w:val="20"/>
                <w:szCs w:val="20"/>
              </w:rPr>
              <w:t xml:space="preserve"> </w:t>
            </w:r>
          </w:p>
          <w:p w14:paraId="3C8C21A5" w14:textId="77777777" w:rsidR="006203D7" w:rsidRPr="002C08BD" w:rsidRDefault="006203D7" w:rsidP="006203D7">
            <w:pPr>
              <w:jc w:val="center"/>
              <w:rPr>
                <w:rFonts w:cstheme="minorHAnsi"/>
                <w:sz w:val="20"/>
                <w:szCs w:val="20"/>
              </w:rPr>
            </w:pPr>
            <w:r>
              <w:rPr>
                <w:rFonts w:cstheme="minorHAnsi"/>
                <w:sz w:val="20"/>
                <w:szCs w:val="20"/>
              </w:rPr>
              <w:t>(0-8)</w:t>
            </w:r>
          </w:p>
        </w:tc>
      </w:tr>
      <w:tr w:rsidR="006203D7" w:rsidRPr="002C08BD" w14:paraId="5EE2A6A1" w14:textId="77777777" w:rsidTr="006203D7">
        <w:trPr>
          <w:trHeight w:val="290"/>
        </w:trPr>
        <w:tc>
          <w:tcPr>
            <w:tcW w:w="9751" w:type="dxa"/>
            <w:gridSpan w:val="7"/>
            <w:shd w:val="clear" w:color="auto" w:fill="DEEAF6" w:themeFill="accent5" w:themeFillTint="33"/>
            <w:hideMark/>
          </w:tcPr>
          <w:p w14:paraId="25DE5EAC" w14:textId="77777777" w:rsidR="006203D7" w:rsidRPr="002C08BD" w:rsidRDefault="006203D7" w:rsidP="006203D7">
            <w:pPr>
              <w:rPr>
                <w:rFonts w:cstheme="minorHAnsi"/>
                <w:b/>
                <w:bCs/>
                <w:sz w:val="20"/>
                <w:szCs w:val="20"/>
              </w:rPr>
            </w:pPr>
            <w:r w:rsidRPr="002C08BD">
              <w:rPr>
                <w:rFonts w:cstheme="minorHAnsi"/>
                <w:b/>
                <w:bCs/>
                <w:sz w:val="20"/>
                <w:szCs w:val="20"/>
              </w:rPr>
              <w:t>P</w:t>
            </w:r>
            <w:r>
              <w:rPr>
                <w:rFonts w:cstheme="minorHAnsi"/>
                <w:b/>
                <w:bCs/>
                <w:sz w:val="20"/>
                <w:szCs w:val="20"/>
              </w:rPr>
              <w:t>araprotein (PP) Abundance and Type</w:t>
            </w:r>
          </w:p>
        </w:tc>
      </w:tr>
      <w:tr w:rsidR="006203D7" w:rsidRPr="002C08BD" w14:paraId="6BDA77C9" w14:textId="77777777" w:rsidTr="006203D7">
        <w:trPr>
          <w:trHeight w:val="530"/>
        </w:trPr>
        <w:tc>
          <w:tcPr>
            <w:tcW w:w="1831" w:type="dxa"/>
            <w:hideMark/>
          </w:tcPr>
          <w:p w14:paraId="381F4688" w14:textId="77777777" w:rsidR="006203D7" w:rsidRPr="006B0570" w:rsidRDefault="006203D7" w:rsidP="006203D7">
            <w:pPr>
              <w:rPr>
                <w:rFonts w:cstheme="minorHAnsi"/>
                <w:sz w:val="20"/>
                <w:szCs w:val="20"/>
              </w:rPr>
            </w:pPr>
            <w:r w:rsidRPr="006B0570">
              <w:rPr>
                <w:rFonts w:cstheme="minorHAnsi"/>
                <w:sz w:val="20"/>
                <w:szCs w:val="20"/>
              </w:rPr>
              <w:t>PP level</w:t>
            </w:r>
            <w:r>
              <w:rPr>
                <w:rFonts w:cstheme="minorHAnsi"/>
                <w:sz w:val="20"/>
                <w:szCs w:val="20"/>
              </w:rPr>
              <w:t xml:space="preserve"> - </w:t>
            </w:r>
            <w:r w:rsidRPr="006B0570">
              <w:rPr>
                <w:rFonts w:cstheme="minorHAnsi"/>
                <w:sz w:val="20"/>
                <w:szCs w:val="20"/>
              </w:rPr>
              <w:t>Median</w:t>
            </w:r>
            <w:r>
              <w:rPr>
                <w:rFonts w:cstheme="minorHAnsi"/>
                <w:sz w:val="20"/>
                <w:szCs w:val="20"/>
              </w:rPr>
              <w:t xml:space="preserve"> (Range)</w:t>
            </w:r>
          </w:p>
        </w:tc>
        <w:tc>
          <w:tcPr>
            <w:tcW w:w="840" w:type="dxa"/>
            <w:noWrap/>
            <w:hideMark/>
          </w:tcPr>
          <w:p w14:paraId="22E1934B" w14:textId="77777777" w:rsidR="006203D7" w:rsidRPr="002C08BD" w:rsidRDefault="006203D7" w:rsidP="006203D7">
            <w:pPr>
              <w:jc w:val="center"/>
              <w:rPr>
                <w:rFonts w:cstheme="minorHAnsi"/>
                <w:sz w:val="20"/>
                <w:szCs w:val="20"/>
              </w:rPr>
            </w:pPr>
            <w:r w:rsidRPr="002C08BD">
              <w:rPr>
                <w:rFonts w:cstheme="minorHAnsi"/>
                <w:sz w:val="20"/>
                <w:szCs w:val="20"/>
              </w:rPr>
              <w:t>N</w:t>
            </w:r>
            <w:r>
              <w:rPr>
                <w:rFonts w:cstheme="minorHAnsi"/>
                <w:sz w:val="20"/>
                <w:szCs w:val="20"/>
              </w:rPr>
              <w:t>/</w:t>
            </w:r>
            <w:r w:rsidRPr="002C08BD">
              <w:rPr>
                <w:rFonts w:cstheme="minorHAnsi"/>
                <w:sz w:val="20"/>
                <w:szCs w:val="20"/>
              </w:rPr>
              <w:t>A</w:t>
            </w:r>
          </w:p>
        </w:tc>
        <w:tc>
          <w:tcPr>
            <w:tcW w:w="1152" w:type="dxa"/>
            <w:noWrap/>
            <w:hideMark/>
          </w:tcPr>
          <w:p w14:paraId="42DC6D74" w14:textId="77777777" w:rsidR="006203D7" w:rsidRDefault="006203D7" w:rsidP="006203D7">
            <w:pPr>
              <w:jc w:val="center"/>
              <w:rPr>
                <w:rFonts w:cstheme="minorHAnsi"/>
                <w:sz w:val="20"/>
                <w:szCs w:val="20"/>
              </w:rPr>
            </w:pPr>
            <w:r w:rsidRPr="002C08BD">
              <w:rPr>
                <w:rFonts w:cstheme="minorHAnsi"/>
                <w:sz w:val="20"/>
                <w:szCs w:val="20"/>
              </w:rPr>
              <w:t>10.5</w:t>
            </w:r>
            <w:r>
              <w:rPr>
                <w:rFonts w:cstheme="minorHAnsi"/>
                <w:sz w:val="20"/>
                <w:szCs w:val="20"/>
              </w:rPr>
              <w:t xml:space="preserve"> </w:t>
            </w:r>
          </w:p>
          <w:p w14:paraId="1D5FC060" w14:textId="77777777" w:rsidR="006203D7" w:rsidRPr="002C08BD" w:rsidRDefault="006203D7" w:rsidP="006203D7">
            <w:pPr>
              <w:jc w:val="center"/>
              <w:rPr>
                <w:rFonts w:cstheme="minorHAnsi"/>
                <w:sz w:val="20"/>
                <w:szCs w:val="20"/>
              </w:rPr>
            </w:pPr>
            <w:r>
              <w:rPr>
                <w:rFonts w:cstheme="minorHAnsi"/>
                <w:sz w:val="20"/>
                <w:szCs w:val="20"/>
              </w:rPr>
              <w:t>(2.0-16.0)</w:t>
            </w:r>
          </w:p>
        </w:tc>
        <w:tc>
          <w:tcPr>
            <w:tcW w:w="1768" w:type="dxa"/>
            <w:noWrap/>
            <w:hideMark/>
          </w:tcPr>
          <w:p w14:paraId="7D63F66B" w14:textId="77777777" w:rsidR="006203D7" w:rsidRDefault="006203D7" w:rsidP="006203D7">
            <w:pPr>
              <w:jc w:val="center"/>
              <w:rPr>
                <w:rFonts w:cstheme="minorHAnsi"/>
                <w:sz w:val="20"/>
                <w:szCs w:val="20"/>
              </w:rPr>
            </w:pPr>
            <w:r w:rsidRPr="002C08BD">
              <w:rPr>
                <w:rFonts w:cstheme="minorHAnsi"/>
                <w:sz w:val="20"/>
                <w:szCs w:val="20"/>
              </w:rPr>
              <w:t>20.5</w:t>
            </w:r>
            <w:r>
              <w:rPr>
                <w:rFonts w:cstheme="minorHAnsi"/>
                <w:sz w:val="20"/>
                <w:szCs w:val="20"/>
              </w:rPr>
              <w:t xml:space="preserve"> </w:t>
            </w:r>
          </w:p>
          <w:p w14:paraId="7EF15503" w14:textId="77777777" w:rsidR="006203D7" w:rsidRPr="002C08BD" w:rsidRDefault="006203D7" w:rsidP="006203D7">
            <w:pPr>
              <w:jc w:val="center"/>
              <w:rPr>
                <w:rFonts w:cstheme="minorHAnsi"/>
                <w:sz w:val="20"/>
                <w:szCs w:val="20"/>
              </w:rPr>
            </w:pPr>
            <w:r>
              <w:rPr>
                <w:rFonts w:cstheme="minorHAnsi"/>
                <w:sz w:val="20"/>
                <w:szCs w:val="20"/>
              </w:rPr>
              <w:t>(6.8-26.0)</w:t>
            </w:r>
          </w:p>
        </w:tc>
        <w:tc>
          <w:tcPr>
            <w:tcW w:w="1560" w:type="dxa"/>
            <w:noWrap/>
            <w:hideMark/>
          </w:tcPr>
          <w:p w14:paraId="0B5754E5" w14:textId="77777777" w:rsidR="006203D7" w:rsidRDefault="006203D7" w:rsidP="006203D7">
            <w:pPr>
              <w:jc w:val="center"/>
              <w:rPr>
                <w:rFonts w:cstheme="minorHAnsi"/>
                <w:sz w:val="20"/>
                <w:szCs w:val="20"/>
              </w:rPr>
            </w:pPr>
            <w:r w:rsidRPr="002C08BD">
              <w:rPr>
                <w:rFonts w:cstheme="minorHAnsi"/>
                <w:sz w:val="20"/>
                <w:szCs w:val="20"/>
              </w:rPr>
              <w:t>21</w:t>
            </w:r>
            <w:r>
              <w:rPr>
                <w:rFonts w:cstheme="minorHAnsi"/>
                <w:sz w:val="20"/>
                <w:szCs w:val="20"/>
              </w:rPr>
              <w:t xml:space="preserve">.0 </w:t>
            </w:r>
          </w:p>
          <w:p w14:paraId="306091F6" w14:textId="77777777" w:rsidR="006203D7" w:rsidRPr="002C08BD" w:rsidRDefault="006203D7" w:rsidP="006203D7">
            <w:pPr>
              <w:jc w:val="center"/>
              <w:rPr>
                <w:rFonts w:cstheme="minorHAnsi"/>
                <w:sz w:val="20"/>
                <w:szCs w:val="20"/>
              </w:rPr>
            </w:pPr>
            <w:r>
              <w:rPr>
                <w:rFonts w:cstheme="minorHAnsi"/>
                <w:sz w:val="20"/>
                <w:szCs w:val="20"/>
              </w:rPr>
              <w:t>(0.0-51.6)</w:t>
            </w:r>
          </w:p>
        </w:tc>
        <w:tc>
          <w:tcPr>
            <w:tcW w:w="1340" w:type="dxa"/>
            <w:noWrap/>
            <w:hideMark/>
          </w:tcPr>
          <w:p w14:paraId="03CC49C3" w14:textId="77777777" w:rsidR="006203D7" w:rsidRDefault="006203D7" w:rsidP="006203D7">
            <w:pPr>
              <w:jc w:val="center"/>
              <w:rPr>
                <w:rFonts w:cstheme="minorHAnsi"/>
                <w:sz w:val="20"/>
                <w:szCs w:val="20"/>
              </w:rPr>
            </w:pPr>
            <w:r w:rsidRPr="002C08BD">
              <w:rPr>
                <w:rFonts w:cstheme="minorHAnsi"/>
                <w:sz w:val="20"/>
                <w:szCs w:val="20"/>
              </w:rPr>
              <w:t>1</w:t>
            </w:r>
            <w:r>
              <w:rPr>
                <w:rFonts w:cstheme="minorHAnsi"/>
                <w:sz w:val="20"/>
                <w:szCs w:val="20"/>
              </w:rPr>
              <w:t xml:space="preserve">4.0 </w:t>
            </w:r>
          </w:p>
          <w:p w14:paraId="4F366494" w14:textId="77777777" w:rsidR="006203D7" w:rsidRPr="002C08BD" w:rsidRDefault="006203D7" w:rsidP="006203D7">
            <w:pPr>
              <w:jc w:val="center"/>
              <w:rPr>
                <w:rFonts w:cstheme="minorHAnsi"/>
                <w:sz w:val="20"/>
                <w:szCs w:val="20"/>
              </w:rPr>
            </w:pPr>
            <w:r>
              <w:rPr>
                <w:rFonts w:cstheme="minorHAnsi"/>
                <w:sz w:val="20"/>
                <w:szCs w:val="20"/>
              </w:rPr>
              <w:t>(0.0-17.0)</w:t>
            </w:r>
          </w:p>
        </w:tc>
        <w:tc>
          <w:tcPr>
            <w:tcW w:w="1260" w:type="dxa"/>
            <w:noWrap/>
            <w:hideMark/>
          </w:tcPr>
          <w:p w14:paraId="74BD5815" w14:textId="77777777" w:rsidR="006203D7" w:rsidRDefault="006203D7" w:rsidP="006203D7">
            <w:pPr>
              <w:jc w:val="center"/>
              <w:rPr>
                <w:rFonts w:cstheme="minorHAnsi"/>
                <w:sz w:val="20"/>
                <w:szCs w:val="20"/>
              </w:rPr>
            </w:pPr>
            <w:r w:rsidRPr="002C08BD">
              <w:rPr>
                <w:rFonts w:cstheme="minorHAnsi"/>
                <w:sz w:val="20"/>
                <w:szCs w:val="20"/>
              </w:rPr>
              <w:t>0</w:t>
            </w:r>
            <w:r>
              <w:rPr>
                <w:rFonts w:cstheme="minorHAnsi"/>
                <w:sz w:val="20"/>
                <w:szCs w:val="20"/>
              </w:rPr>
              <w:t xml:space="preserve">.0 </w:t>
            </w:r>
          </w:p>
          <w:p w14:paraId="1EE90110" w14:textId="77777777" w:rsidR="006203D7" w:rsidRPr="002C08BD" w:rsidRDefault="006203D7" w:rsidP="006203D7">
            <w:pPr>
              <w:jc w:val="center"/>
              <w:rPr>
                <w:rFonts w:cstheme="minorHAnsi"/>
                <w:sz w:val="20"/>
                <w:szCs w:val="20"/>
              </w:rPr>
            </w:pPr>
            <w:r>
              <w:rPr>
                <w:rFonts w:cstheme="minorHAnsi"/>
                <w:sz w:val="20"/>
                <w:szCs w:val="20"/>
              </w:rPr>
              <w:t>(0.0-4.0)</w:t>
            </w:r>
          </w:p>
        </w:tc>
      </w:tr>
      <w:tr w:rsidR="006203D7" w:rsidRPr="002C08BD" w14:paraId="09630D3C" w14:textId="77777777" w:rsidTr="006203D7">
        <w:trPr>
          <w:trHeight w:val="290"/>
        </w:trPr>
        <w:tc>
          <w:tcPr>
            <w:tcW w:w="1831" w:type="dxa"/>
            <w:hideMark/>
          </w:tcPr>
          <w:p w14:paraId="373243F8" w14:textId="77777777" w:rsidR="006203D7" w:rsidRPr="006B0570" w:rsidRDefault="006203D7" w:rsidP="006203D7">
            <w:pPr>
              <w:rPr>
                <w:rFonts w:cstheme="minorHAnsi"/>
                <w:sz w:val="20"/>
                <w:szCs w:val="20"/>
              </w:rPr>
            </w:pPr>
            <w:r w:rsidRPr="006B0570">
              <w:rPr>
                <w:rFonts w:cstheme="minorHAnsi"/>
                <w:sz w:val="20"/>
                <w:szCs w:val="20"/>
              </w:rPr>
              <w:t>IgG (%)</w:t>
            </w:r>
          </w:p>
        </w:tc>
        <w:tc>
          <w:tcPr>
            <w:tcW w:w="840" w:type="dxa"/>
            <w:noWrap/>
            <w:hideMark/>
          </w:tcPr>
          <w:p w14:paraId="1E6654F1" w14:textId="77777777" w:rsidR="006203D7" w:rsidRPr="002C08BD" w:rsidRDefault="006203D7" w:rsidP="006203D7">
            <w:pPr>
              <w:jc w:val="center"/>
              <w:rPr>
                <w:rFonts w:cstheme="minorHAnsi"/>
                <w:sz w:val="20"/>
                <w:szCs w:val="20"/>
              </w:rPr>
            </w:pPr>
            <w:r w:rsidRPr="002C08BD">
              <w:rPr>
                <w:rFonts w:cstheme="minorHAnsi"/>
                <w:sz w:val="20"/>
                <w:szCs w:val="20"/>
              </w:rPr>
              <w:t>N</w:t>
            </w:r>
            <w:r>
              <w:rPr>
                <w:rFonts w:cstheme="minorHAnsi"/>
                <w:sz w:val="20"/>
                <w:szCs w:val="20"/>
              </w:rPr>
              <w:t>/</w:t>
            </w:r>
            <w:r w:rsidRPr="002C08BD">
              <w:rPr>
                <w:rFonts w:cstheme="minorHAnsi"/>
                <w:sz w:val="20"/>
                <w:szCs w:val="20"/>
              </w:rPr>
              <w:t>A</w:t>
            </w:r>
          </w:p>
        </w:tc>
        <w:tc>
          <w:tcPr>
            <w:tcW w:w="1152" w:type="dxa"/>
            <w:noWrap/>
            <w:hideMark/>
          </w:tcPr>
          <w:p w14:paraId="56D55ED7" w14:textId="77777777" w:rsidR="006203D7" w:rsidRPr="002C08BD" w:rsidRDefault="006203D7" w:rsidP="006203D7">
            <w:pPr>
              <w:jc w:val="center"/>
              <w:rPr>
                <w:rFonts w:cstheme="minorHAnsi"/>
                <w:sz w:val="20"/>
                <w:szCs w:val="20"/>
              </w:rPr>
            </w:pPr>
            <w:r w:rsidRPr="002C08BD">
              <w:rPr>
                <w:rFonts w:cstheme="minorHAnsi"/>
                <w:sz w:val="20"/>
                <w:szCs w:val="20"/>
              </w:rPr>
              <w:t>66.7</w:t>
            </w:r>
          </w:p>
        </w:tc>
        <w:tc>
          <w:tcPr>
            <w:tcW w:w="1768" w:type="dxa"/>
            <w:noWrap/>
            <w:hideMark/>
          </w:tcPr>
          <w:p w14:paraId="52A44E46" w14:textId="77777777" w:rsidR="006203D7" w:rsidRPr="002C08BD" w:rsidRDefault="006203D7" w:rsidP="006203D7">
            <w:pPr>
              <w:jc w:val="center"/>
              <w:rPr>
                <w:rFonts w:cstheme="minorHAnsi"/>
                <w:sz w:val="20"/>
                <w:szCs w:val="20"/>
              </w:rPr>
            </w:pPr>
            <w:r w:rsidRPr="002C08BD">
              <w:rPr>
                <w:rFonts w:cstheme="minorHAnsi"/>
                <w:sz w:val="20"/>
                <w:szCs w:val="20"/>
              </w:rPr>
              <w:t>85.7</w:t>
            </w:r>
          </w:p>
        </w:tc>
        <w:tc>
          <w:tcPr>
            <w:tcW w:w="1560" w:type="dxa"/>
            <w:noWrap/>
            <w:hideMark/>
          </w:tcPr>
          <w:p w14:paraId="045BAA0D" w14:textId="77777777" w:rsidR="006203D7" w:rsidRPr="002C08BD" w:rsidRDefault="006203D7" w:rsidP="006203D7">
            <w:pPr>
              <w:jc w:val="center"/>
              <w:rPr>
                <w:rFonts w:cstheme="minorHAnsi"/>
                <w:sz w:val="20"/>
                <w:szCs w:val="20"/>
              </w:rPr>
            </w:pPr>
            <w:r w:rsidRPr="002C08BD">
              <w:rPr>
                <w:rFonts w:cstheme="minorHAnsi"/>
                <w:sz w:val="20"/>
                <w:szCs w:val="20"/>
              </w:rPr>
              <w:t>88.9</w:t>
            </w:r>
          </w:p>
        </w:tc>
        <w:tc>
          <w:tcPr>
            <w:tcW w:w="1340" w:type="dxa"/>
            <w:noWrap/>
            <w:hideMark/>
          </w:tcPr>
          <w:p w14:paraId="4B97674D" w14:textId="77777777" w:rsidR="006203D7" w:rsidRPr="002C08BD" w:rsidRDefault="006203D7" w:rsidP="006203D7">
            <w:pPr>
              <w:jc w:val="center"/>
              <w:rPr>
                <w:rFonts w:cstheme="minorHAnsi"/>
                <w:sz w:val="20"/>
                <w:szCs w:val="20"/>
              </w:rPr>
            </w:pPr>
            <w:r w:rsidRPr="002C08BD">
              <w:rPr>
                <w:rFonts w:cstheme="minorHAnsi"/>
                <w:sz w:val="20"/>
                <w:szCs w:val="20"/>
              </w:rPr>
              <w:t>9</w:t>
            </w:r>
            <w:r>
              <w:rPr>
                <w:rFonts w:cstheme="minorHAnsi"/>
                <w:sz w:val="20"/>
                <w:szCs w:val="20"/>
              </w:rPr>
              <w:t>2.8</w:t>
            </w:r>
          </w:p>
        </w:tc>
        <w:tc>
          <w:tcPr>
            <w:tcW w:w="1260" w:type="dxa"/>
            <w:noWrap/>
            <w:hideMark/>
          </w:tcPr>
          <w:p w14:paraId="0A62BFC1" w14:textId="77777777" w:rsidR="006203D7" w:rsidRPr="002C08BD" w:rsidRDefault="006203D7" w:rsidP="006203D7">
            <w:pPr>
              <w:jc w:val="center"/>
              <w:rPr>
                <w:rFonts w:cstheme="minorHAnsi"/>
                <w:sz w:val="20"/>
                <w:szCs w:val="20"/>
              </w:rPr>
            </w:pPr>
            <w:r w:rsidRPr="002C08BD">
              <w:rPr>
                <w:rFonts w:cstheme="minorHAnsi"/>
                <w:sz w:val="20"/>
                <w:szCs w:val="20"/>
              </w:rPr>
              <w:t>5</w:t>
            </w:r>
            <w:r>
              <w:rPr>
                <w:rFonts w:cstheme="minorHAnsi"/>
                <w:sz w:val="20"/>
                <w:szCs w:val="20"/>
              </w:rPr>
              <w:t>8.3</w:t>
            </w:r>
          </w:p>
        </w:tc>
      </w:tr>
      <w:tr w:rsidR="006203D7" w:rsidRPr="002C08BD" w14:paraId="128544D5" w14:textId="77777777" w:rsidTr="006203D7">
        <w:trPr>
          <w:trHeight w:val="290"/>
        </w:trPr>
        <w:tc>
          <w:tcPr>
            <w:tcW w:w="1831" w:type="dxa"/>
            <w:hideMark/>
          </w:tcPr>
          <w:p w14:paraId="37FF5A2A" w14:textId="77777777" w:rsidR="006203D7" w:rsidRPr="006B0570" w:rsidRDefault="006203D7" w:rsidP="006203D7">
            <w:pPr>
              <w:rPr>
                <w:rFonts w:cstheme="minorHAnsi"/>
                <w:sz w:val="20"/>
                <w:szCs w:val="20"/>
              </w:rPr>
            </w:pPr>
            <w:r w:rsidRPr="006B0570">
              <w:rPr>
                <w:rFonts w:cstheme="minorHAnsi"/>
                <w:sz w:val="20"/>
                <w:szCs w:val="20"/>
              </w:rPr>
              <w:t>IgA (%)</w:t>
            </w:r>
          </w:p>
        </w:tc>
        <w:tc>
          <w:tcPr>
            <w:tcW w:w="840" w:type="dxa"/>
            <w:noWrap/>
            <w:hideMark/>
          </w:tcPr>
          <w:p w14:paraId="5A32CCE8" w14:textId="77777777" w:rsidR="006203D7" w:rsidRPr="002C08BD" w:rsidRDefault="006203D7" w:rsidP="006203D7">
            <w:pPr>
              <w:jc w:val="center"/>
              <w:rPr>
                <w:rFonts w:cstheme="minorHAnsi"/>
                <w:sz w:val="20"/>
                <w:szCs w:val="20"/>
              </w:rPr>
            </w:pPr>
            <w:r w:rsidRPr="002C08BD">
              <w:rPr>
                <w:rFonts w:cstheme="minorHAnsi"/>
                <w:sz w:val="20"/>
                <w:szCs w:val="20"/>
              </w:rPr>
              <w:t>N</w:t>
            </w:r>
            <w:r>
              <w:rPr>
                <w:rFonts w:cstheme="minorHAnsi"/>
                <w:sz w:val="20"/>
                <w:szCs w:val="20"/>
              </w:rPr>
              <w:t>/</w:t>
            </w:r>
            <w:r w:rsidRPr="002C08BD">
              <w:rPr>
                <w:rFonts w:cstheme="minorHAnsi"/>
                <w:sz w:val="20"/>
                <w:szCs w:val="20"/>
              </w:rPr>
              <w:t>A</w:t>
            </w:r>
          </w:p>
        </w:tc>
        <w:tc>
          <w:tcPr>
            <w:tcW w:w="1152" w:type="dxa"/>
            <w:noWrap/>
            <w:hideMark/>
          </w:tcPr>
          <w:p w14:paraId="69EBBD57" w14:textId="77777777" w:rsidR="006203D7" w:rsidRPr="002C08BD" w:rsidRDefault="006203D7" w:rsidP="006203D7">
            <w:pPr>
              <w:jc w:val="center"/>
              <w:rPr>
                <w:rFonts w:cstheme="minorHAnsi"/>
                <w:sz w:val="20"/>
                <w:szCs w:val="20"/>
              </w:rPr>
            </w:pPr>
            <w:r w:rsidRPr="002C08BD">
              <w:rPr>
                <w:rFonts w:cstheme="minorHAnsi"/>
                <w:sz w:val="20"/>
                <w:szCs w:val="20"/>
              </w:rPr>
              <w:t>33.3</w:t>
            </w:r>
          </w:p>
        </w:tc>
        <w:tc>
          <w:tcPr>
            <w:tcW w:w="1768" w:type="dxa"/>
            <w:noWrap/>
            <w:hideMark/>
          </w:tcPr>
          <w:p w14:paraId="13CBA360" w14:textId="77777777" w:rsidR="006203D7" w:rsidRPr="002C08BD" w:rsidRDefault="006203D7" w:rsidP="006203D7">
            <w:pPr>
              <w:jc w:val="center"/>
              <w:rPr>
                <w:rFonts w:cstheme="minorHAnsi"/>
                <w:sz w:val="20"/>
                <w:szCs w:val="20"/>
              </w:rPr>
            </w:pPr>
            <w:r w:rsidRPr="002C08BD">
              <w:rPr>
                <w:rFonts w:cstheme="minorHAnsi"/>
                <w:sz w:val="20"/>
                <w:szCs w:val="20"/>
              </w:rPr>
              <w:t>14.3</w:t>
            </w:r>
          </w:p>
        </w:tc>
        <w:tc>
          <w:tcPr>
            <w:tcW w:w="1560" w:type="dxa"/>
            <w:noWrap/>
            <w:hideMark/>
          </w:tcPr>
          <w:p w14:paraId="06475B84" w14:textId="77777777" w:rsidR="006203D7" w:rsidRPr="002C08BD" w:rsidRDefault="006203D7" w:rsidP="006203D7">
            <w:pPr>
              <w:jc w:val="center"/>
              <w:rPr>
                <w:rFonts w:cstheme="minorHAnsi"/>
                <w:sz w:val="20"/>
                <w:szCs w:val="20"/>
              </w:rPr>
            </w:pPr>
            <w:r w:rsidRPr="002C08BD">
              <w:rPr>
                <w:rFonts w:cstheme="minorHAnsi"/>
                <w:sz w:val="20"/>
                <w:szCs w:val="20"/>
              </w:rPr>
              <w:t>11.1</w:t>
            </w:r>
          </w:p>
        </w:tc>
        <w:tc>
          <w:tcPr>
            <w:tcW w:w="1340" w:type="dxa"/>
            <w:noWrap/>
            <w:hideMark/>
          </w:tcPr>
          <w:p w14:paraId="7A8E8EEC" w14:textId="77777777" w:rsidR="006203D7" w:rsidRPr="002C08BD" w:rsidRDefault="006203D7" w:rsidP="006203D7">
            <w:pPr>
              <w:jc w:val="center"/>
              <w:rPr>
                <w:rFonts w:cstheme="minorHAnsi"/>
                <w:sz w:val="20"/>
                <w:szCs w:val="20"/>
              </w:rPr>
            </w:pPr>
            <w:r w:rsidRPr="002C08BD">
              <w:rPr>
                <w:rFonts w:cstheme="minorHAnsi"/>
                <w:sz w:val="20"/>
                <w:szCs w:val="20"/>
              </w:rPr>
              <w:t>0</w:t>
            </w:r>
          </w:p>
        </w:tc>
        <w:tc>
          <w:tcPr>
            <w:tcW w:w="1260" w:type="dxa"/>
            <w:noWrap/>
            <w:hideMark/>
          </w:tcPr>
          <w:p w14:paraId="4A0DE7DF" w14:textId="77777777" w:rsidR="006203D7" w:rsidRPr="002C08BD" w:rsidRDefault="006203D7" w:rsidP="006203D7">
            <w:pPr>
              <w:jc w:val="center"/>
              <w:rPr>
                <w:rFonts w:cstheme="minorHAnsi"/>
                <w:sz w:val="20"/>
                <w:szCs w:val="20"/>
              </w:rPr>
            </w:pPr>
            <w:r>
              <w:rPr>
                <w:rFonts w:cstheme="minorHAnsi"/>
                <w:sz w:val="20"/>
                <w:szCs w:val="20"/>
              </w:rPr>
              <w:t>41.7</w:t>
            </w:r>
          </w:p>
        </w:tc>
      </w:tr>
      <w:tr w:rsidR="006203D7" w:rsidRPr="002C08BD" w14:paraId="7F1FF7B2" w14:textId="77777777" w:rsidTr="006203D7">
        <w:trPr>
          <w:trHeight w:val="337"/>
        </w:trPr>
        <w:tc>
          <w:tcPr>
            <w:tcW w:w="1831" w:type="dxa"/>
            <w:hideMark/>
          </w:tcPr>
          <w:p w14:paraId="1DAE6BA9" w14:textId="77777777" w:rsidR="006203D7" w:rsidRPr="006B0570" w:rsidRDefault="006203D7" w:rsidP="006203D7">
            <w:pPr>
              <w:rPr>
                <w:rFonts w:cstheme="minorHAnsi"/>
                <w:sz w:val="20"/>
                <w:szCs w:val="20"/>
              </w:rPr>
            </w:pPr>
            <w:r w:rsidRPr="006B0570">
              <w:rPr>
                <w:rFonts w:cstheme="minorHAnsi"/>
                <w:sz w:val="20"/>
                <w:szCs w:val="20"/>
              </w:rPr>
              <w:t>Light Chain (%)</w:t>
            </w:r>
          </w:p>
        </w:tc>
        <w:tc>
          <w:tcPr>
            <w:tcW w:w="840" w:type="dxa"/>
            <w:noWrap/>
            <w:hideMark/>
          </w:tcPr>
          <w:p w14:paraId="4764E26C" w14:textId="77777777" w:rsidR="006203D7" w:rsidRPr="002C08BD" w:rsidRDefault="006203D7" w:rsidP="006203D7">
            <w:pPr>
              <w:jc w:val="center"/>
              <w:rPr>
                <w:rFonts w:cstheme="minorHAnsi"/>
                <w:sz w:val="20"/>
                <w:szCs w:val="20"/>
              </w:rPr>
            </w:pPr>
            <w:r w:rsidRPr="002C08BD">
              <w:rPr>
                <w:rFonts w:cstheme="minorHAnsi"/>
                <w:sz w:val="20"/>
                <w:szCs w:val="20"/>
              </w:rPr>
              <w:t>N</w:t>
            </w:r>
            <w:r>
              <w:rPr>
                <w:rFonts w:cstheme="minorHAnsi"/>
                <w:sz w:val="20"/>
                <w:szCs w:val="20"/>
              </w:rPr>
              <w:t>/</w:t>
            </w:r>
            <w:r w:rsidRPr="002C08BD">
              <w:rPr>
                <w:rFonts w:cstheme="minorHAnsi"/>
                <w:sz w:val="20"/>
                <w:szCs w:val="20"/>
              </w:rPr>
              <w:t>A</w:t>
            </w:r>
          </w:p>
        </w:tc>
        <w:tc>
          <w:tcPr>
            <w:tcW w:w="1152" w:type="dxa"/>
            <w:noWrap/>
            <w:hideMark/>
          </w:tcPr>
          <w:p w14:paraId="044F33A3" w14:textId="77777777" w:rsidR="006203D7" w:rsidRPr="002C08BD" w:rsidRDefault="006203D7" w:rsidP="006203D7">
            <w:pPr>
              <w:jc w:val="center"/>
              <w:rPr>
                <w:rFonts w:cstheme="minorHAnsi"/>
                <w:sz w:val="20"/>
                <w:szCs w:val="20"/>
              </w:rPr>
            </w:pPr>
            <w:r w:rsidRPr="002C08BD">
              <w:rPr>
                <w:rFonts w:cstheme="minorHAnsi"/>
                <w:sz w:val="20"/>
                <w:szCs w:val="20"/>
              </w:rPr>
              <w:t>0</w:t>
            </w:r>
          </w:p>
        </w:tc>
        <w:tc>
          <w:tcPr>
            <w:tcW w:w="1768" w:type="dxa"/>
            <w:noWrap/>
            <w:hideMark/>
          </w:tcPr>
          <w:p w14:paraId="6D7CA4FE" w14:textId="77777777" w:rsidR="006203D7" w:rsidRPr="002C08BD" w:rsidRDefault="006203D7" w:rsidP="006203D7">
            <w:pPr>
              <w:jc w:val="center"/>
              <w:rPr>
                <w:rFonts w:cstheme="minorHAnsi"/>
                <w:sz w:val="20"/>
                <w:szCs w:val="20"/>
              </w:rPr>
            </w:pPr>
            <w:r w:rsidRPr="002C08BD">
              <w:rPr>
                <w:rFonts w:cstheme="minorHAnsi"/>
                <w:sz w:val="20"/>
                <w:szCs w:val="20"/>
              </w:rPr>
              <w:t>0</w:t>
            </w:r>
          </w:p>
        </w:tc>
        <w:tc>
          <w:tcPr>
            <w:tcW w:w="1560" w:type="dxa"/>
            <w:noWrap/>
            <w:hideMark/>
          </w:tcPr>
          <w:p w14:paraId="61D287A0" w14:textId="77777777" w:rsidR="006203D7" w:rsidRPr="002C08BD" w:rsidRDefault="006203D7" w:rsidP="006203D7">
            <w:pPr>
              <w:jc w:val="center"/>
              <w:rPr>
                <w:rFonts w:cstheme="minorHAnsi"/>
                <w:sz w:val="20"/>
                <w:szCs w:val="20"/>
              </w:rPr>
            </w:pPr>
            <w:r w:rsidRPr="002C08BD">
              <w:rPr>
                <w:rFonts w:cstheme="minorHAnsi"/>
                <w:sz w:val="20"/>
                <w:szCs w:val="20"/>
              </w:rPr>
              <w:t>0</w:t>
            </w:r>
          </w:p>
        </w:tc>
        <w:tc>
          <w:tcPr>
            <w:tcW w:w="1340" w:type="dxa"/>
            <w:noWrap/>
            <w:hideMark/>
          </w:tcPr>
          <w:p w14:paraId="64A9FFEE" w14:textId="77777777" w:rsidR="006203D7" w:rsidRPr="002C08BD" w:rsidRDefault="006203D7" w:rsidP="006203D7">
            <w:pPr>
              <w:jc w:val="center"/>
              <w:rPr>
                <w:rFonts w:cstheme="minorHAnsi"/>
                <w:sz w:val="20"/>
                <w:szCs w:val="20"/>
              </w:rPr>
            </w:pPr>
            <w:r>
              <w:rPr>
                <w:rFonts w:cstheme="minorHAnsi"/>
                <w:sz w:val="20"/>
                <w:szCs w:val="20"/>
              </w:rPr>
              <w:t>7.2</w:t>
            </w:r>
          </w:p>
        </w:tc>
        <w:tc>
          <w:tcPr>
            <w:tcW w:w="1260" w:type="dxa"/>
            <w:noWrap/>
            <w:hideMark/>
          </w:tcPr>
          <w:p w14:paraId="68CC427F" w14:textId="77777777" w:rsidR="006203D7" w:rsidRPr="002C08BD" w:rsidRDefault="006203D7" w:rsidP="006203D7">
            <w:pPr>
              <w:jc w:val="center"/>
              <w:rPr>
                <w:rFonts w:cstheme="minorHAnsi"/>
                <w:sz w:val="20"/>
                <w:szCs w:val="20"/>
              </w:rPr>
            </w:pPr>
            <w:r w:rsidRPr="002C08BD">
              <w:rPr>
                <w:rFonts w:cstheme="minorHAnsi"/>
                <w:sz w:val="20"/>
                <w:szCs w:val="20"/>
              </w:rPr>
              <w:t>0</w:t>
            </w:r>
          </w:p>
        </w:tc>
      </w:tr>
    </w:tbl>
    <w:p w14:paraId="12FB3DB1" w14:textId="224897BA" w:rsidR="006203D7" w:rsidRDefault="006203D7" w:rsidP="006203D7">
      <w:pPr>
        <w:rPr>
          <w:b/>
          <w:bCs/>
        </w:rPr>
      </w:pPr>
    </w:p>
    <w:p w14:paraId="311C8B3C" w14:textId="719ADE27" w:rsidR="006203D7" w:rsidRDefault="006203D7" w:rsidP="006203D7">
      <w:r>
        <w:rPr>
          <w:b/>
          <w:bCs/>
        </w:rPr>
        <w:fldChar w:fldCharType="begin"/>
      </w:r>
      <w:r>
        <w:rPr>
          <w:b/>
          <w:bCs/>
        </w:rPr>
        <w:instrText xml:space="preserve"> LINK </w:instrText>
      </w:r>
      <w:r w:rsidR="00524A9D">
        <w:rPr>
          <w:b/>
          <w:bCs/>
        </w:rPr>
        <w:instrText xml:space="preserve">Excel.Sheet.12 "\\\\MDS\\Resources\\School of Clinical and Experimental Medicine\\Division of Medical Sciences\\Dimeloe Lab\\Sarah\\MM Paper 1\\Tables of patient details.xlsx" "Table S1!R2C1:R23C7" </w:instrText>
      </w:r>
      <w:r>
        <w:rPr>
          <w:b/>
          <w:bCs/>
        </w:rPr>
        <w:instrText xml:space="preserve">\a \f 5 \h  \* MERGEFORMAT </w:instrText>
      </w:r>
      <w:r>
        <w:rPr>
          <w:b/>
          <w:bCs/>
        </w:rPr>
        <w:fldChar w:fldCharType="separate"/>
      </w:r>
    </w:p>
    <w:p w14:paraId="2F164BDA" w14:textId="77777777" w:rsidR="006203D7" w:rsidRPr="002C08BD" w:rsidRDefault="006203D7" w:rsidP="006203D7">
      <w:pPr>
        <w:rPr>
          <w:b/>
          <w:bCs/>
        </w:rPr>
      </w:pPr>
      <w:r>
        <w:rPr>
          <w:b/>
          <w:bCs/>
        </w:rPr>
        <w:fldChar w:fldCharType="end"/>
      </w:r>
      <w:r w:rsidRPr="000B7344">
        <w:rPr>
          <w:b/>
          <w:bCs/>
        </w:rPr>
        <w:t xml:space="preserve"> </w:t>
      </w:r>
      <w:r w:rsidRPr="002C08BD">
        <w:rPr>
          <w:b/>
          <w:bCs/>
        </w:rPr>
        <w:t>Table S</w:t>
      </w:r>
      <w:r>
        <w:rPr>
          <w:b/>
          <w:bCs/>
        </w:rPr>
        <w:t>2</w:t>
      </w:r>
      <w:r w:rsidRPr="002C08BD">
        <w:rPr>
          <w:b/>
          <w:bCs/>
        </w:rPr>
        <w:t xml:space="preserve">: </w:t>
      </w:r>
      <w:r>
        <w:rPr>
          <w:b/>
          <w:bCs/>
        </w:rPr>
        <w:t>Treatment details for MM patients on relapse or in remission</w:t>
      </w:r>
    </w:p>
    <w:tbl>
      <w:tblPr>
        <w:tblStyle w:val="TableGrid"/>
        <w:tblW w:w="0" w:type="auto"/>
        <w:tblLook w:val="04A0" w:firstRow="1" w:lastRow="0" w:firstColumn="1" w:lastColumn="0" w:noHBand="0" w:noVBand="1"/>
      </w:tblPr>
      <w:tblGrid>
        <w:gridCol w:w="3397"/>
        <w:gridCol w:w="1701"/>
        <w:gridCol w:w="2020"/>
      </w:tblGrid>
      <w:tr w:rsidR="006203D7" w14:paraId="3657A7E3" w14:textId="77777777" w:rsidTr="001E6644">
        <w:tc>
          <w:tcPr>
            <w:tcW w:w="3397" w:type="dxa"/>
            <w:shd w:val="clear" w:color="auto" w:fill="DEEAF6" w:themeFill="accent5" w:themeFillTint="33"/>
          </w:tcPr>
          <w:p w14:paraId="0568A684" w14:textId="77777777" w:rsidR="006203D7" w:rsidRDefault="006203D7" w:rsidP="001E6644">
            <w:pPr>
              <w:rPr>
                <w:b/>
                <w:bCs/>
              </w:rPr>
            </w:pPr>
          </w:p>
        </w:tc>
        <w:tc>
          <w:tcPr>
            <w:tcW w:w="1701" w:type="dxa"/>
            <w:shd w:val="clear" w:color="auto" w:fill="DEEAF6" w:themeFill="accent5" w:themeFillTint="33"/>
          </w:tcPr>
          <w:p w14:paraId="1AC8D1E6" w14:textId="77777777" w:rsidR="006203D7" w:rsidRDefault="006203D7" w:rsidP="001E6644">
            <w:pPr>
              <w:jc w:val="center"/>
              <w:rPr>
                <w:b/>
                <w:bCs/>
              </w:rPr>
            </w:pPr>
            <w:r>
              <w:rPr>
                <w:b/>
                <w:bCs/>
              </w:rPr>
              <w:t>MM on relapse</w:t>
            </w:r>
          </w:p>
        </w:tc>
        <w:tc>
          <w:tcPr>
            <w:tcW w:w="2020" w:type="dxa"/>
            <w:shd w:val="clear" w:color="auto" w:fill="DEEAF6" w:themeFill="accent5" w:themeFillTint="33"/>
          </w:tcPr>
          <w:p w14:paraId="25292405" w14:textId="77777777" w:rsidR="006203D7" w:rsidRDefault="006203D7" w:rsidP="001E6644">
            <w:pPr>
              <w:jc w:val="center"/>
              <w:rPr>
                <w:b/>
                <w:bCs/>
              </w:rPr>
            </w:pPr>
            <w:r>
              <w:rPr>
                <w:b/>
                <w:bCs/>
              </w:rPr>
              <w:t>MM in remission</w:t>
            </w:r>
          </w:p>
        </w:tc>
      </w:tr>
      <w:tr w:rsidR="006203D7" w14:paraId="0F66E572" w14:textId="77777777" w:rsidTr="001E6644">
        <w:tc>
          <w:tcPr>
            <w:tcW w:w="3397" w:type="dxa"/>
          </w:tcPr>
          <w:p w14:paraId="5BD081A9" w14:textId="22819B3F" w:rsidR="006203D7" w:rsidRPr="006B0570" w:rsidRDefault="006203D7" w:rsidP="001E6644">
            <w:r w:rsidRPr="006B0570">
              <w:t>Lines</w:t>
            </w:r>
            <w:r w:rsidR="00377198">
              <w:t xml:space="preserve"> of therapy –</w:t>
            </w:r>
            <w:r w:rsidRPr="006B0570">
              <w:t xml:space="preserve"> </w:t>
            </w:r>
            <w:r>
              <w:t>Mean</w:t>
            </w:r>
            <w:r w:rsidR="00377198">
              <w:t xml:space="preserve"> (Range)</w:t>
            </w:r>
          </w:p>
        </w:tc>
        <w:tc>
          <w:tcPr>
            <w:tcW w:w="1701" w:type="dxa"/>
          </w:tcPr>
          <w:p w14:paraId="3306365F" w14:textId="77777777" w:rsidR="00377198" w:rsidRDefault="006203D7" w:rsidP="001E6644">
            <w:pPr>
              <w:jc w:val="center"/>
            </w:pPr>
            <w:r w:rsidRPr="00D32AF0">
              <w:t>1.</w:t>
            </w:r>
            <w:r>
              <w:t>7</w:t>
            </w:r>
            <w:r w:rsidR="00377198">
              <w:t xml:space="preserve"> </w:t>
            </w:r>
          </w:p>
          <w:p w14:paraId="690B1432" w14:textId="3B8D33BA" w:rsidR="006203D7" w:rsidRPr="00D32AF0" w:rsidRDefault="00377198" w:rsidP="001E6644">
            <w:pPr>
              <w:jc w:val="center"/>
            </w:pPr>
            <w:r>
              <w:t>(1-3)</w:t>
            </w:r>
          </w:p>
        </w:tc>
        <w:tc>
          <w:tcPr>
            <w:tcW w:w="2020" w:type="dxa"/>
          </w:tcPr>
          <w:p w14:paraId="65C636F7" w14:textId="77777777" w:rsidR="006203D7" w:rsidRDefault="006203D7" w:rsidP="001E6644">
            <w:pPr>
              <w:jc w:val="center"/>
            </w:pPr>
            <w:r w:rsidRPr="00D32AF0">
              <w:t>1</w:t>
            </w:r>
            <w:r>
              <w:t>.3</w:t>
            </w:r>
          </w:p>
          <w:p w14:paraId="6912C044" w14:textId="34C7407E" w:rsidR="00377198" w:rsidRPr="00D32AF0" w:rsidRDefault="00377198" w:rsidP="001E6644">
            <w:pPr>
              <w:jc w:val="center"/>
            </w:pPr>
            <w:r>
              <w:t>(1-3)</w:t>
            </w:r>
          </w:p>
        </w:tc>
      </w:tr>
      <w:tr w:rsidR="006203D7" w14:paraId="30751928" w14:textId="77777777" w:rsidTr="001E6644">
        <w:tc>
          <w:tcPr>
            <w:tcW w:w="3397" w:type="dxa"/>
          </w:tcPr>
          <w:p w14:paraId="19255F1A" w14:textId="77777777" w:rsidR="006203D7" w:rsidRPr="006B0570" w:rsidRDefault="006203D7" w:rsidP="001E6644">
            <w:r w:rsidRPr="006B0570">
              <w:t>% Autologous stem-cell transplant</w:t>
            </w:r>
          </w:p>
        </w:tc>
        <w:tc>
          <w:tcPr>
            <w:tcW w:w="1701" w:type="dxa"/>
          </w:tcPr>
          <w:p w14:paraId="49BE3758" w14:textId="77777777" w:rsidR="006203D7" w:rsidRPr="00D32AF0" w:rsidRDefault="006203D7" w:rsidP="001E6644">
            <w:pPr>
              <w:jc w:val="center"/>
            </w:pPr>
            <w:r w:rsidRPr="00D32AF0">
              <w:t>57.1</w:t>
            </w:r>
          </w:p>
        </w:tc>
        <w:tc>
          <w:tcPr>
            <w:tcW w:w="2020" w:type="dxa"/>
          </w:tcPr>
          <w:p w14:paraId="215E0F13" w14:textId="77777777" w:rsidR="006203D7" w:rsidRPr="00D32AF0" w:rsidRDefault="006203D7" w:rsidP="001E6644">
            <w:pPr>
              <w:jc w:val="center"/>
            </w:pPr>
            <w:r w:rsidRPr="00D32AF0">
              <w:t>33.3</w:t>
            </w:r>
          </w:p>
        </w:tc>
      </w:tr>
      <w:tr w:rsidR="006203D7" w14:paraId="5F38F76C" w14:textId="77777777" w:rsidTr="001E6644">
        <w:tc>
          <w:tcPr>
            <w:tcW w:w="7118" w:type="dxa"/>
            <w:gridSpan w:val="3"/>
            <w:shd w:val="clear" w:color="auto" w:fill="DEEAF6" w:themeFill="accent5" w:themeFillTint="33"/>
          </w:tcPr>
          <w:p w14:paraId="1752D16D" w14:textId="77777777" w:rsidR="006203D7" w:rsidRPr="00C23C1D" w:rsidRDefault="006203D7" w:rsidP="001E6644">
            <w:pPr>
              <w:rPr>
                <w:b/>
                <w:bCs/>
              </w:rPr>
            </w:pPr>
            <w:r w:rsidRPr="00C23C1D">
              <w:rPr>
                <w:b/>
                <w:bCs/>
              </w:rPr>
              <w:t xml:space="preserve">Treatment at </w:t>
            </w:r>
            <w:r>
              <w:rPr>
                <w:b/>
                <w:bCs/>
              </w:rPr>
              <w:t>Sampling</w:t>
            </w:r>
          </w:p>
        </w:tc>
      </w:tr>
      <w:tr w:rsidR="006203D7" w14:paraId="5405FDDA" w14:textId="77777777" w:rsidTr="001E6644">
        <w:tc>
          <w:tcPr>
            <w:tcW w:w="3397" w:type="dxa"/>
          </w:tcPr>
          <w:p w14:paraId="2778C640" w14:textId="77777777" w:rsidR="006203D7" w:rsidRPr="006B0570" w:rsidRDefault="006203D7" w:rsidP="001E6644">
            <w:r w:rsidRPr="00404864">
              <w:t>% Immunomodulatory Drug</w:t>
            </w:r>
          </w:p>
        </w:tc>
        <w:tc>
          <w:tcPr>
            <w:tcW w:w="1701" w:type="dxa"/>
          </w:tcPr>
          <w:p w14:paraId="5F5A3AD2" w14:textId="77777777" w:rsidR="006203D7" w:rsidRPr="00C23C1D" w:rsidRDefault="006203D7" w:rsidP="001E6644">
            <w:pPr>
              <w:jc w:val="center"/>
            </w:pPr>
            <w:r w:rsidRPr="00C23C1D">
              <w:t>50.0</w:t>
            </w:r>
          </w:p>
        </w:tc>
        <w:tc>
          <w:tcPr>
            <w:tcW w:w="2020" w:type="dxa"/>
          </w:tcPr>
          <w:p w14:paraId="238F85A0" w14:textId="77777777" w:rsidR="006203D7" w:rsidRPr="00C23C1D" w:rsidRDefault="006203D7" w:rsidP="001E6644">
            <w:pPr>
              <w:jc w:val="center"/>
            </w:pPr>
            <w:r w:rsidRPr="00C23C1D">
              <w:t>91.7</w:t>
            </w:r>
          </w:p>
        </w:tc>
      </w:tr>
      <w:tr w:rsidR="006203D7" w14:paraId="70A0B6BB" w14:textId="77777777" w:rsidTr="001E6644">
        <w:tc>
          <w:tcPr>
            <w:tcW w:w="3397" w:type="dxa"/>
          </w:tcPr>
          <w:p w14:paraId="04E86CEA" w14:textId="77777777" w:rsidR="006203D7" w:rsidRPr="006B0570" w:rsidRDefault="006203D7" w:rsidP="001E6644">
            <w:r w:rsidRPr="00404864">
              <w:t>% Proteasome Inhibitor</w:t>
            </w:r>
          </w:p>
        </w:tc>
        <w:tc>
          <w:tcPr>
            <w:tcW w:w="1701" w:type="dxa"/>
          </w:tcPr>
          <w:p w14:paraId="63A702E1" w14:textId="77777777" w:rsidR="006203D7" w:rsidRPr="00C23C1D" w:rsidRDefault="006203D7" w:rsidP="001E6644">
            <w:pPr>
              <w:jc w:val="center"/>
            </w:pPr>
            <w:r w:rsidRPr="00C23C1D">
              <w:t>78.6</w:t>
            </w:r>
          </w:p>
        </w:tc>
        <w:tc>
          <w:tcPr>
            <w:tcW w:w="2020" w:type="dxa"/>
          </w:tcPr>
          <w:p w14:paraId="19266295" w14:textId="77777777" w:rsidR="006203D7" w:rsidRPr="00C23C1D" w:rsidRDefault="006203D7" w:rsidP="001E6644">
            <w:pPr>
              <w:jc w:val="center"/>
            </w:pPr>
            <w:r w:rsidRPr="00C23C1D">
              <w:t>66.6</w:t>
            </w:r>
          </w:p>
        </w:tc>
      </w:tr>
      <w:tr w:rsidR="006203D7" w14:paraId="0A8AD973" w14:textId="77777777" w:rsidTr="001E6644">
        <w:tc>
          <w:tcPr>
            <w:tcW w:w="3397" w:type="dxa"/>
          </w:tcPr>
          <w:p w14:paraId="608F2482" w14:textId="77777777" w:rsidR="006203D7" w:rsidRPr="006B0570" w:rsidRDefault="006203D7" w:rsidP="001E6644">
            <w:r w:rsidRPr="00404864">
              <w:t>% Glucocorticoid</w:t>
            </w:r>
          </w:p>
        </w:tc>
        <w:tc>
          <w:tcPr>
            <w:tcW w:w="1701" w:type="dxa"/>
          </w:tcPr>
          <w:p w14:paraId="6E7883BD" w14:textId="77777777" w:rsidR="006203D7" w:rsidRPr="00C23C1D" w:rsidRDefault="006203D7" w:rsidP="001E6644">
            <w:pPr>
              <w:jc w:val="center"/>
            </w:pPr>
            <w:r w:rsidRPr="00C23C1D">
              <w:t>92.9</w:t>
            </w:r>
          </w:p>
        </w:tc>
        <w:tc>
          <w:tcPr>
            <w:tcW w:w="2020" w:type="dxa"/>
          </w:tcPr>
          <w:p w14:paraId="2062D4CF" w14:textId="77777777" w:rsidR="006203D7" w:rsidRPr="00C23C1D" w:rsidRDefault="006203D7" w:rsidP="001E6644">
            <w:pPr>
              <w:jc w:val="center"/>
            </w:pPr>
            <w:r w:rsidRPr="00C23C1D">
              <w:t>83.3</w:t>
            </w:r>
          </w:p>
        </w:tc>
      </w:tr>
      <w:tr w:rsidR="006203D7" w14:paraId="22E500A2" w14:textId="77777777" w:rsidTr="001E6644">
        <w:tc>
          <w:tcPr>
            <w:tcW w:w="3397" w:type="dxa"/>
          </w:tcPr>
          <w:p w14:paraId="0BC4D8DD" w14:textId="77777777" w:rsidR="006203D7" w:rsidRPr="006B0570" w:rsidRDefault="006203D7" w:rsidP="001E6644">
            <w:r w:rsidRPr="00404864">
              <w:t>% Alkylating Agent</w:t>
            </w:r>
          </w:p>
        </w:tc>
        <w:tc>
          <w:tcPr>
            <w:tcW w:w="1701" w:type="dxa"/>
          </w:tcPr>
          <w:p w14:paraId="19C03FB9" w14:textId="77777777" w:rsidR="006203D7" w:rsidRPr="00C23C1D" w:rsidRDefault="006203D7" w:rsidP="001E6644">
            <w:pPr>
              <w:jc w:val="center"/>
            </w:pPr>
            <w:r w:rsidRPr="00C23C1D">
              <w:t>50.0</w:t>
            </w:r>
          </w:p>
        </w:tc>
        <w:tc>
          <w:tcPr>
            <w:tcW w:w="2020" w:type="dxa"/>
          </w:tcPr>
          <w:p w14:paraId="7F5960D6" w14:textId="77777777" w:rsidR="006203D7" w:rsidRPr="00C23C1D" w:rsidRDefault="006203D7" w:rsidP="001E6644">
            <w:pPr>
              <w:jc w:val="center"/>
            </w:pPr>
            <w:r w:rsidRPr="00C23C1D">
              <w:t>0.0</w:t>
            </w:r>
          </w:p>
        </w:tc>
      </w:tr>
      <w:tr w:rsidR="006203D7" w14:paraId="384767DF" w14:textId="77777777" w:rsidTr="001E6644">
        <w:tc>
          <w:tcPr>
            <w:tcW w:w="3397" w:type="dxa"/>
          </w:tcPr>
          <w:p w14:paraId="46560950" w14:textId="77777777" w:rsidR="006203D7" w:rsidRPr="006B0570" w:rsidRDefault="006203D7" w:rsidP="001E6644">
            <w:r w:rsidRPr="00404864">
              <w:t>% CD38-targeting agent</w:t>
            </w:r>
          </w:p>
        </w:tc>
        <w:tc>
          <w:tcPr>
            <w:tcW w:w="1701" w:type="dxa"/>
          </w:tcPr>
          <w:p w14:paraId="6DB02052" w14:textId="77777777" w:rsidR="006203D7" w:rsidRPr="00C23C1D" w:rsidRDefault="006203D7" w:rsidP="001E6644">
            <w:pPr>
              <w:jc w:val="center"/>
            </w:pPr>
            <w:r w:rsidRPr="00C23C1D">
              <w:t>28.6</w:t>
            </w:r>
          </w:p>
        </w:tc>
        <w:tc>
          <w:tcPr>
            <w:tcW w:w="2020" w:type="dxa"/>
          </w:tcPr>
          <w:p w14:paraId="18D4D6F6" w14:textId="77777777" w:rsidR="006203D7" w:rsidRPr="00C23C1D" w:rsidRDefault="006203D7" w:rsidP="001E6644">
            <w:pPr>
              <w:jc w:val="center"/>
            </w:pPr>
            <w:r w:rsidRPr="00C23C1D">
              <w:t>41.6</w:t>
            </w:r>
          </w:p>
        </w:tc>
      </w:tr>
      <w:bookmarkEnd w:id="0"/>
    </w:tbl>
    <w:p w14:paraId="149D99AC" w14:textId="7C8082B4" w:rsidR="006203D7" w:rsidRDefault="006203D7">
      <w:pPr>
        <w:rPr>
          <w:b/>
          <w:bCs/>
        </w:rPr>
      </w:pPr>
      <w:r>
        <w:rPr>
          <w:b/>
          <w:bCs/>
        </w:rPr>
        <w:br w:type="page"/>
      </w:r>
    </w:p>
    <w:p w14:paraId="69231D90" w14:textId="77777777" w:rsidR="002C08BD" w:rsidRDefault="002C08BD">
      <w:pPr>
        <w:rPr>
          <w:b/>
          <w:bCs/>
        </w:rPr>
      </w:pPr>
    </w:p>
    <w:tbl>
      <w:tblPr>
        <w:tblStyle w:val="TableGrid"/>
        <w:tblpPr w:leftFromText="180" w:rightFromText="180" w:vertAnchor="page" w:horzAnchor="margin" w:tblpY="2441"/>
        <w:tblW w:w="0" w:type="auto"/>
        <w:tblLook w:val="04A0" w:firstRow="1" w:lastRow="0" w:firstColumn="1" w:lastColumn="0" w:noHBand="0" w:noVBand="1"/>
      </w:tblPr>
      <w:tblGrid>
        <w:gridCol w:w="3005"/>
        <w:gridCol w:w="3005"/>
        <w:gridCol w:w="3006"/>
      </w:tblGrid>
      <w:tr w:rsidR="002C08BD" w:rsidRPr="00396A4D" w14:paraId="6944821C" w14:textId="77777777" w:rsidTr="00013B8F">
        <w:tc>
          <w:tcPr>
            <w:tcW w:w="3005" w:type="dxa"/>
            <w:shd w:val="clear" w:color="auto" w:fill="DEEAF6" w:themeFill="accent5" w:themeFillTint="33"/>
          </w:tcPr>
          <w:p w14:paraId="419855E4" w14:textId="77777777" w:rsidR="002C08BD" w:rsidRPr="00396A4D" w:rsidRDefault="002C08BD" w:rsidP="002C08BD">
            <w:pPr>
              <w:rPr>
                <w:b/>
                <w:bCs/>
              </w:rPr>
            </w:pPr>
            <w:bookmarkStart w:id="1" w:name="_Hlk116419778"/>
            <w:r w:rsidRPr="00396A4D">
              <w:rPr>
                <w:b/>
                <w:bCs/>
              </w:rPr>
              <w:t>Antibody</w:t>
            </w:r>
          </w:p>
        </w:tc>
        <w:tc>
          <w:tcPr>
            <w:tcW w:w="3005" w:type="dxa"/>
            <w:shd w:val="clear" w:color="auto" w:fill="DEEAF6" w:themeFill="accent5" w:themeFillTint="33"/>
          </w:tcPr>
          <w:p w14:paraId="0C23D1D1" w14:textId="77777777" w:rsidR="002C08BD" w:rsidRPr="00396A4D" w:rsidRDefault="002C08BD" w:rsidP="002C08BD">
            <w:pPr>
              <w:rPr>
                <w:b/>
                <w:bCs/>
              </w:rPr>
            </w:pPr>
            <w:r w:rsidRPr="00396A4D">
              <w:rPr>
                <w:b/>
                <w:bCs/>
              </w:rPr>
              <w:t>Clone</w:t>
            </w:r>
          </w:p>
        </w:tc>
        <w:tc>
          <w:tcPr>
            <w:tcW w:w="3006" w:type="dxa"/>
            <w:shd w:val="clear" w:color="auto" w:fill="DEEAF6" w:themeFill="accent5" w:themeFillTint="33"/>
          </w:tcPr>
          <w:p w14:paraId="5534E510" w14:textId="77777777" w:rsidR="002C08BD" w:rsidRPr="00396A4D" w:rsidRDefault="002C08BD" w:rsidP="002C08BD">
            <w:pPr>
              <w:rPr>
                <w:b/>
                <w:bCs/>
              </w:rPr>
            </w:pPr>
            <w:r w:rsidRPr="00396A4D">
              <w:rPr>
                <w:b/>
                <w:bCs/>
              </w:rPr>
              <w:t>Supplier and Cat #</w:t>
            </w:r>
          </w:p>
        </w:tc>
      </w:tr>
      <w:tr w:rsidR="002C08BD" w14:paraId="334B7D04" w14:textId="77777777" w:rsidTr="002C08BD">
        <w:tc>
          <w:tcPr>
            <w:tcW w:w="3005" w:type="dxa"/>
          </w:tcPr>
          <w:p w14:paraId="04404A36" w14:textId="77777777" w:rsidR="002C08BD" w:rsidRDefault="002C08BD" w:rsidP="002C08BD">
            <w:r>
              <w:t>Anti-CD4 BV785</w:t>
            </w:r>
          </w:p>
        </w:tc>
        <w:tc>
          <w:tcPr>
            <w:tcW w:w="3005" w:type="dxa"/>
          </w:tcPr>
          <w:p w14:paraId="316BAB85" w14:textId="77777777" w:rsidR="002C08BD" w:rsidRDefault="002C08BD" w:rsidP="002C08BD">
            <w:r>
              <w:t>OKT4</w:t>
            </w:r>
          </w:p>
        </w:tc>
        <w:tc>
          <w:tcPr>
            <w:tcW w:w="3006" w:type="dxa"/>
          </w:tcPr>
          <w:p w14:paraId="0A9FE61C" w14:textId="77777777" w:rsidR="002C08BD" w:rsidRDefault="002C08BD" w:rsidP="002C08BD">
            <w:r>
              <w:t>Biolegend #317442</w:t>
            </w:r>
          </w:p>
        </w:tc>
      </w:tr>
      <w:tr w:rsidR="002C08BD" w14:paraId="70C46C16" w14:textId="77777777" w:rsidTr="002C08BD">
        <w:tc>
          <w:tcPr>
            <w:tcW w:w="3005" w:type="dxa"/>
          </w:tcPr>
          <w:p w14:paraId="7207C8CF" w14:textId="77777777" w:rsidR="002C08BD" w:rsidRDefault="002C08BD" w:rsidP="002C08BD">
            <w:r>
              <w:t>Anti-CD8 AF700</w:t>
            </w:r>
          </w:p>
        </w:tc>
        <w:tc>
          <w:tcPr>
            <w:tcW w:w="3005" w:type="dxa"/>
          </w:tcPr>
          <w:p w14:paraId="2FAF9C8B" w14:textId="77777777" w:rsidR="002C08BD" w:rsidRDefault="002C08BD" w:rsidP="002C08BD">
            <w:r>
              <w:t>SK1</w:t>
            </w:r>
          </w:p>
        </w:tc>
        <w:tc>
          <w:tcPr>
            <w:tcW w:w="3006" w:type="dxa"/>
          </w:tcPr>
          <w:p w14:paraId="7F155756" w14:textId="77777777" w:rsidR="002C08BD" w:rsidRDefault="002C08BD" w:rsidP="002C08BD">
            <w:r>
              <w:t>Biolegend #344724</w:t>
            </w:r>
          </w:p>
        </w:tc>
      </w:tr>
      <w:tr w:rsidR="002C08BD" w14:paraId="13D054D0" w14:textId="77777777" w:rsidTr="002C08BD">
        <w:tc>
          <w:tcPr>
            <w:tcW w:w="3005" w:type="dxa"/>
          </w:tcPr>
          <w:p w14:paraId="3A736CEC" w14:textId="77777777" w:rsidR="002C08BD" w:rsidRDefault="002C08BD" w:rsidP="002C08BD">
            <w:r>
              <w:t>Anti-CD56 BV510</w:t>
            </w:r>
          </w:p>
        </w:tc>
        <w:tc>
          <w:tcPr>
            <w:tcW w:w="3005" w:type="dxa"/>
          </w:tcPr>
          <w:p w14:paraId="792666FB" w14:textId="77777777" w:rsidR="002C08BD" w:rsidRDefault="002C08BD" w:rsidP="002C08BD">
            <w:r>
              <w:t>HDC56</w:t>
            </w:r>
          </w:p>
        </w:tc>
        <w:tc>
          <w:tcPr>
            <w:tcW w:w="3006" w:type="dxa"/>
          </w:tcPr>
          <w:p w14:paraId="5149B5CD" w14:textId="77777777" w:rsidR="002C08BD" w:rsidRDefault="002C08BD" w:rsidP="002C08BD">
            <w:r>
              <w:t>Biolegend #318340</w:t>
            </w:r>
          </w:p>
        </w:tc>
      </w:tr>
      <w:tr w:rsidR="002C08BD" w14:paraId="357E5664" w14:textId="77777777" w:rsidTr="002C08BD">
        <w:tc>
          <w:tcPr>
            <w:tcW w:w="3005" w:type="dxa"/>
          </w:tcPr>
          <w:p w14:paraId="3A527326" w14:textId="77777777" w:rsidR="002C08BD" w:rsidRDefault="002C08BD" w:rsidP="002C08BD">
            <w:r>
              <w:t>Anti-CD127 APC</w:t>
            </w:r>
          </w:p>
        </w:tc>
        <w:tc>
          <w:tcPr>
            <w:tcW w:w="3005" w:type="dxa"/>
          </w:tcPr>
          <w:p w14:paraId="08184C81" w14:textId="77777777" w:rsidR="002C08BD" w:rsidRDefault="002C08BD" w:rsidP="002C08BD">
            <w:r>
              <w:t>A019D5</w:t>
            </w:r>
          </w:p>
        </w:tc>
        <w:tc>
          <w:tcPr>
            <w:tcW w:w="3006" w:type="dxa"/>
          </w:tcPr>
          <w:p w14:paraId="273BA038" w14:textId="77777777" w:rsidR="002C08BD" w:rsidRDefault="002C08BD" w:rsidP="002C08BD">
            <w:r>
              <w:t>Biolegend #351342</w:t>
            </w:r>
          </w:p>
        </w:tc>
      </w:tr>
      <w:tr w:rsidR="002C08BD" w14:paraId="386C9DB2" w14:textId="77777777" w:rsidTr="002C08BD">
        <w:tc>
          <w:tcPr>
            <w:tcW w:w="3005" w:type="dxa"/>
          </w:tcPr>
          <w:p w14:paraId="4AC51032" w14:textId="77777777" w:rsidR="002C08BD" w:rsidRDefault="002C08BD" w:rsidP="002C08BD">
            <w:r>
              <w:t>Anti-CD25 BV605</w:t>
            </w:r>
          </w:p>
        </w:tc>
        <w:tc>
          <w:tcPr>
            <w:tcW w:w="3005" w:type="dxa"/>
          </w:tcPr>
          <w:p w14:paraId="050B2E27" w14:textId="77777777" w:rsidR="002C08BD" w:rsidRDefault="002C08BD" w:rsidP="002C08BD">
            <w:r>
              <w:t>BC96</w:t>
            </w:r>
          </w:p>
        </w:tc>
        <w:tc>
          <w:tcPr>
            <w:tcW w:w="3006" w:type="dxa"/>
          </w:tcPr>
          <w:p w14:paraId="18F6356F" w14:textId="77777777" w:rsidR="002C08BD" w:rsidRDefault="002C08BD" w:rsidP="002C08BD">
            <w:r>
              <w:t>Biolegend #302632</w:t>
            </w:r>
          </w:p>
        </w:tc>
      </w:tr>
      <w:tr w:rsidR="002C08BD" w14:paraId="3B954D02" w14:textId="77777777" w:rsidTr="002C08BD">
        <w:tc>
          <w:tcPr>
            <w:tcW w:w="3005" w:type="dxa"/>
          </w:tcPr>
          <w:p w14:paraId="39EA7C3F" w14:textId="77777777" w:rsidR="002C08BD" w:rsidRDefault="002C08BD" w:rsidP="002C08BD">
            <w:r>
              <w:t>Anti-CD45RA BV421</w:t>
            </w:r>
          </w:p>
        </w:tc>
        <w:tc>
          <w:tcPr>
            <w:tcW w:w="3005" w:type="dxa"/>
          </w:tcPr>
          <w:p w14:paraId="73AD5AC5" w14:textId="77777777" w:rsidR="002C08BD" w:rsidRDefault="002C08BD" w:rsidP="002C08BD">
            <w:r>
              <w:t>HI100</w:t>
            </w:r>
          </w:p>
        </w:tc>
        <w:tc>
          <w:tcPr>
            <w:tcW w:w="3006" w:type="dxa"/>
          </w:tcPr>
          <w:p w14:paraId="5C802842" w14:textId="77777777" w:rsidR="002C08BD" w:rsidRDefault="002C08BD" w:rsidP="002C08BD">
            <w:r>
              <w:t>Biolegend #304130</w:t>
            </w:r>
          </w:p>
        </w:tc>
      </w:tr>
      <w:tr w:rsidR="002C08BD" w14:paraId="0B3A28C1" w14:textId="77777777" w:rsidTr="002C08BD">
        <w:tc>
          <w:tcPr>
            <w:tcW w:w="3005" w:type="dxa"/>
          </w:tcPr>
          <w:p w14:paraId="69B8282E" w14:textId="77777777" w:rsidR="002C08BD" w:rsidRDefault="002C08BD" w:rsidP="002C08BD">
            <w:r>
              <w:t>Anti-CCR7 BUV373</w:t>
            </w:r>
          </w:p>
        </w:tc>
        <w:tc>
          <w:tcPr>
            <w:tcW w:w="3005" w:type="dxa"/>
          </w:tcPr>
          <w:p w14:paraId="58EA6079" w14:textId="77777777" w:rsidR="002C08BD" w:rsidRDefault="002C08BD" w:rsidP="002C08BD">
            <w:r>
              <w:t>2-L1-A</w:t>
            </w:r>
          </w:p>
        </w:tc>
        <w:tc>
          <w:tcPr>
            <w:tcW w:w="3006" w:type="dxa"/>
          </w:tcPr>
          <w:p w14:paraId="3283F426" w14:textId="77777777" w:rsidR="002C08BD" w:rsidRDefault="002C08BD" w:rsidP="002C08BD">
            <w:r>
              <w:t>BD #749676</w:t>
            </w:r>
          </w:p>
        </w:tc>
      </w:tr>
      <w:tr w:rsidR="002C08BD" w14:paraId="11533176" w14:textId="77777777" w:rsidTr="002C08BD">
        <w:tc>
          <w:tcPr>
            <w:tcW w:w="3005" w:type="dxa"/>
          </w:tcPr>
          <w:p w14:paraId="513A2A83" w14:textId="77777777" w:rsidR="002C08BD" w:rsidRDefault="002C08BD" w:rsidP="002C08BD">
            <w:r>
              <w:t>Anti -TIGIT BUV395</w:t>
            </w:r>
          </w:p>
        </w:tc>
        <w:tc>
          <w:tcPr>
            <w:tcW w:w="3005" w:type="dxa"/>
          </w:tcPr>
          <w:p w14:paraId="3F7DB87C" w14:textId="77777777" w:rsidR="002C08BD" w:rsidRDefault="002C08BD" w:rsidP="002C08BD">
            <w:r>
              <w:t>741182</w:t>
            </w:r>
          </w:p>
        </w:tc>
        <w:tc>
          <w:tcPr>
            <w:tcW w:w="3006" w:type="dxa"/>
          </w:tcPr>
          <w:p w14:paraId="551B3F2B" w14:textId="77777777" w:rsidR="002C08BD" w:rsidRDefault="002C08BD" w:rsidP="002C08BD">
            <w:r>
              <w:t>BD #747845</w:t>
            </w:r>
          </w:p>
        </w:tc>
      </w:tr>
      <w:tr w:rsidR="002C08BD" w14:paraId="5FD05DCB" w14:textId="77777777" w:rsidTr="002C08BD">
        <w:tc>
          <w:tcPr>
            <w:tcW w:w="3005" w:type="dxa"/>
          </w:tcPr>
          <w:p w14:paraId="3F9D315E" w14:textId="77777777" w:rsidR="002C08BD" w:rsidRDefault="002C08BD" w:rsidP="002C08BD">
            <w:r>
              <w:t>Anti-PD1 PE-cy7</w:t>
            </w:r>
          </w:p>
        </w:tc>
        <w:tc>
          <w:tcPr>
            <w:tcW w:w="3005" w:type="dxa"/>
          </w:tcPr>
          <w:p w14:paraId="0C7BB127" w14:textId="77777777" w:rsidR="002C08BD" w:rsidRDefault="002C08BD" w:rsidP="002C08BD">
            <w:r>
              <w:t>EH12.2H7</w:t>
            </w:r>
          </w:p>
        </w:tc>
        <w:tc>
          <w:tcPr>
            <w:tcW w:w="3006" w:type="dxa"/>
          </w:tcPr>
          <w:p w14:paraId="0047DC05" w14:textId="77777777" w:rsidR="002C08BD" w:rsidRDefault="002C08BD" w:rsidP="002C08BD">
            <w:r>
              <w:t>Biolegend #329918</w:t>
            </w:r>
          </w:p>
        </w:tc>
      </w:tr>
      <w:tr w:rsidR="002C08BD" w14:paraId="76E7DF8D" w14:textId="77777777" w:rsidTr="002C08BD">
        <w:tc>
          <w:tcPr>
            <w:tcW w:w="3005" w:type="dxa"/>
          </w:tcPr>
          <w:p w14:paraId="57AB1481" w14:textId="77777777" w:rsidR="002C08BD" w:rsidRDefault="002C08BD" w:rsidP="002C08BD">
            <w:r>
              <w:t>Anti-CD36 PE</w:t>
            </w:r>
          </w:p>
        </w:tc>
        <w:tc>
          <w:tcPr>
            <w:tcW w:w="3005" w:type="dxa"/>
          </w:tcPr>
          <w:p w14:paraId="593E8655" w14:textId="77777777" w:rsidR="002C08BD" w:rsidRDefault="002C08BD" w:rsidP="002C08BD">
            <w:r>
              <w:t>TR9</w:t>
            </w:r>
          </w:p>
        </w:tc>
        <w:tc>
          <w:tcPr>
            <w:tcW w:w="3006" w:type="dxa"/>
          </w:tcPr>
          <w:p w14:paraId="4EB4532E" w14:textId="77777777" w:rsidR="002C08BD" w:rsidRDefault="002C08BD" w:rsidP="002C08BD">
            <w:r>
              <w:t>Molecular probes A15777</w:t>
            </w:r>
          </w:p>
        </w:tc>
      </w:tr>
      <w:tr w:rsidR="002C08BD" w14:paraId="7B6BF838" w14:textId="77777777" w:rsidTr="002C08BD">
        <w:tc>
          <w:tcPr>
            <w:tcW w:w="3005" w:type="dxa"/>
          </w:tcPr>
          <w:p w14:paraId="38782E3E" w14:textId="77777777" w:rsidR="002C08BD" w:rsidRDefault="002C08BD" w:rsidP="002C08BD">
            <w:pPr>
              <w:rPr>
                <w:rtl/>
              </w:rPr>
            </w:pPr>
            <w:r>
              <w:t>Anti-IFN</w:t>
            </w:r>
            <w:r>
              <w:rPr>
                <w:rFonts w:hint="cs"/>
                <w:rtl/>
              </w:rPr>
              <w:t>-</w:t>
            </w:r>
            <w:r>
              <w:rPr>
                <w:rFonts w:ascii="Calibri" w:hAnsi="Calibri" w:cs="Calibri"/>
              </w:rPr>
              <w:t>γ FITC</w:t>
            </w:r>
          </w:p>
        </w:tc>
        <w:tc>
          <w:tcPr>
            <w:tcW w:w="3005" w:type="dxa"/>
          </w:tcPr>
          <w:p w14:paraId="7592CA7A" w14:textId="77777777" w:rsidR="002C08BD" w:rsidRDefault="002C08BD" w:rsidP="002C08BD">
            <w:r>
              <w:t>B27</w:t>
            </w:r>
          </w:p>
        </w:tc>
        <w:tc>
          <w:tcPr>
            <w:tcW w:w="3006" w:type="dxa"/>
          </w:tcPr>
          <w:p w14:paraId="1B6E8EE0" w14:textId="77777777" w:rsidR="002C08BD" w:rsidRDefault="002C08BD" w:rsidP="002C08BD">
            <w:r>
              <w:t>Biolegend #506504</w:t>
            </w:r>
          </w:p>
        </w:tc>
      </w:tr>
      <w:tr w:rsidR="002C08BD" w14:paraId="03892CFA" w14:textId="77777777" w:rsidTr="002C08BD">
        <w:tc>
          <w:tcPr>
            <w:tcW w:w="3005" w:type="dxa"/>
          </w:tcPr>
          <w:p w14:paraId="781E7C2B" w14:textId="77777777" w:rsidR="002C08BD" w:rsidRDefault="002C08BD" w:rsidP="002C08BD">
            <w:r>
              <w:t>Anti-TNF-</w:t>
            </w:r>
            <w:r>
              <w:rPr>
                <w:rFonts w:cstheme="minorHAnsi"/>
              </w:rPr>
              <w:t>α PE</w:t>
            </w:r>
          </w:p>
        </w:tc>
        <w:tc>
          <w:tcPr>
            <w:tcW w:w="3005" w:type="dxa"/>
          </w:tcPr>
          <w:p w14:paraId="448E7954" w14:textId="77777777" w:rsidR="002C08BD" w:rsidRDefault="002C08BD" w:rsidP="002C08BD">
            <w:r>
              <w:t>MAb11</w:t>
            </w:r>
          </w:p>
        </w:tc>
        <w:tc>
          <w:tcPr>
            <w:tcW w:w="3006" w:type="dxa"/>
          </w:tcPr>
          <w:p w14:paraId="28D16129" w14:textId="77777777" w:rsidR="002C08BD" w:rsidRDefault="002C08BD" w:rsidP="002C08BD">
            <w:r>
              <w:t>Biolegend #502909</w:t>
            </w:r>
          </w:p>
        </w:tc>
      </w:tr>
      <w:tr w:rsidR="002C08BD" w14:paraId="1620FB7E" w14:textId="77777777" w:rsidTr="002C08BD">
        <w:tc>
          <w:tcPr>
            <w:tcW w:w="3005" w:type="dxa"/>
          </w:tcPr>
          <w:p w14:paraId="408F2672" w14:textId="77777777" w:rsidR="002C08BD" w:rsidRDefault="002C08BD" w:rsidP="002C08BD">
            <w:r>
              <w:t>Anti-IL-2 BV605</w:t>
            </w:r>
          </w:p>
        </w:tc>
        <w:tc>
          <w:tcPr>
            <w:tcW w:w="3005" w:type="dxa"/>
          </w:tcPr>
          <w:p w14:paraId="4EC2C306" w14:textId="77777777" w:rsidR="002C08BD" w:rsidRDefault="002C08BD" w:rsidP="002C08BD">
            <w:r>
              <w:t>1-17H12</w:t>
            </w:r>
          </w:p>
        </w:tc>
        <w:tc>
          <w:tcPr>
            <w:tcW w:w="3006" w:type="dxa"/>
          </w:tcPr>
          <w:p w14:paraId="20C08E54" w14:textId="77777777" w:rsidR="002C08BD" w:rsidRDefault="002C08BD" w:rsidP="002C08BD">
            <w:r>
              <w:t>Biolegend #500332</w:t>
            </w:r>
          </w:p>
        </w:tc>
      </w:tr>
      <w:tr w:rsidR="001A48D8" w14:paraId="2DDA20A7" w14:textId="77777777" w:rsidTr="002C08BD">
        <w:tc>
          <w:tcPr>
            <w:tcW w:w="3005" w:type="dxa"/>
          </w:tcPr>
          <w:p w14:paraId="07825FCF" w14:textId="25871E47" w:rsidR="001A48D8" w:rsidRDefault="001A48D8" w:rsidP="002C08BD">
            <w:r>
              <w:t>Anti-Granzyme B</w:t>
            </w:r>
          </w:p>
        </w:tc>
        <w:tc>
          <w:tcPr>
            <w:tcW w:w="3005" w:type="dxa"/>
          </w:tcPr>
          <w:p w14:paraId="2FA24C29" w14:textId="54801D85" w:rsidR="001A48D8" w:rsidRDefault="000C02A4" w:rsidP="002C08BD">
            <w:r>
              <w:t>QA16A02</w:t>
            </w:r>
          </w:p>
        </w:tc>
        <w:tc>
          <w:tcPr>
            <w:tcW w:w="3006" w:type="dxa"/>
          </w:tcPr>
          <w:p w14:paraId="00509112" w14:textId="67E5D04A" w:rsidR="001A48D8" w:rsidRDefault="000C02A4" w:rsidP="002C08BD">
            <w:r>
              <w:t>Biolegend #372212</w:t>
            </w:r>
          </w:p>
        </w:tc>
      </w:tr>
      <w:tr w:rsidR="002C08BD" w14:paraId="3A9F1F7D" w14:textId="77777777" w:rsidTr="002C08BD">
        <w:tc>
          <w:tcPr>
            <w:tcW w:w="3005" w:type="dxa"/>
          </w:tcPr>
          <w:p w14:paraId="0A5CD57C" w14:textId="77777777" w:rsidR="002C08BD" w:rsidRDefault="002C08BD" w:rsidP="002C08BD">
            <w:r>
              <w:t>Anti-COX IV AF647</w:t>
            </w:r>
          </w:p>
        </w:tc>
        <w:tc>
          <w:tcPr>
            <w:tcW w:w="3005" w:type="dxa"/>
          </w:tcPr>
          <w:p w14:paraId="2676BF2E" w14:textId="77777777" w:rsidR="002C08BD" w:rsidRDefault="002C08BD" w:rsidP="002C08BD">
            <w:r>
              <w:t>mAbcam339851</w:t>
            </w:r>
          </w:p>
        </w:tc>
        <w:tc>
          <w:tcPr>
            <w:tcW w:w="3006" w:type="dxa"/>
          </w:tcPr>
          <w:p w14:paraId="349105FA" w14:textId="77777777" w:rsidR="002C08BD" w:rsidRDefault="002C08BD" w:rsidP="002C08BD">
            <w:r>
              <w:t>Abcam ab197491</w:t>
            </w:r>
          </w:p>
        </w:tc>
      </w:tr>
      <w:tr w:rsidR="002C08BD" w14:paraId="243162F9" w14:textId="77777777" w:rsidTr="002C08BD">
        <w:tc>
          <w:tcPr>
            <w:tcW w:w="3005" w:type="dxa"/>
          </w:tcPr>
          <w:p w14:paraId="0587C5D2" w14:textId="77777777" w:rsidR="002C08BD" w:rsidRDefault="002C08BD" w:rsidP="002C08BD">
            <w:r>
              <w:t>Anti-VDAC unconjugated</w:t>
            </w:r>
          </w:p>
        </w:tc>
        <w:tc>
          <w:tcPr>
            <w:tcW w:w="3005" w:type="dxa"/>
          </w:tcPr>
          <w:p w14:paraId="44BCC0BC" w14:textId="77777777" w:rsidR="002C08BD" w:rsidRDefault="002C08BD" w:rsidP="002C08BD">
            <w:r>
              <w:t>2OB12AF2</w:t>
            </w:r>
          </w:p>
        </w:tc>
        <w:tc>
          <w:tcPr>
            <w:tcW w:w="3006" w:type="dxa"/>
          </w:tcPr>
          <w:p w14:paraId="183AD606" w14:textId="77777777" w:rsidR="002C08BD" w:rsidRDefault="002C08BD" w:rsidP="002C08BD">
            <w:r>
              <w:t>Abcam ab14734</w:t>
            </w:r>
          </w:p>
        </w:tc>
      </w:tr>
      <w:tr w:rsidR="002C08BD" w14:paraId="78C07F92" w14:textId="77777777" w:rsidTr="002C08BD">
        <w:tc>
          <w:tcPr>
            <w:tcW w:w="3005" w:type="dxa"/>
          </w:tcPr>
          <w:p w14:paraId="15AEA62E" w14:textId="77777777" w:rsidR="002C08BD" w:rsidRDefault="002C08BD" w:rsidP="002C08BD">
            <w:r>
              <w:t>Goat-anti-mouse PE-cy7</w:t>
            </w:r>
          </w:p>
        </w:tc>
        <w:tc>
          <w:tcPr>
            <w:tcW w:w="3005" w:type="dxa"/>
          </w:tcPr>
          <w:p w14:paraId="6829DD45" w14:textId="77777777" w:rsidR="002C08BD" w:rsidRDefault="002C08BD" w:rsidP="002C08BD">
            <w:r>
              <w:t>Poly4053</w:t>
            </w:r>
          </w:p>
        </w:tc>
        <w:tc>
          <w:tcPr>
            <w:tcW w:w="3006" w:type="dxa"/>
          </w:tcPr>
          <w:p w14:paraId="291A8080" w14:textId="77777777" w:rsidR="002C08BD" w:rsidRDefault="002C08BD" w:rsidP="002C08BD">
            <w:r>
              <w:t>Biolegend #405315</w:t>
            </w:r>
          </w:p>
        </w:tc>
      </w:tr>
    </w:tbl>
    <w:p w14:paraId="4F626F0D" w14:textId="322AD51E" w:rsidR="002C08BD" w:rsidRPr="002C08BD" w:rsidRDefault="002C08BD" w:rsidP="002C08BD">
      <w:pPr>
        <w:rPr>
          <w:b/>
          <w:bCs/>
        </w:rPr>
      </w:pPr>
      <w:bookmarkStart w:id="2" w:name="_Hlk116419787"/>
      <w:bookmarkEnd w:id="1"/>
      <w:r>
        <w:rPr>
          <w:b/>
          <w:bCs/>
        </w:rPr>
        <w:t xml:space="preserve"> </w:t>
      </w:r>
      <w:r w:rsidRPr="002C08BD">
        <w:rPr>
          <w:b/>
          <w:bCs/>
        </w:rPr>
        <w:t>Table S</w:t>
      </w:r>
      <w:r w:rsidR="0094055F">
        <w:rPr>
          <w:b/>
          <w:bCs/>
        </w:rPr>
        <w:t>3</w:t>
      </w:r>
      <w:r w:rsidRPr="002C08BD">
        <w:rPr>
          <w:b/>
          <w:bCs/>
        </w:rPr>
        <w:t>: Details of flow cytometry antibodie</w:t>
      </w:r>
      <w:r>
        <w:rPr>
          <w:b/>
          <w:bCs/>
        </w:rPr>
        <w:t>s</w:t>
      </w:r>
    </w:p>
    <w:bookmarkEnd w:id="2"/>
    <w:p w14:paraId="09B4BD14" w14:textId="3BC30F4F" w:rsidR="002C08BD" w:rsidRDefault="002C08BD">
      <w:pPr>
        <w:rPr>
          <w:b/>
          <w:bCs/>
        </w:rPr>
      </w:pPr>
      <w:r>
        <w:rPr>
          <w:b/>
          <w:bCs/>
        </w:rPr>
        <w:br w:type="page"/>
      </w:r>
    </w:p>
    <w:p w14:paraId="1529676B" w14:textId="55DE3EE1" w:rsidR="0094055F" w:rsidRPr="00802F13" w:rsidRDefault="00540C4B" w:rsidP="0094055F">
      <w:pPr>
        <w:rPr>
          <w:b/>
          <w:bCs/>
        </w:rPr>
      </w:pPr>
      <w:r>
        <w:rPr>
          <w:b/>
          <w:bCs/>
          <w:noProof/>
        </w:rPr>
        <w:lastRenderedPageBreak/>
        <w:drawing>
          <wp:inline distT="0" distB="0" distL="0" distR="0" wp14:anchorId="4A1F23A4" wp14:editId="35A59FC4">
            <wp:extent cx="4868146" cy="5804452"/>
            <wp:effectExtent l="0" t="0" r="8890" b="6350"/>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70522" cy="5807285"/>
                    </a:xfrm>
                    <a:prstGeom prst="rect">
                      <a:avLst/>
                    </a:prstGeom>
                  </pic:spPr>
                </pic:pic>
              </a:graphicData>
            </a:graphic>
          </wp:inline>
        </w:drawing>
      </w:r>
      <w:r w:rsidR="0094055F" w:rsidRPr="00802F13">
        <w:rPr>
          <w:b/>
          <w:bCs/>
        </w:rPr>
        <w:t xml:space="preserve">Supplementary Figure 1: </w:t>
      </w:r>
    </w:p>
    <w:p w14:paraId="44FE46A3" w14:textId="5117FE86" w:rsidR="00F5303A" w:rsidRDefault="0094055F" w:rsidP="00F5303A">
      <w:pPr>
        <w:jc w:val="both"/>
      </w:pPr>
      <w:r>
        <w:t>(</w:t>
      </w:r>
      <w:r w:rsidRPr="00517F04">
        <w:rPr>
          <w:b/>
          <w:bCs/>
        </w:rPr>
        <w:t>A</w:t>
      </w:r>
      <w:r>
        <w:t>) Representative dot plots show cell population gates for CD4</w:t>
      </w:r>
      <w:r w:rsidRPr="00517F04">
        <w:rPr>
          <w:vertAlign w:val="superscript"/>
        </w:rPr>
        <w:t>+</w:t>
      </w:r>
      <w:r>
        <w:t xml:space="preserve"> and CD8</w:t>
      </w:r>
      <w:r w:rsidRPr="00517F04">
        <w:rPr>
          <w:vertAlign w:val="superscript"/>
        </w:rPr>
        <w:t>+</w:t>
      </w:r>
      <w:r>
        <w:t xml:space="preserve"> T cells, and CD56</w:t>
      </w:r>
      <w:r w:rsidRPr="00517F04">
        <w:rPr>
          <w:vertAlign w:val="superscript"/>
        </w:rPr>
        <w:t>+</w:t>
      </w:r>
      <w:r>
        <w:t xml:space="preserve"> NK cells within BM and PB mononuclear cells. (</w:t>
      </w:r>
      <w:r w:rsidRPr="00517F04">
        <w:rPr>
          <w:b/>
          <w:bCs/>
        </w:rPr>
        <w:t>B-C</w:t>
      </w:r>
      <w:r>
        <w:t xml:space="preserve">) Graphs show percentage of </w:t>
      </w:r>
      <w:r w:rsidR="00F5303A">
        <w:t>(</w:t>
      </w:r>
      <w:r w:rsidR="00F5303A" w:rsidRPr="00517F04">
        <w:rPr>
          <w:b/>
          <w:bCs/>
        </w:rPr>
        <w:t>B</w:t>
      </w:r>
      <w:r w:rsidR="00F5303A">
        <w:t xml:space="preserve">) </w:t>
      </w:r>
      <w:r>
        <w:t>CD8</w:t>
      </w:r>
      <w:r w:rsidRPr="00841410">
        <w:rPr>
          <w:vertAlign w:val="superscript"/>
        </w:rPr>
        <w:t>+</w:t>
      </w:r>
      <w:r w:rsidR="00F5303A">
        <w:t xml:space="preserve"> </w:t>
      </w:r>
      <w:r>
        <w:t xml:space="preserve">and </w:t>
      </w:r>
      <w:r w:rsidR="00F5303A">
        <w:t>(</w:t>
      </w:r>
      <w:r w:rsidR="00F5303A" w:rsidRPr="00517F04">
        <w:rPr>
          <w:b/>
          <w:bCs/>
        </w:rPr>
        <w:t>C</w:t>
      </w:r>
      <w:r w:rsidR="00F5303A">
        <w:t xml:space="preserve">) </w:t>
      </w:r>
      <w:r>
        <w:t>CD4</w:t>
      </w:r>
      <w:r w:rsidRPr="00841410">
        <w:rPr>
          <w:vertAlign w:val="superscript"/>
        </w:rPr>
        <w:t>+</w:t>
      </w:r>
      <w:r>
        <w:t xml:space="preserve"> T cells in PB mononuclear cells from </w:t>
      </w:r>
      <w:r w:rsidR="002C79BB">
        <w:t>controls (n=10), individuals with MGUS (n=13), asymptomatic MM (</w:t>
      </w:r>
      <w:proofErr w:type="spellStart"/>
      <w:r w:rsidR="002C79BB">
        <w:t>Asympt</w:t>
      </w:r>
      <w:proofErr w:type="spellEnd"/>
      <w:r w:rsidR="002C79BB">
        <w:t>. n=11) or MM at diagnosis (Diagnosis n=12)</w:t>
      </w:r>
      <w:r>
        <w:t>. (</w:t>
      </w:r>
      <w:r w:rsidRPr="00517F04">
        <w:rPr>
          <w:b/>
          <w:bCs/>
        </w:rPr>
        <w:t>D</w:t>
      </w:r>
      <w:r>
        <w:t>) Proportions of CD56</w:t>
      </w:r>
      <w:r w:rsidRPr="00517F04">
        <w:rPr>
          <w:vertAlign w:val="superscript"/>
        </w:rPr>
        <w:t>+</w:t>
      </w:r>
      <w:r>
        <w:t xml:space="preserve"> NK cells in BM and PB mononuclear cells from each group as indicated. (</w:t>
      </w:r>
      <w:r w:rsidRPr="00517F04">
        <w:rPr>
          <w:b/>
          <w:bCs/>
        </w:rPr>
        <w:t>E</w:t>
      </w:r>
      <w:r>
        <w:t>) Representative dot plots show cell population gate for CD4</w:t>
      </w:r>
      <w:r w:rsidRPr="00517F04">
        <w:rPr>
          <w:vertAlign w:val="superscript"/>
        </w:rPr>
        <w:t>+</w:t>
      </w:r>
      <w:r>
        <w:t>CD127</w:t>
      </w:r>
      <w:r w:rsidRPr="00517F04">
        <w:rPr>
          <w:vertAlign w:val="superscript"/>
        </w:rPr>
        <w:t>-</w:t>
      </w:r>
      <w:r>
        <w:t>CD25</w:t>
      </w:r>
      <w:r w:rsidRPr="00517F04">
        <w:rPr>
          <w:vertAlign w:val="superscript"/>
        </w:rPr>
        <w:t>+</w:t>
      </w:r>
      <w:r>
        <w:t xml:space="preserve"> </w:t>
      </w:r>
      <w:proofErr w:type="spellStart"/>
      <w:r>
        <w:t>TReg</w:t>
      </w:r>
      <w:proofErr w:type="spellEnd"/>
      <w:r>
        <w:t xml:space="preserve"> cells. Proportion of CD4</w:t>
      </w:r>
      <w:r w:rsidRPr="00517F04">
        <w:rPr>
          <w:vertAlign w:val="superscript"/>
        </w:rPr>
        <w:t>+</w:t>
      </w:r>
      <w:r>
        <w:t>CD127</w:t>
      </w:r>
      <w:r w:rsidRPr="00517F04">
        <w:rPr>
          <w:vertAlign w:val="superscript"/>
        </w:rPr>
        <w:t>-</w:t>
      </w:r>
      <w:r>
        <w:t>CD25</w:t>
      </w:r>
      <w:r w:rsidRPr="00517F04">
        <w:rPr>
          <w:vertAlign w:val="superscript"/>
        </w:rPr>
        <w:t>+</w:t>
      </w:r>
      <w:r>
        <w:t xml:space="preserve"> TReg cells in BM and PB mononuclear cells from each group as indicated. </w:t>
      </w:r>
      <w:r w:rsidR="00F5303A">
        <w:t>(</w:t>
      </w:r>
      <w:r w:rsidR="00F5303A">
        <w:rPr>
          <w:b/>
          <w:bCs/>
        </w:rPr>
        <w:t>F-G</w:t>
      </w:r>
      <w:r w:rsidR="00F5303A">
        <w:t>) Proportion of PB lymphocytes from indicated groups expressing (</w:t>
      </w:r>
      <w:r w:rsidR="00F5303A" w:rsidRPr="00F5303A">
        <w:rPr>
          <w:b/>
          <w:bCs/>
        </w:rPr>
        <w:t>F</w:t>
      </w:r>
      <w:r w:rsidR="00F5303A">
        <w:t>) CD8 or (</w:t>
      </w:r>
      <w:r w:rsidR="00F5303A" w:rsidRPr="00F5303A">
        <w:rPr>
          <w:b/>
          <w:bCs/>
        </w:rPr>
        <w:t>G</w:t>
      </w:r>
      <w:r w:rsidR="00F5303A">
        <w:t>) CD4</w:t>
      </w:r>
      <w:r w:rsidR="00F5303A">
        <w:rPr>
          <w:vertAlign w:val="superscript"/>
        </w:rPr>
        <w:t xml:space="preserve"> </w:t>
      </w:r>
      <w:r w:rsidR="00F5303A">
        <w:t>and IFN-</w:t>
      </w:r>
      <w:r w:rsidR="00F5303A">
        <w:rPr>
          <w:rFonts w:cstheme="minorHAnsi"/>
        </w:rPr>
        <w:t>γ</w:t>
      </w:r>
      <w:r w:rsidR="00F5303A">
        <w:t>, TNF-</w:t>
      </w:r>
      <w:r w:rsidR="00F5303A">
        <w:rPr>
          <w:rFonts w:cstheme="minorHAnsi"/>
        </w:rPr>
        <w:t>α</w:t>
      </w:r>
      <w:r w:rsidR="00F5303A">
        <w:t>, IL-2, all three cytokines (Multifunctional) or Granzyme B as indicated, after 4 hours stimulation via CD3/CD28 in presence of brefeldin A. (</w:t>
      </w:r>
      <w:r w:rsidR="00F5303A" w:rsidRPr="00F5303A">
        <w:rPr>
          <w:b/>
          <w:bCs/>
        </w:rPr>
        <w:t>H-I</w:t>
      </w:r>
      <w:r w:rsidR="00F5303A">
        <w:t>) Proportion of (</w:t>
      </w:r>
      <w:r w:rsidR="00F5303A">
        <w:rPr>
          <w:b/>
          <w:bCs/>
        </w:rPr>
        <w:t>H</w:t>
      </w:r>
      <w:r w:rsidR="00F5303A">
        <w:t>) CD8</w:t>
      </w:r>
      <w:r w:rsidR="00F5303A" w:rsidRPr="0029594D">
        <w:rPr>
          <w:vertAlign w:val="superscript"/>
        </w:rPr>
        <w:t>+</w:t>
      </w:r>
      <w:r w:rsidR="00F5303A">
        <w:t xml:space="preserve"> and (</w:t>
      </w:r>
      <w:r w:rsidR="00F5303A">
        <w:rPr>
          <w:b/>
          <w:bCs/>
        </w:rPr>
        <w:t>I</w:t>
      </w:r>
      <w:r w:rsidR="00F5303A">
        <w:t>) CD4</w:t>
      </w:r>
      <w:r w:rsidR="00F5303A" w:rsidRPr="0029594D">
        <w:rPr>
          <w:vertAlign w:val="superscript"/>
        </w:rPr>
        <w:t>+</w:t>
      </w:r>
      <w:r w:rsidR="00F5303A">
        <w:rPr>
          <w:vertAlign w:val="superscript"/>
        </w:rPr>
        <w:t xml:space="preserve"> </w:t>
      </w:r>
      <w:r w:rsidR="00F5303A">
        <w:t>T cells within BM or PB mononuclear cells from</w:t>
      </w:r>
      <w:r w:rsidR="00F5303A" w:rsidRPr="0022604A">
        <w:t xml:space="preserve"> </w:t>
      </w:r>
      <w:r w:rsidR="00F5303A">
        <w:t>indicated groups expressing IFN-</w:t>
      </w:r>
      <w:r w:rsidR="00F5303A">
        <w:rPr>
          <w:rFonts w:cstheme="minorHAnsi"/>
        </w:rPr>
        <w:t>γ</w:t>
      </w:r>
      <w:r w:rsidR="00F5303A">
        <w:t>, TNF-</w:t>
      </w:r>
      <w:r w:rsidR="00F5303A">
        <w:rPr>
          <w:rFonts w:cstheme="minorHAnsi"/>
        </w:rPr>
        <w:t>α</w:t>
      </w:r>
      <w:r w:rsidR="00F5303A">
        <w:t xml:space="preserve"> and IL-2 (Multifunctional) or Granzyme B after 4 hours stimulation as in (F-G). Proportions within the BM and PB are directly compared for each group individually and for all patients combined. </w:t>
      </w:r>
      <w:r w:rsidRPr="0029594D">
        <w:t>Significance was calculated using</w:t>
      </w:r>
      <w:r>
        <w:t xml:space="preserve"> </w:t>
      </w:r>
      <w:r w:rsidR="00F5303A">
        <w:t xml:space="preserve">(E) </w:t>
      </w:r>
      <w:r w:rsidRPr="0029594D">
        <w:t>one-way</w:t>
      </w:r>
      <w:r w:rsidR="00F5303A">
        <w:t xml:space="preserve"> or (I) two-way</w:t>
      </w:r>
      <w:r w:rsidRPr="0029594D">
        <w:t xml:space="preserve"> ANOVA </w:t>
      </w:r>
      <w:r>
        <w:t xml:space="preserve">and </w:t>
      </w:r>
      <w:r w:rsidRPr="00D17CC9">
        <w:t>Holm–</w:t>
      </w:r>
      <w:proofErr w:type="spellStart"/>
      <w:r w:rsidRPr="00D17CC9">
        <w:t>Sidak</w:t>
      </w:r>
      <w:proofErr w:type="spellEnd"/>
      <w:r w:rsidRPr="00D17CC9">
        <w:t xml:space="preserve"> multiple comparison tests</w:t>
      </w:r>
      <w:r w:rsidR="00F5303A">
        <w:t xml:space="preserve"> or (H-I) paired t test</w:t>
      </w:r>
      <w:r w:rsidRPr="0029594D">
        <w:t xml:space="preserve">; </w:t>
      </w:r>
      <w:r>
        <w:t>*p&lt;0.05</w:t>
      </w:r>
      <w:r w:rsidR="00F5303A">
        <w:t xml:space="preserve">, </w:t>
      </w:r>
      <w:r w:rsidR="00F5303A" w:rsidRPr="0029594D">
        <w:t>**p &lt; 0.01</w:t>
      </w:r>
      <w:r w:rsidR="00F5303A">
        <w:t>, ***p &lt; 0.0001.</w:t>
      </w:r>
    </w:p>
    <w:p w14:paraId="39CB5E6E" w14:textId="2DEF00B0" w:rsidR="003605B2" w:rsidRDefault="003605B2">
      <w:pPr>
        <w:rPr>
          <w:b/>
          <w:bCs/>
        </w:rPr>
      </w:pPr>
    </w:p>
    <w:p w14:paraId="3DED024F" w14:textId="7E4D2C62" w:rsidR="00F5303A" w:rsidRPr="00802F13" w:rsidRDefault="00540C4B" w:rsidP="00F5303A">
      <w:pPr>
        <w:rPr>
          <w:b/>
          <w:bCs/>
        </w:rPr>
      </w:pPr>
      <w:r>
        <w:rPr>
          <w:b/>
          <w:bCs/>
          <w:noProof/>
        </w:rPr>
        <w:drawing>
          <wp:inline distT="0" distB="0" distL="0" distR="0" wp14:anchorId="71ACA98E" wp14:editId="7F7524B8">
            <wp:extent cx="5105559" cy="3450866"/>
            <wp:effectExtent l="0" t="0" r="0" b="0"/>
            <wp:docPr id="6" name="Picture 6" descr="A picture containing text,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silhouette&#10;&#10;Description automatically generated"/>
                    <pic:cNvPicPr/>
                  </pic:nvPicPr>
                  <pic:blipFill rotWithShape="1">
                    <a:blip r:embed="rId7" cstate="print">
                      <a:extLst>
                        <a:ext uri="{28A0092B-C50C-407E-A947-70E740481C1C}">
                          <a14:useLocalDpi xmlns:a14="http://schemas.microsoft.com/office/drawing/2010/main" val="0"/>
                        </a:ext>
                      </a:extLst>
                    </a:blip>
                    <a:srcRect b="61062"/>
                    <a:stretch/>
                  </pic:blipFill>
                  <pic:spPr bwMode="auto">
                    <a:xfrm>
                      <a:off x="0" y="0"/>
                      <a:ext cx="5106035" cy="3451187"/>
                    </a:xfrm>
                    <a:prstGeom prst="rect">
                      <a:avLst/>
                    </a:prstGeom>
                    <a:ln>
                      <a:noFill/>
                    </a:ln>
                    <a:extLst>
                      <a:ext uri="{53640926-AAD7-44D8-BBD7-CCE9431645EC}">
                        <a14:shadowObscured xmlns:a14="http://schemas.microsoft.com/office/drawing/2010/main"/>
                      </a:ext>
                    </a:extLst>
                  </pic:spPr>
                </pic:pic>
              </a:graphicData>
            </a:graphic>
          </wp:inline>
        </w:drawing>
      </w:r>
      <w:r w:rsidR="00F5303A" w:rsidRPr="00802F13">
        <w:rPr>
          <w:b/>
          <w:bCs/>
        </w:rPr>
        <w:t xml:space="preserve">Supplementary Figure </w:t>
      </w:r>
      <w:r w:rsidR="00F5303A">
        <w:rPr>
          <w:b/>
          <w:bCs/>
        </w:rPr>
        <w:t>2</w:t>
      </w:r>
      <w:r w:rsidR="00F5303A" w:rsidRPr="00802F13">
        <w:rPr>
          <w:b/>
          <w:bCs/>
        </w:rPr>
        <w:t xml:space="preserve">: </w:t>
      </w:r>
    </w:p>
    <w:p w14:paraId="3DB05967" w14:textId="19FDC80B" w:rsidR="0094055F" w:rsidRDefault="00F5303A" w:rsidP="00686745">
      <w:pPr>
        <w:jc w:val="both"/>
        <w:rPr>
          <w:b/>
          <w:bCs/>
        </w:rPr>
      </w:pPr>
      <w:r>
        <w:t>(</w:t>
      </w:r>
      <w:r w:rsidRPr="00C76F33">
        <w:rPr>
          <w:b/>
          <w:bCs/>
        </w:rPr>
        <w:t>A-B</w:t>
      </w:r>
      <w:r>
        <w:t>) Mitochondrial mass of (</w:t>
      </w:r>
      <w:r w:rsidRPr="00C76F33">
        <w:rPr>
          <w:b/>
          <w:bCs/>
        </w:rPr>
        <w:t>A</w:t>
      </w:r>
      <w:r>
        <w:t>) CD8</w:t>
      </w:r>
      <w:r w:rsidRPr="00841410">
        <w:rPr>
          <w:vertAlign w:val="superscript"/>
        </w:rPr>
        <w:t>+</w:t>
      </w:r>
      <w:r>
        <w:t xml:space="preserve"> and (</w:t>
      </w:r>
      <w:r w:rsidRPr="00C76F33">
        <w:rPr>
          <w:b/>
          <w:bCs/>
        </w:rPr>
        <w:t>B</w:t>
      </w:r>
      <w:r>
        <w:t>) CD4</w:t>
      </w:r>
      <w:r w:rsidRPr="00841410">
        <w:rPr>
          <w:vertAlign w:val="superscript"/>
        </w:rPr>
        <w:t>+</w:t>
      </w:r>
      <w:r>
        <w:t xml:space="preserve"> T cells PB mononuclear cells from controls (n=10), individuals with MGUS (n=13), asymptomatic MM (</w:t>
      </w:r>
      <w:proofErr w:type="spellStart"/>
      <w:r>
        <w:t>Asympt</w:t>
      </w:r>
      <w:proofErr w:type="spellEnd"/>
      <w:r>
        <w:t xml:space="preserve">. n=11) or MM at diagnosis (Diagnosis n=12) assessed using </w:t>
      </w:r>
      <w:proofErr w:type="spellStart"/>
      <w:r>
        <w:t>mitoview</w:t>
      </w:r>
      <w:proofErr w:type="spellEnd"/>
      <w:r>
        <w:t xml:space="preserve"> green. </w:t>
      </w:r>
      <w:r w:rsidRPr="00F5303A">
        <w:t>(</w:t>
      </w:r>
      <w:r w:rsidRPr="00F5303A">
        <w:rPr>
          <w:b/>
          <w:bCs/>
        </w:rPr>
        <w:t>C</w:t>
      </w:r>
      <w:r w:rsidRPr="00F5303A">
        <w:t xml:space="preserve">) </w:t>
      </w:r>
      <w:proofErr w:type="spellStart"/>
      <w:r w:rsidRPr="00F5303A">
        <w:t>CoxIV</w:t>
      </w:r>
      <w:proofErr w:type="spellEnd"/>
      <w:r w:rsidRPr="00F5303A">
        <w:t xml:space="preserve"> MFI of CD</w:t>
      </w:r>
      <w:r>
        <w:t>4</w:t>
      </w:r>
      <w:r w:rsidRPr="00F5303A">
        <w:rPr>
          <w:vertAlign w:val="superscript"/>
        </w:rPr>
        <w:t>+</w:t>
      </w:r>
      <w:r w:rsidRPr="00F5303A">
        <w:t xml:space="preserve"> T cells positive or negative for IFN-γ or TNF-α as indicated from control (n=4) or MM at diagnosis (n=4) samples.</w:t>
      </w:r>
      <w:r>
        <w:t xml:space="preserve"> (</w:t>
      </w:r>
      <w:r>
        <w:rPr>
          <w:b/>
          <w:bCs/>
        </w:rPr>
        <w:t>D</w:t>
      </w:r>
      <w:r>
        <w:t>) Correlation of mitochondrial mass (MVG fluorescence) with frequency of BM CD4</w:t>
      </w:r>
      <w:r w:rsidRPr="00F5303A">
        <w:rPr>
          <w:vertAlign w:val="superscript"/>
        </w:rPr>
        <w:t>+</w:t>
      </w:r>
      <w:r>
        <w:t xml:space="preserve"> T cells positive (+) for the indicated cytokines for all patient samples combined. (</w:t>
      </w:r>
      <w:r w:rsidR="00E13E42">
        <w:rPr>
          <w:b/>
          <w:bCs/>
        </w:rPr>
        <w:t>E-F</w:t>
      </w:r>
      <w:r>
        <w:t>) C</w:t>
      </w:r>
      <w:r w:rsidRPr="005E2E8B">
        <w:rPr>
          <w:vertAlign w:val="subscript"/>
        </w:rPr>
        <w:t>16</w:t>
      </w:r>
      <w:r>
        <w:t xml:space="preserve">-BODIPY uptake of </w:t>
      </w:r>
      <w:r w:rsidR="00E13E42">
        <w:t>(</w:t>
      </w:r>
      <w:r w:rsidR="00E13E42" w:rsidRPr="00E13E42">
        <w:rPr>
          <w:b/>
          <w:bCs/>
        </w:rPr>
        <w:t>E</w:t>
      </w:r>
      <w:r w:rsidR="00E13E42">
        <w:t xml:space="preserve">) </w:t>
      </w:r>
      <w:r>
        <w:t>BM CD</w:t>
      </w:r>
      <w:r w:rsidR="00E13E42">
        <w:t>4</w:t>
      </w:r>
      <w:r w:rsidRPr="0029594D">
        <w:rPr>
          <w:vertAlign w:val="superscript"/>
        </w:rPr>
        <w:t>+</w:t>
      </w:r>
      <w:r>
        <w:t xml:space="preserve"> T cells</w:t>
      </w:r>
      <w:r w:rsidR="00E13E42">
        <w:t>, (</w:t>
      </w:r>
      <w:r w:rsidR="00E13E42" w:rsidRPr="00E13E42">
        <w:rPr>
          <w:b/>
          <w:bCs/>
        </w:rPr>
        <w:t>F</w:t>
      </w:r>
      <w:r w:rsidR="00E13E42">
        <w:t>) PB CD8</w:t>
      </w:r>
      <w:r w:rsidR="00E13E42" w:rsidRPr="00E13E42">
        <w:rPr>
          <w:vertAlign w:val="superscript"/>
        </w:rPr>
        <w:t>+</w:t>
      </w:r>
      <w:r w:rsidR="00E13E42">
        <w:t xml:space="preserve"> and PB CD4</w:t>
      </w:r>
      <w:r w:rsidR="00E13E42" w:rsidRPr="00E13E42">
        <w:rPr>
          <w:vertAlign w:val="superscript"/>
        </w:rPr>
        <w:t>+</w:t>
      </w:r>
      <w:r w:rsidR="00E13E42">
        <w:t xml:space="preserve"> T cells </w:t>
      </w:r>
      <w:r>
        <w:t xml:space="preserve">within indicated groups. </w:t>
      </w:r>
      <w:r w:rsidR="00E13E42">
        <w:t>(</w:t>
      </w:r>
      <w:r w:rsidR="00E13E42">
        <w:rPr>
          <w:b/>
          <w:bCs/>
        </w:rPr>
        <w:t>G</w:t>
      </w:r>
      <w:r w:rsidR="00E13E42" w:rsidRPr="005E2E8B">
        <w:t xml:space="preserve">) </w:t>
      </w:r>
      <w:r w:rsidR="00E13E42">
        <w:t>C</w:t>
      </w:r>
      <w:r w:rsidR="00E13E42" w:rsidRPr="005E2E8B">
        <w:rPr>
          <w:vertAlign w:val="subscript"/>
        </w:rPr>
        <w:t>16</w:t>
      </w:r>
      <w:r w:rsidR="00E13E42">
        <w:t>-BODIPY uptake of BM and PB CD4</w:t>
      </w:r>
      <w:r w:rsidR="00E13E42" w:rsidRPr="00841410">
        <w:rPr>
          <w:vertAlign w:val="superscript"/>
        </w:rPr>
        <w:t>+</w:t>
      </w:r>
      <w:r w:rsidR="00E13E42">
        <w:t xml:space="preserve"> T cells are directly compared for each group and for all patient samples combined. (</w:t>
      </w:r>
      <w:r w:rsidR="00E13E42" w:rsidRPr="00E13E42">
        <w:rPr>
          <w:b/>
          <w:bCs/>
        </w:rPr>
        <w:t>H</w:t>
      </w:r>
      <w:r w:rsidR="00E13E42">
        <w:t>)</w:t>
      </w:r>
      <w:r w:rsidR="00E13E42" w:rsidRPr="00E13E42">
        <w:t xml:space="preserve"> </w:t>
      </w:r>
      <w:r w:rsidR="00E13E42">
        <w:t>Lipid peroxidation capacity of CD4</w:t>
      </w:r>
      <w:r w:rsidR="00E13E42" w:rsidRPr="0029594D">
        <w:rPr>
          <w:vertAlign w:val="superscript"/>
        </w:rPr>
        <w:t>+</w:t>
      </w:r>
      <w:r w:rsidR="00E13E42">
        <w:t xml:space="preserve"> T cells within BM and PB mononuclear cells from MM patients at diagnosis (n=4), assessed using the lipid peroxidation probe </w:t>
      </w:r>
      <w:proofErr w:type="spellStart"/>
      <w:r w:rsidR="00E13E42" w:rsidRPr="0074497B">
        <w:t>Bodipy</w:t>
      </w:r>
      <w:proofErr w:type="spellEnd"/>
      <w:r w:rsidR="00E13E42" w:rsidRPr="0074497B">
        <w:t xml:space="preserve"> 581/591</w:t>
      </w:r>
      <w:r w:rsidR="00E13E42">
        <w:t xml:space="preserve">. </w:t>
      </w:r>
      <w:r w:rsidR="00E13E42" w:rsidRPr="0029594D">
        <w:t>Significance was calculated using</w:t>
      </w:r>
      <w:r w:rsidR="00E13E42">
        <w:t xml:space="preserve"> (G-H) paired t test</w:t>
      </w:r>
      <w:r w:rsidR="00E13E42" w:rsidRPr="0029594D">
        <w:t xml:space="preserve">; </w:t>
      </w:r>
      <w:r w:rsidR="00E13E42">
        <w:t xml:space="preserve">*p&lt;0.05, </w:t>
      </w:r>
      <w:r w:rsidR="00E13E42" w:rsidRPr="0029594D">
        <w:t>**p &lt; 0.01</w:t>
      </w:r>
      <w:r w:rsidR="00E13E42">
        <w:t>, ***p &lt; 0.0001.</w:t>
      </w:r>
    </w:p>
    <w:p w14:paraId="1A9F3413" w14:textId="77777777" w:rsidR="003605B2" w:rsidRDefault="003605B2">
      <w:pPr>
        <w:rPr>
          <w:b/>
          <w:bCs/>
        </w:rPr>
      </w:pPr>
      <w:r>
        <w:rPr>
          <w:b/>
          <w:bCs/>
        </w:rPr>
        <w:br w:type="page"/>
      </w:r>
    </w:p>
    <w:p w14:paraId="5EDC5ECC" w14:textId="258F8630" w:rsidR="003605B2" w:rsidRDefault="00540C4B" w:rsidP="00686745">
      <w:pPr>
        <w:rPr>
          <w:b/>
          <w:bCs/>
        </w:rPr>
      </w:pPr>
      <w:r>
        <w:rPr>
          <w:b/>
          <w:bCs/>
          <w:noProof/>
        </w:rPr>
        <w:lastRenderedPageBreak/>
        <w:drawing>
          <wp:inline distT="0" distB="0" distL="0" distR="0" wp14:anchorId="0E1BAB7E" wp14:editId="299AA960">
            <wp:extent cx="3302675" cy="5072932"/>
            <wp:effectExtent l="0" t="0" r="0" b="0"/>
            <wp:docPr id="7" name="Picture 7" descr="A picture containing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qr cod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06650" cy="5079038"/>
                    </a:xfrm>
                    <a:prstGeom prst="rect">
                      <a:avLst/>
                    </a:prstGeom>
                  </pic:spPr>
                </pic:pic>
              </a:graphicData>
            </a:graphic>
          </wp:inline>
        </w:drawing>
      </w:r>
    </w:p>
    <w:p w14:paraId="659A397D" w14:textId="2CC363E7" w:rsidR="00686745" w:rsidRDefault="00686745" w:rsidP="00686745">
      <w:pPr>
        <w:rPr>
          <w:b/>
          <w:bCs/>
        </w:rPr>
      </w:pPr>
      <w:r w:rsidRPr="005035FD">
        <w:rPr>
          <w:b/>
          <w:bCs/>
        </w:rPr>
        <w:t xml:space="preserve">Supplementary Figure </w:t>
      </w:r>
      <w:r>
        <w:rPr>
          <w:b/>
          <w:bCs/>
        </w:rPr>
        <w:t>3</w:t>
      </w:r>
      <w:r w:rsidRPr="005035FD">
        <w:rPr>
          <w:b/>
          <w:bCs/>
        </w:rPr>
        <w:t xml:space="preserve">: </w:t>
      </w:r>
    </w:p>
    <w:p w14:paraId="689C5D21" w14:textId="77777777" w:rsidR="00686745" w:rsidRDefault="00686745" w:rsidP="00686745">
      <w:pPr>
        <w:jc w:val="both"/>
      </w:pPr>
      <w:r>
        <w:t>(</w:t>
      </w:r>
      <w:r w:rsidRPr="00864267">
        <w:rPr>
          <w:b/>
          <w:bCs/>
        </w:rPr>
        <w:t>A-</w:t>
      </w:r>
      <w:r>
        <w:rPr>
          <w:b/>
          <w:bCs/>
        </w:rPr>
        <w:t>B</w:t>
      </w:r>
      <w:r>
        <w:t>) BM mononuclear cells from controls (n=6) or relapsed MM patients (n=6) were cultured in autologous PB or BM plasma as indicated for 72 hours. (</w:t>
      </w:r>
      <w:r w:rsidRPr="00864267">
        <w:rPr>
          <w:b/>
          <w:bCs/>
        </w:rPr>
        <w:t>A</w:t>
      </w:r>
      <w:r>
        <w:t>) CD4</w:t>
      </w:r>
      <w:r w:rsidRPr="00864267">
        <w:rPr>
          <w:vertAlign w:val="superscript"/>
        </w:rPr>
        <w:t>+</w:t>
      </w:r>
      <w:r>
        <w:t xml:space="preserve"> T cell mitochondrial mass was assessed by flow cytometry using </w:t>
      </w:r>
      <w:proofErr w:type="spellStart"/>
      <w:r>
        <w:t>mitoview</w:t>
      </w:r>
      <w:proofErr w:type="spellEnd"/>
      <w:r>
        <w:t xml:space="preserve"> green and is shown for each group (left) and both combined (right). (</w:t>
      </w:r>
      <w:r>
        <w:rPr>
          <w:b/>
          <w:bCs/>
        </w:rPr>
        <w:t>B</w:t>
      </w:r>
      <w:r>
        <w:t>) At 72 hours T cells were activated with PMA/ionomycin and expression of IFN-</w:t>
      </w:r>
      <w:r>
        <w:rPr>
          <w:rFonts w:cstheme="minorHAnsi"/>
        </w:rPr>
        <w:t>γ</w:t>
      </w:r>
      <w:r>
        <w:t xml:space="preserve"> was assessed within CD4</w:t>
      </w:r>
      <w:r w:rsidRPr="007E0610">
        <w:rPr>
          <w:vertAlign w:val="superscript"/>
        </w:rPr>
        <w:t>+</w:t>
      </w:r>
      <w:r>
        <w:t xml:space="preserve"> T cells by flow cytometry. (</w:t>
      </w:r>
      <w:r w:rsidRPr="00864267">
        <w:rPr>
          <w:b/>
          <w:bCs/>
        </w:rPr>
        <w:t>C-D</w:t>
      </w:r>
      <w:r>
        <w:t>) BM mononuclear cells were cultured and assessed as in (</w:t>
      </w:r>
      <w:r w:rsidRPr="00975C70">
        <w:t>A-B</w:t>
      </w:r>
      <w:r>
        <w:t>) but in either complete or lipid-depleted BM autologous plasma as indicated. (</w:t>
      </w:r>
      <w:r>
        <w:rPr>
          <w:b/>
          <w:bCs/>
        </w:rPr>
        <w:t>E</w:t>
      </w:r>
      <w:r>
        <w:t>) Proportion of CD4</w:t>
      </w:r>
      <w:r w:rsidRPr="007E0610">
        <w:rPr>
          <w:vertAlign w:val="superscript"/>
        </w:rPr>
        <w:t>+</w:t>
      </w:r>
      <w:r>
        <w:t xml:space="preserve"> T cells expressing CD36 within controls (n=10), individuals with MGUS (n=8), asymptomatic MM (</w:t>
      </w:r>
      <w:proofErr w:type="spellStart"/>
      <w:r>
        <w:t>Asympt</w:t>
      </w:r>
      <w:proofErr w:type="spellEnd"/>
      <w:r>
        <w:t>. n=9) or MM at diagnosis (Diagnosis n=7) were assessed by flow cytometry. (</w:t>
      </w:r>
      <w:r>
        <w:rPr>
          <w:b/>
          <w:bCs/>
        </w:rPr>
        <w:t>F</w:t>
      </w:r>
      <w:r>
        <w:t>) Expression of IFN-</w:t>
      </w:r>
      <w:r>
        <w:rPr>
          <w:rFonts w:cstheme="minorHAnsi"/>
        </w:rPr>
        <w:t>γ</w:t>
      </w:r>
      <w:r>
        <w:t>, TNF-</w:t>
      </w:r>
      <w:r>
        <w:rPr>
          <w:rFonts w:cstheme="minorHAnsi"/>
        </w:rPr>
        <w:t>α and IL-2 by CD36 positive and negative CD4</w:t>
      </w:r>
      <w:r w:rsidRPr="007E0610">
        <w:rPr>
          <w:rFonts w:cstheme="minorHAnsi"/>
          <w:vertAlign w:val="superscript"/>
        </w:rPr>
        <w:t>+</w:t>
      </w:r>
      <w:r>
        <w:rPr>
          <w:rFonts w:cstheme="minorHAnsi"/>
        </w:rPr>
        <w:t xml:space="preserve"> T cells within indicated BM mononuclear cell samples. (</w:t>
      </w:r>
      <w:r>
        <w:rPr>
          <w:rFonts w:cstheme="minorHAnsi"/>
          <w:b/>
          <w:bCs/>
        </w:rPr>
        <w:t>G</w:t>
      </w:r>
      <w:r>
        <w:rPr>
          <w:rFonts w:cstheme="minorHAnsi"/>
        </w:rPr>
        <w:t xml:space="preserve">) </w:t>
      </w:r>
      <w:r>
        <w:t>BM mononuclear cells from MM patients at diagnosis (n=7) were cultured in autologous BM plasma as in (A-D), in absence or presence of the CD36 inhibitor, SSO and assessed for IFN-</w:t>
      </w:r>
      <w:r>
        <w:rPr>
          <w:rFonts w:cstheme="minorHAnsi"/>
        </w:rPr>
        <w:t>γ</w:t>
      </w:r>
      <w:r>
        <w:t xml:space="preserve"> expression within CD4</w:t>
      </w:r>
      <w:r w:rsidRPr="007E0610">
        <w:rPr>
          <w:vertAlign w:val="superscript"/>
        </w:rPr>
        <w:t>+</w:t>
      </w:r>
      <w:r>
        <w:t xml:space="preserve"> T cells by flow cytometry. (</w:t>
      </w:r>
      <w:r w:rsidRPr="00A0614B">
        <w:rPr>
          <w:b/>
          <w:bCs/>
        </w:rPr>
        <w:t>H-I</w:t>
      </w:r>
      <w:r>
        <w:t>) Dot plots demonstrating (</w:t>
      </w:r>
      <w:r w:rsidRPr="00A0614B">
        <w:rPr>
          <w:b/>
          <w:bCs/>
        </w:rPr>
        <w:t>H</w:t>
      </w:r>
      <w:r>
        <w:t>) phenotypic T cell cluster allocation by indicated protein expression and (</w:t>
      </w:r>
      <w:r w:rsidRPr="00A0614B">
        <w:rPr>
          <w:b/>
          <w:bCs/>
        </w:rPr>
        <w:t>I</w:t>
      </w:r>
      <w:r>
        <w:t>) SLC27A1-5 gene expression within indicated T cell clusters from CITE-</w:t>
      </w:r>
      <w:proofErr w:type="spellStart"/>
      <w:r>
        <w:t>Seq</w:t>
      </w:r>
      <w:proofErr w:type="spellEnd"/>
      <w:r>
        <w:t xml:space="preserve"> data of control BM samples. (</w:t>
      </w:r>
      <w:r>
        <w:rPr>
          <w:b/>
          <w:bCs/>
        </w:rPr>
        <w:t>J-K</w:t>
      </w:r>
      <w:r>
        <w:t>) BM mononuclear cells from MM patients at diagnosis (n=7) were cultured in autologous PB (</w:t>
      </w:r>
      <w:r>
        <w:rPr>
          <w:b/>
          <w:bCs/>
        </w:rPr>
        <w:t>H</w:t>
      </w:r>
      <w:r>
        <w:t>) or BM (</w:t>
      </w:r>
      <w:r>
        <w:rPr>
          <w:b/>
          <w:bCs/>
        </w:rPr>
        <w:t>I</w:t>
      </w:r>
      <w:r>
        <w:t>) plasma as in (A-D), in absence or presence of the FATP5 inhibitor UDCA and assessed for IFN-</w:t>
      </w:r>
      <w:r>
        <w:rPr>
          <w:rFonts w:cstheme="minorHAnsi"/>
        </w:rPr>
        <w:t>γ</w:t>
      </w:r>
      <w:r>
        <w:t xml:space="preserve"> expression by ELISA. </w:t>
      </w:r>
      <w:r w:rsidRPr="0029594D">
        <w:t>Significance was calculated using</w:t>
      </w:r>
      <w:r>
        <w:t xml:space="preserve"> Mann-Whitney test</w:t>
      </w:r>
      <w:r w:rsidRPr="0029594D">
        <w:t>;</w:t>
      </w:r>
      <w:r>
        <w:t xml:space="preserve"> </w:t>
      </w:r>
      <w:r w:rsidRPr="0029594D">
        <w:t>**p &lt; 0.01</w:t>
      </w:r>
      <w:r>
        <w:t>, ***p &lt; 0.0001.</w:t>
      </w:r>
    </w:p>
    <w:p w14:paraId="3AD4A27C" w14:textId="2D608132" w:rsidR="003605B2" w:rsidRDefault="003605B2">
      <w:pPr>
        <w:rPr>
          <w:b/>
          <w:bCs/>
        </w:rPr>
      </w:pPr>
    </w:p>
    <w:p w14:paraId="29B32E37" w14:textId="77777777" w:rsidR="003605B2" w:rsidRDefault="003605B2" w:rsidP="002C79BB">
      <w:pPr>
        <w:rPr>
          <w:b/>
          <w:bCs/>
        </w:rPr>
      </w:pPr>
    </w:p>
    <w:p w14:paraId="5E14BD8C" w14:textId="7DDC642C" w:rsidR="002C79BB" w:rsidRDefault="00540C4B" w:rsidP="002C79BB">
      <w:pPr>
        <w:rPr>
          <w:b/>
          <w:bCs/>
        </w:rPr>
      </w:pPr>
      <w:r>
        <w:rPr>
          <w:b/>
          <w:bCs/>
          <w:noProof/>
        </w:rPr>
        <w:drawing>
          <wp:inline distT="0" distB="0" distL="0" distR="0" wp14:anchorId="0AFBD7F6" wp14:editId="5BC7B222">
            <wp:extent cx="5731510" cy="2973070"/>
            <wp:effectExtent l="0" t="0" r="2540" b="0"/>
            <wp:docPr id="8" name="Picture 8" descr="A picture containing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dark&#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973070"/>
                    </a:xfrm>
                    <a:prstGeom prst="rect">
                      <a:avLst/>
                    </a:prstGeom>
                  </pic:spPr>
                </pic:pic>
              </a:graphicData>
            </a:graphic>
          </wp:inline>
        </w:drawing>
      </w:r>
      <w:r w:rsidR="002C79BB" w:rsidRPr="005035FD">
        <w:rPr>
          <w:b/>
          <w:bCs/>
        </w:rPr>
        <w:t xml:space="preserve">Supplementary Figure </w:t>
      </w:r>
      <w:r w:rsidR="00686745">
        <w:rPr>
          <w:b/>
          <w:bCs/>
        </w:rPr>
        <w:t>4</w:t>
      </w:r>
      <w:r w:rsidR="002C79BB" w:rsidRPr="005035FD">
        <w:rPr>
          <w:b/>
          <w:bCs/>
        </w:rPr>
        <w:t>:</w:t>
      </w:r>
    </w:p>
    <w:p w14:paraId="272E8D58" w14:textId="75AD0809" w:rsidR="00686745" w:rsidRDefault="00686745" w:rsidP="00686745">
      <w:pPr>
        <w:spacing w:line="240" w:lineRule="auto"/>
      </w:pPr>
      <w:r>
        <w:t>(</w:t>
      </w:r>
      <w:r w:rsidRPr="00A834F2">
        <w:rPr>
          <w:b/>
          <w:bCs/>
        </w:rPr>
        <w:t>A-B</w:t>
      </w:r>
      <w:r>
        <w:t>) Proportion of (</w:t>
      </w:r>
      <w:r w:rsidRPr="00A834F2">
        <w:rPr>
          <w:b/>
          <w:bCs/>
        </w:rPr>
        <w:t>A</w:t>
      </w:r>
      <w:r>
        <w:t>) CD8</w:t>
      </w:r>
      <w:r w:rsidRPr="0029594D">
        <w:rPr>
          <w:vertAlign w:val="superscript"/>
        </w:rPr>
        <w:t>+</w:t>
      </w:r>
      <w:r>
        <w:t xml:space="preserve"> and (</w:t>
      </w:r>
      <w:r w:rsidRPr="00A834F2">
        <w:rPr>
          <w:b/>
          <w:bCs/>
        </w:rPr>
        <w:t>B</w:t>
      </w:r>
      <w:r>
        <w:t>) CD4</w:t>
      </w:r>
      <w:r w:rsidRPr="0029594D">
        <w:rPr>
          <w:vertAlign w:val="superscript"/>
        </w:rPr>
        <w:t>+</w:t>
      </w:r>
      <w:r>
        <w:t xml:space="preserve"> T cells within PB mononuclear cells from relapsed MM patients </w:t>
      </w:r>
      <w:bookmarkStart w:id="3" w:name="_Hlk114606931"/>
      <w:r>
        <w:t>(n=14) and MM patients in remission (n=12)</w:t>
      </w:r>
      <w:bookmarkEnd w:id="3"/>
      <w:r>
        <w:t>. (</w:t>
      </w:r>
      <w:r>
        <w:rPr>
          <w:b/>
          <w:bCs/>
        </w:rPr>
        <w:t>C-D</w:t>
      </w:r>
      <w:r>
        <w:t>) Proportions of NV, CM, EM and EMRA (</w:t>
      </w:r>
      <w:r w:rsidRPr="00A834F2">
        <w:rPr>
          <w:b/>
          <w:bCs/>
        </w:rPr>
        <w:t>C</w:t>
      </w:r>
      <w:r>
        <w:t>) CD8</w:t>
      </w:r>
      <w:r w:rsidRPr="00841410">
        <w:rPr>
          <w:vertAlign w:val="superscript"/>
        </w:rPr>
        <w:t>+</w:t>
      </w:r>
      <w:r>
        <w:t xml:space="preserve"> and (</w:t>
      </w:r>
      <w:r w:rsidRPr="00A834F2">
        <w:rPr>
          <w:b/>
          <w:bCs/>
        </w:rPr>
        <w:t>D</w:t>
      </w:r>
      <w:r>
        <w:t>) CD4</w:t>
      </w:r>
      <w:r w:rsidRPr="00841410">
        <w:rPr>
          <w:vertAlign w:val="superscript"/>
        </w:rPr>
        <w:t>+</w:t>
      </w:r>
      <w:r>
        <w:t xml:space="preserve"> T cells in indicated PB samples. (</w:t>
      </w:r>
      <w:r>
        <w:rPr>
          <w:b/>
          <w:bCs/>
        </w:rPr>
        <w:t>E-F</w:t>
      </w:r>
      <w:r>
        <w:t>) Percentage of PD-1</w:t>
      </w:r>
      <w:r w:rsidRPr="0025042C">
        <w:rPr>
          <w:vertAlign w:val="superscript"/>
        </w:rPr>
        <w:t>-</w:t>
      </w:r>
      <w:r>
        <w:t>TIGIT</w:t>
      </w:r>
      <w:r w:rsidRPr="0025042C">
        <w:rPr>
          <w:vertAlign w:val="superscript"/>
        </w:rPr>
        <w:t>-</w:t>
      </w:r>
      <w:r>
        <w:t>, PD-1</w:t>
      </w:r>
      <w:r w:rsidRPr="0025042C">
        <w:rPr>
          <w:vertAlign w:val="superscript"/>
        </w:rPr>
        <w:t>+</w:t>
      </w:r>
      <w:r>
        <w:t>TIGIT</w:t>
      </w:r>
      <w:r w:rsidRPr="0025042C">
        <w:rPr>
          <w:vertAlign w:val="superscript"/>
        </w:rPr>
        <w:t>-</w:t>
      </w:r>
      <w:r>
        <w:t>, PD-1</w:t>
      </w:r>
      <w:r w:rsidRPr="0025042C">
        <w:rPr>
          <w:vertAlign w:val="superscript"/>
        </w:rPr>
        <w:t>-</w:t>
      </w:r>
      <w:r>
        <w:t>TIGIT</w:t>
      </w:r>
      <w:r w:rsidRPr="0025042C">
        <w:rPr>
          <w:vertAlign w:val="superscript"/>
        </w:rPr>
        <w:t>+</w:t>
      </w:r>
      <w:r>
        <w:t xml:space="preserve"> and PD-1</w:t>
      </w:r>
      <w:r w:rsidRPr="0025042C">
        <w:rPr>
          <w:vertAlign w:val="superscript"/>
        </w:rPr>
        <w:t>+</w:t>
      </w:r>
      <w:r>
        <w:t>TIGIT</w:t>
      </w:r>
      <w:r w:rsidRPr="0025042C">
        <w:rPr>
          <w:vertAlign w:val="superscript"/>
        </w:rPr>
        <w:t>+</w:t>
      </w:r>
      <w:r>
        <w:t xml:space="preserve"> (</w:t>
      </w:r>
      <w:r>
        <w:rPr>
          <w:b/>
          <w:bCs/>
        </w:rPr>
        <w:t>E</w:t>
      </w:r>
      <w:r>
        <w:t>) CD8</w:t>
      </w:r>
      <w:r w:rsidRPr="00841410">
        <w:rPr>
          <w:vertAlign w:val="superscript"/>
        </w:rPr>
        <w:t>+</w:t>
      </w:r>
      <w:r>
        <w:t xml:space="preserve"> and (</w:t>
      </w:r>
      <w:r>
        <w:rPr>
          <w:b/>
          <w:bCs/>
        </w:rPr>
        <w:t>F</w:t>
      </w:r>
      <w:r>
        <w:t>) CD4</w:t>
      </w:r>
      <w:r w:rsidRPr="00841410">
        <w:rPr>
          <w:vertAlign w:val="superscript"/>
        </w:rPr>
        <w:t>+</w:t>
      </w:r>
      <w:r>
        <w:t xml:space="preserve"> T cells in PB mononuclear cells from indicated samples. (</w:t>
      </w:r>
      <w:r>
        <w:rPr>
          <w:b/>
          <w:bCs/>
        </w:rPr>
        <w:t>G-H</w:t>
      </w:r>
      <w:r>
        <w:t>) Proportion of (</w:t>
      </w:r>
      <w:r w:rsidRPr="00A834F2">
        <w:rPr>
          <w:b/>
          <w:bCs/>
        </w:rPr>
        <w:t>G</w:t>
      </w:r>
      <w:r>
        <w:t>) CD8</w:t>
      </w:r>
      <w:r w:rsidRPr="0029594D">
        <w:rPr>
          <w:vertAlign w:val="superscript"/>
        </w:rPr>
        <w:t>+</w:t>
      </w:r>
      <w:r>
        <w:t xml:space="preserve"> and (</w:t>
      </w:r>
      <w:r w:rsidRPr="00A834F2">
        <w:rPr>
          <w:b/>
          <w:bCs/>
        </w:rPr>
        <w:t>H</w:t>
      </w:r>
      <w:r>
        <w:t>) CD4</w:t>
      </w:r>
      <w:r w:rsidRPr="0029594D">
        <w:rPr>
          <w:vertAlign w:val="superscript"/>
        </w:rPr>
        <w:t>+</w:t>
      </w:r>
      <w:r>
        <w:rPr>
          <w:vertAlign w:val="superscript"/>
        </w:rPr>
        <w:t xml:space="preserve"> </w:t>
      </w:r>
      <w:r>
        <w:t>T cells within PB mononuclear cells from each group expressing IFN-</w:t>
      </w:r>
      <w:r>
        <w:rPr>
          <w:rFonts w:cstheme="minorHAnsi"/>
        </w:rPr>
        <w:t xml:space="preserve">γ, </w:t>
      </w:r>
      <w:r>
        <w:t>TNF-</w:t>
      </w:r>
      <w:r>
        <w:rPr>
          <w:rFonts w:cstheme="minorHAnsi"/>
        </w:rPr>
        <w:t>α</w:t>
      </w:r>
      <w:r>
        <w:t>, IL-2, all three of these cytokines (Multifunctional) or Granzyme B after 4 hours of stimulation via CD3/CD28 brefeldin A. (</w:t>
      </w:r>
      <w:r w:rsidRPr="00A834F2">
        <w:rPr>
          <w:b/>
          <w:bCs/>
        </w:rPr>
        <w:t>I</w:t>
      </w:r>
      <w:r>
        <w:t>) Correlation of percentage of malignant plasma cells within the BM sample with frequency of BM CD4</w:t>
      </w:r>
      <w:r w:rsidRPr="00686745">
        <w:rPr>
          <w:vertAlign w:val="superscript"/>
        </w:rPr>
        <w:t>+</w:t>
      </w:r>
      <w:r>
        <w:t xml:space="preserve"> T cells positive (+) for the indicated cytokines for samples combined for patients with MM at diagnosis (n=12), relapsed MM patients (n=14) and MM patients in remission (n=12). </w:t>
      </w:r>
      <w:r w:rsidRPr="0029594D">
        <w:t>Significance was calculated using</w:t>
      </w:r>
      <w:r>
        <w:t xml:space="preserve"> (</w:t>
      </w:r>
      <w:r>
        <w:rPr>
          <w:b/>
          <w:bCs/>
        </w:rPr>
        <w:t>G-H</w:t>
      </w:r>
      <w:r>
        <w:t>) unpaired t test (</w:t>
      </w:r>
      <w:r w:rsidRPr="00E05A4E">
        <w:rPr>
          <w:b/>
          <w:bCs/>
        </w:rPr>
        <w:t>I</w:t>
      </w:r>
      <w:r>
        <w:t>) Pearson correlation</w:t>
      </w:r>
      <w:r w:rsidRPr="0029594D">
        <w:t xml:space="preserve">; </w:t>
      </w:r>
      <w:r>
        <w:t>*p&lt;0.05.</w:t>
      </w:r>
    </w:p>
    <w:p w14:paraId="3FF132EC" w14:textId="77777777" w:rsidR="00686745" w:rsidRDefault="00686745" w:rsidP="00686745">
      <w:pPr>
        <w:spacing w:line="480" w:lineRule="auto"/>
      </w:pPr>
    </w:p>
    <w:p w14:paraId="6565F2D5" w14:textId="5E13CEA2" w:rsidR="002C79BB" w:rsidRDefault="002C79BB"/>
    <w:sectPr w:rsidR="002C79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DAC"/>
    <w:rsid w:val="00013B8F"/>
    <w:rsid w:val="000C02A4"/>
    <w:rsid w:val="000E0240"/>
    <w:rsid w:val="001A48D8"/>
    <w:rsid w:val="002C08BD"/>
    <w:rsid w:val="002C79BB"/>
    <w:rsid w:val="003418CB"/>
    <w:rsid w:val="003605B2"/>
    <w:rsid w:val="00377198"/>
    <w:rsid w:val="003C0DAC"/>
    <w:rsid w:val="003C54E4"/>
    <w:rsid w:val="00520270"/>
    <w:rsid w:val="00524A9D"/>
    <w:rsid w:val="00540C4B"/>
    <w:rsid w:val="00584B53"/>
    <w:rsid w:val="005A3D64"/>
    <w:rsid w:val="005D1163"/>
    <w:rsid w:val="005E376C"/>
    <w:rsid w:val="006203D7"/>
    <w:rsid w:val="006459FE"/>
    <w:rsid w:val="00686745"/>
    <w:rsid w:val="0072218D"/>
    <w:rsid w:val="007C3EFC"/>
    <w:rsid w:val="008B182A"/>
    <w:rsid w:val="0094055F"/>
    <w:rsid w:val="00990342"/>
    <w:rsid w:val="00A0614B"/>
    <w:rsid w:val="00AC3B8C"/>
    <w:rsid w:val="00AC4F8F"/>
    <w:rsid w:val="00AC77A7"/>
    <w:rsid w:val="00B9323A"/>
    <w:rsid w:val="00CC10C9"/>
    <w:rsid w:val="00D13D7D"/>
    <w:rsid w:val="00D8151A"/>
    <w:rsid w:val="00D97FD1"/>
    <w:rsid w:val="00DA5180"/>
    <w:rsid w:val="00DD021E"/>
    <w:rsid w:val="00E13E42"/>
    <w:rsid w:val="00F11E62"/>
    <w:rsid w:val="00F52193"/>
    <w:rsid w:val="00F530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44A11"/>
  <w15:chartTrackingRefBased/>
  <w15:docId w15:val="{AEF76868-D73E-47A8-8258-B75613F80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D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D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0342"/>
    <w:rPr>
      <w:sz w:val="16"/>
      <w:szCs w:val="16"/>
    </w:rPr>
  </w:style>
  <w:style w:type="paragraph" w:styleId="CommentText">
    <w:name w:val="annotation text"/>
    <w:basedOn w:val="Normal"/>
    <w:link w:val="CommentTextChar"/>
    <w:uiPriority w:val="99"/>
    <w:semiHidden/>
    <w:unhideWhenUsed/>
    <w:rsid w:val="00990342"/>
    <w:pPr>
      <w:spacing w:line="240" w:lineRule="auto"/>
    </w:pPr>
    <w:rPr>
      <w:sz w:val="20"/>
      <w:szCs w:val="20"/>
    </w:rPr>
  </w:style>
  <w:style w:type="character" w:customStyle="1" w:styleId="CommentTextChar">
    <w:name w:val="Comment Text Char"/>
    <w:basedOn w:val="DefaultParagraphFont"/>
    <w:link w:val="CommentText"/>
    <w:uiPriority w:val="99"/>
    <w:semiHidden/>
    <w:rsid w:val="00990342"/>
    <w:rPr>
      <w:sz w:val="20"/>
      <w:szCs w:val="20"/>
    </w:rPr>
  </w:style>
  <w:style w:type="paragraph" w:styleId="CommentSubject">
    <w:name w:val="annotation subject"/>
    <w:basedOn w:val="CommentText"/>
    <w:next w:val="CommentText"/>
    <w:link w:val="CommentSubjectChar"/>
    <w:uiPriority w:val="99"/>
    <w:semiHidden/>
    <w:unhideWhenUsed/>
    <w:rsid w:val="00990342"/>
    <w:rPr>
      <w:b/>
      <w:bCs/>
    </w:rPr>
  </w:style>
  <w:style w:type="character" w:customStyle="1" w:styleId="CommentSubjectChar">
    <w:name w:val="Comment Subject Char"/>
    <w:basedOn w:val="CommentTextChar"/>
    <w:link w:val="CommentSubject"/>
    <w:uiPriority w:val="99"/>
    <w:semiHidden/>
    <w:rsid w:val="00990342"/>
    <w:rPr>
      <w:b/>
      <w:bCs/>
      <w:sz w:val="20"/>
      <w:szCs w:val="20"/>
    </w:rPr>
  </w:style>
  <w:style w:type="paragraph" w:styleId="Bibliography">
    <w:name w:val="Bibliography"/>
    <w:basedOn w:val="Normal"/>
    <w:next w:val="Normal"/>
    <w:uiPriority w:val="37"/>
    <w:unhideWhenUsed/>
    <w:rsid w:val="000E0240"/>
    <w:pPr>
      <w:tabs>
        <w:tab w:val="left" w:pos="264"/>
      </w:tabs>
      <w:spacing w:after="0" w:line="240" w:lineRule="auto"/>
      <w:ind w:left="264" w:hanging="264"/>
    </w:pPr>
  </w:style>
  <w:style w:type="paragraph" w:styleId="BalloonText">
    <w:name w:val="Balloon Text"/>
    <w:basedOn w:val="Normal"/>
    <w:link w:val="BalloonTextChar"/>
    <w:uiPriority w:val="99"/>
    <w:semiHidden/>
    <w:unhideWhenUsed/>
    <w:rsid w:val="00D815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15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942555">
      <w:bodyDiv w:val="1"/>
      <w:marLeft w:val="0"/>
      <w:marRight w:val="0"/>
      <w:marTop w:val="0"/>
      <w:marBottom w:val="0"/>
      <w:divBdr>
        <w:top w:val="none" w:sz="0" w:space="0" w:color="auto"/>
        <w:left w:val="none" w:sz="0" w:space="0" w:color="auto"/>
        <w:bottom w:val="none" w:sz="0" w:space="0" w:color="auto"/>
        <w:right w:val="none" w:sz="0" w:space="0" w:color="auto"/>
      </w:divBdr>
    </w:div>
    <w:div w:id="492768880">
      <w:bodyDiv w:val="1"/>
      <w:marLeft w:val="0"/>
      <w:marRight w:val="0"/>
      <w:marTop w:val="0"/>
      <w:marBottom w:val="0"/>
      <w:divBdr>
        <w:top w:val="none" w:sz="0" w:space="0" w:color="auto"/>
        <w:left w:val="none" w:sz="0" w:space="0" w:color="auto"/>
        <w:bottom w:val="none" w:sz="0" w:space="0" w:color="auto"/>
        <w:right w:val="none" w:sz="0" w:space="0" w:color="auto"/>
      </w:divBdr>
    </w:div>
    <w:div w:id="1014845857">
      <w:bodyDiv w:val="1"/>
      <w:marLeft w:val="0"/>
      <w:marRight w:val="0"/>
      <w:marTop w:val="0"/>
      <w:marBottom w:val="0"/>
      <w:divBdr>
        <w:top w:val="none" w:sz="0" w:space="0" w:color="auto"/>
        <w:left w:val="none" w:sz="0" w:space="0" w:color="auto"/>
        <w:bottom w:val="none" w:sz="0" w:space="0" w:color="auto"/>
        <w:right w:val="none" w:sz="0" w:space="0" w:color="auto"/>
      </w:divBdr>
    </w:div>
    <w:div w:id="1090353123">
      <w:bodyDiv w:val="1"/>
      <w:marLeft w:val="0"/>
      <w:marRight w:val="0"/>
      <w:marTop w:val="0"/>
      <w:marBottom w:val="0"/>
      <w:divBdr>
        <w:top w:val="none" w:sz="0" w:space="0" w:color="auto"/>
        <w:left w:val="none" w:sz="0" w:space="0" w:color="auto"/>
        <w:bottom w:val="none" w:sz="0" w:space="0" w:color="auto"/>
        <w:right w:val="none" w:sz="0" w:space="0" w:color="auto"/>
      </w:divBdr>
    </w:div>
    <w:div w:id="1890074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github.com/cribbslab/scflow"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4B93B-B239-414B-8FBC-5E690A92A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4137</Words>
  <Characters>23585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Dimeloe (Immunology and Immunotherapy)</dc:creator>
  <cp:keywords/>
  <dc:description/>
  <cp:lastModifiedBy>Sarah Dimeloe (Immunology and Immunotherapy)</cp:lastModifiedBy>
  <cp:revision>2</cp:revision>
  <dcterms:created xsi:type="dcterms:W3CDTF">2023-01-20T17:55:00Z</dcterms:created>
  <dcterms:modified xsi:type="dcterms:W3CDTF">2023-01-20T17:55:00Z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id="dboFvxp6"/&gt;&lt;style id="http://www.zotero.org/styles/blood" hasBibliography="1" bibliographyStyleHasBeenSet="1"/&gt;&lt;prefs&gt;&lt;pref name="fieldType" value="Field"/&gt;&lt;/prefs&gt;&lt;/data&gt;</vt:lpwstr>
  </property>
</Properties>
</file>