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2041"/>
        <w:tblW w:w="10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5953"/>
        <w:gridCol w:w="1183"/>
      </w:tblGrid>
      <w:tr w:rsidR="00FD56C1" w:rsidRPr="000C550A" w14:paraId="45C4F66A" w14:textId="77777777" w:rsidTr="00781B31">
        <w:trPr>
          <w:trHeight w:val="167"/>
        </w:trPr>
        <w:tc>
          <w:tcPr>
            <w:tcW w:w="3114" w:type="dxa"/>
          </w:tcPr>
          <w:p w14:paraId="1269A99B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5953" w:type="dxa"/>
          </w:tcPr>
          <w:p w14:paraId="7A9C6B0F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b/>
                <w:bCs/>
                <w:sz w:val="23"/>
                <w:szCs w:val="23"/>
              </w:rPr>
              <w:t>Item</w:t>
            </w:r>
          </w:p>
        </w:tc>
        <w:tc>
          <w:tcPr>
            <w:tcW w:w="1183" w:type="dxa"/>
          </w:tcPr>
          <w:p w14:paraId="5DC410CA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b/>
                <w:bCs/>
                <w:sz w:val="23"/>
                <w:szCs w:val="23"/>
              </w:rPr>
              <w:t xml:space="preserve">Bias Risk </w:t>
            </w:r>
          </w:p>
        </w:tc>
      </w:tr>
      <w:tr w:rsidR="00FD56C1" w:rsidRPr="000C550A" w14:paraId="75002B21" w14:textId="77777777" w:rsidTr="00781B31">
        <w:trPr>
          <w:trHeight w:val="167"/>
        </w:trPr>
        <w:tc>
          <w:tcPr>
            <w:tcW w:w="10250" w:type="dxa"/>
            <w:gridSpan w:val="3"/>
          </w:tcPr>
          <w:p w14:paraId="302E22F7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b/>
                <w:bCs/>
                <w:sz w:val="23"/>
                <w:szCs w:val="23"/>
              </w:rPr>
              <w:t xml:space="preserve">Selection </w:t>
            </w:r>
          </w:p>
        </w:tc>
      </w:tr>
      <w:tr w:rsidR="00FD56C1" w:rsidRPr="000C550A" w14:paraId="02F0A927" w14:textId="77777777" w:rsidTr="00781B31">
        <w:trPr>
          <w:trHeight w:val="440"/>
        </w:trPr>
        <w:tc>
          <w:tcPr>
            <w:tcW w:w="3114" w:type="dxa"/>
          </w:tcPr>
          <w:p w14:paraId="2283832E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Is the case definition adequate? </w:t>
            </w:r>
          </w:p>
        </w:tc>
        <w:tc>
          <w:tcPr>
            <w:tcW w:w="5953" w:type="dxa"/>
          </w:tcPr>
          <w:p w14:paraId="2A4C4EA9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Yes, with independent validation Self-report without primary reference </w:t>
            </w:r>
          </w:p>
          <w:p w14:paraId="4C725FCB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 description </w:t>
            </w:r>
          </w:p>
        </w:tc>
        <w:tc>
          <w:tcPr>
            <w:tcW w:w="1183" w:type="dxa"/>
          </w:tcPr>
          <w:p w14:paraId="5AD1C3A3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Green </w:t>
            </w:r>
          </w:p>
          <w:p w14:paraId="3C4B3CB3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Red </w:t>
            </w:r>
          </w:p>
          <w:p w14:paraId="2D647BDD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Yellow </w:t>
            </w:r>
          </w:p>
        </w:tc>
      </w:tr>
      <w:tr w:rsidR="00FD56C1" w:rsidRPr="000C550A" w14:paraId="3641A892" w14:textId="77777777" w:rsidTr="00781B31">
        <w:trPr>
          <w:trHeight w:val="440"/>
        </w:trPr>
        <w:tc>
          <w:tcPr>
            <w:tcW w:w="3114" w:type="dxa"/>
          </w:tcPr>
          <w:p w14:paraId="6595E4CE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Representativeness of cases </w:t>
            </w:r>
          </w:p>
        </w:tc>
        <w:tc>
          <w:tcPr>
            <w:tcW w:w="5953" w:type="dxa"/>
          </w:tcPr>
          <w:p w14:paraId="4277900D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Consecutive or obviously representative series of cases </w:t>
            </w:r>
          </w:p>
          <w:p w14:paraId="7FDE0BB3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Potential for selection bias </w:t>
            </w:r>
          </w:p>
          <w:p w14:paraId="0473CF16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Not stated </w:t>
            </w:r>
          </w:p>
        </w:tc>
        <w:tc>
          <w:tcPr>
            <w:tcW w:w="1183" w:type="dxa"/>
          </w:tcPr>
          <w:p w14:paraId="69DC389C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Green </w:t>
            </w:r>
          </w:p>
          <w:p w14:paraId="4074ACA9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Red </w:t>
            </w:r>
          </w:p>
          <w:p w14:paraId="5710B020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Yellow </w:t>
            </w:r>
          </w:p>
        </w:tc>
      </w:tr>
      <w:tr w:rsidR="00FD56C1" w:rsidRPr="000C550A" w14:paraId="75947C99" w14:textId="77777777" w:rsidTr="00781B31">
        <w:trPr>
          <w:trHeight w:val="439"/>
        </w:trPr>
        <w:tc>
          <w:tcPr>
            <w:tcW w:w="3114" w:type="dxa"/>
          </w:tcPr>
          <w:p w14:paraId="0FECC6ED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Selection of controls </w:t>
            </w:r>
          </w:p>
        </w:tc>
        <w:tc>
          <w:tcPr>
            <w:tcW w:w="5953" w:type="dxa"/>
          </w:tcPr>
          <w:p w14:paraId="09983C6E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Community controls </w:t>
            </w:r>
          </w:p>
          <w:p w14:paraId="305302A2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Inappropriate or biased controls </w:t>
            </w:r>
          </w:p>
          <w:p w14:paraId="7B98BCF1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 description or hospital controls </w:t>
            </w:r>
          </w:p>
        </w:tc>
        <w:tc>
          <w:tcPr>
            <w:tcW w:w="1183" w:type="dxa"/>
          </w:tcPr>
          <w:p w14:paraId="2D955D51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Green </w:t>
            </w:r>
          </w:p>
          <w:p w14:paraId="5629B854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Red </w:t>
            </w:r>
          </w:p>
          <w:p w14:paraId="1991486F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Yellow </w:t>
            </w:r>
          </w:p>
        </w:tc>
      </w:tr>
      <w:tr w:rsidR="00FD56C1" w:rsidRPr="000C550A" w14:paraId="2A32FDE5" w14:textId="77777777" w:rsidTr="00781B31">
        <w:trPr>
          <w:trHeight w:val="440"/>
        </w:trPr>
        <w:tc>
          <w:tcPr>
            <w:tcW w:w="3114" w:type="dxa"/>
          </w:tcPr>
          <w:p w14:paraId="5C7CF536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Definition of controls </w:t>
            </w:r>
          </w:p>
        </w:tc>
        <w:tc>
          <w:tcPr>
            <w:tcW w:w="5953" w:type="dxa"/>
          </w:tcPr>
          <w:p w14:paraId="40D80DBB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 history of disease (endpoint) </w:t>
            </w:r>
          </w:p>
          <w:p w14:paraId="3B93951A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History of disease </w:t>
            </w:r>
          </w:p>
          <w:p w14:paraId="27CBDBF1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 description of source </w:t>
            </w:r>
          </w:p>
        </w:tc>
        <w:tc>
          <w:tcPr>
            <w:tcW w:w="1183" w:type="dxa"/>
          </w:tcPr>
          <w:p w14:paraId="52C169B1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Green </w:t>
            </w:r>
          </w:p>
          <w:p w14:paraId="61008D88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Red </w:t>
            </w:r>
          </w:p>
          <w:p w14:paraId="6D427943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Yellow </w:t>
            </w:r>
          </w:p>
        </w:tc>
      </w:tr>
      <w:tr w:rsidR="00FD56C1" w:rsidRPr="000C550A" w14:paraId="0433964A" w14:textId="77777777" w:rsidTr="00781B31">
        <w:trPr>
          <w:trHeight w:val="167"/>
        </w:trPr>
        <w:tc>
          <w:tcPr>
            <w:tcW w:w="10250" w:type="dxa"/>
            <w:gridSpan w:val="3"/>
          </w:tcPr>
          <w:p w14:paraId="01430C18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b/>
                <w:bCs/>
                <w:sz w:val="23"/>
                <w:szCs w:val="23"/>
              </w:rPr>
              <w:t xml:space="preserve">Comparability </w:t>
            </w:r>
          </w:p>
        </w:tc>
      </w:tr>
      <w:tr w:rsidR="00FD56C1" w:rsidRPr="000C550A" w14:paraId="3CF912CC" w14:textId="77777777" w:rsidTr="00781B31">
        <w:trPr>
          <w:trHeight w:val="440"/>
        </w:trPr>
        <w:tc>
          <w:tcPr>
            <w:tcW w:w="3114" w:type="dxa"/>
          </w:tcPr>
          <w:p w14:paraId="4A1956BF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Study controls for </w:t>
            </w:r>
          </w:p>
        </w:tc>
        <w:tc>
          <w:tcPr>
            <w:tcW w:w="5953" w:type="dxa"/>
          </w:tcPr>
          <w:p w14:paraId="4921B5C2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Additional confounding factors + age and sex </w:t>
            </w:r>
          </w:p>
          <w:p w14:paraId="2D46C24C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 factors controlled for </w:t>
            </w:r>
          </w:p>
          <w:p w14:paraId="0E98A9E4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Only age and sex or not stated </w:t>
            </w:r>
          </w:p>
        </w:tc>
        <w:tc>
          <w:tcPr>
            <w:tcW w:w="1183" w:type="dxa"/>
          </w:tcPr>
          <w:p w14:paraId="11BA3FDC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Green </w:t>
            </w:r>
          </w:p>
          <w:p w14:paraId="31309EF5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Red </w:t>
            </w:r>
          </w:p>
          <w:p w14:paraId="314EF426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Yellow </w:t>
            </w:r>
          </w:p>
        </w:tc>
      </w:tr>
      <w:tr w:rsidR="00FD56C1" w:rsidRPr="000C550A" w14:paraId="1ADD8686" w14:textId="77777777" w:rsidTr="00781B31">
        <w:trPr>
          <w:trHeight w:val="167"/>
        </w:trPr>
        <w:tc>
          <w:tcPr>
            <w:tcW w:w="10250" w:type="dxa"/>
            <w:gridSpan w:val="3"/>
          </w:tcPr>
          <w:p w14:paraId="3A52F068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b/>
                <w:bCs/>
                <w:sz w:val="23"/>
                <w:szCs w:val="23"/>
              </w:rPr>
              <w:t xml:space="preserve">Exposure </w:t>
            </w:r>
          </w:p>
        </w:tc>
      </w:tr>
      <w:tr w:rsidR="00FD56C1" w:rsidRPr="000C550A" w14:paraId="36717085" w14:textId="77777777" w:rsidTr="00781B31">
        <w:trPr>
          <w:trHeight w:val="578"/>
        </w:trPr>
        <w:tc>
          <w:tcPr>
            <w:tcW w:w="3114" w:type="dxa"/>
          </w:tcPr>
          <w:p w14:paraId="3F7E73C2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Ascertainment of exposure </w:t>
            </w:r>
          </w:p>
        </w:tc>
        <w:tc>
          <w:tcPr>
            <w:tcW w:w="5953" w:type="dxa"/>
          </w:tcPr>
          <w:p w14:paraId="712BB257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Secure records or structured, blind interviews </w:t>
            </w:r>
          </w:p>
          <w:p w14:paraId="34659DC8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Self-report or medical record with validation only once </w:t>
            </w:r>
          </w:p>
          <w:p w14:paraId="3962C3F8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Interview not blinded, self-report or medical record with validation more than once, or no description </w:t>
            </w:r>
          </w:p>
        </w:tc>
        <w:tc>
          <w:tcPr>
            <w:tcW w:w="1183" w:type="dxa"/>
          </w:tcPr>
          <w:p w14:paraId="1D04D16B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Green </w:t>
            </w:r>
          </w:p>
          <w:p w14:paraId="5CE2C4EB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Red </w:t>
            </w:r>
          </w:p>
          <w:p w14:paraId="02A95D6B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Yellow </w:t>
            </w:r>
          </w:p>
        </w:tc>
      </w:tr>
      <w:tr w:rsidR="00FD56C1" w:rsidRPr="000C550A" w14:paraId="2A2B06E9" w14:textId="77777777" w:rsidTr="00781B31">
        <w:trPr>
          <w:trHeight w:val="440"/>
        </w:trPr>
        <w:tc>
          <w:tcPr>
            <w:tcW w:w="3114" w:type="dxa"/>
          </w:tcPr>
          <w:p w14:paraId="38F65CF6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Same method of ascertainment for cases and controls </w:t>
            </w:r>
          </w:p>
        </w:tc>
        <w:tc>
          <w:tcPr>
            <w:tcW w:w="5953" w:type="dxa"/>
          </w:tcPr>
          <w:p w14:paraId="5E590E26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Yes </w:t>
            </w:r>
          </w:p>
          <w:p w14:paraId="1980BE45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 </w:t>
            </w:r>
          </w:p>
          <w:p w14:paraId="7B101735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Not stated </w:t>
            </w:r>
          </w:p>
        </w:tc>
        <w:tc>
          <w:tcPr>
            <w:tcW w:w="1183" w:type="dxa"/>
          </w:tcPr>
          <w:p w14:paraId="33574AA9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Green </w:t>
            </w:r>
          </w:p>
          <w:p w14:paraId="36D7F95B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Red </w:t>
            </w:r>
          </w:p>
          <w:p w14:paraId="1685E83C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Yellow </w:t>
            </w:r>
          </w:p>
        </w:tc>
      </w:tr>
      <w:tr w:rsidR="00FD56C1" w:rsidRPr="000C550A" w14:paraId="3807A764" w14:textId="77777777" w:rsidTr="00781B31">
        <w:trPr>
          <w:trHeight w:val="439"/>
        </w:trPr>
        <w:tc>
          <w:tcPr>
            <w:tcW w:w="3114" w:type="dxa"/>
          </w:tcPr>
          <w:p w14:paraId="4FB4EC90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Non-response rate </w:t>
            </w:r>
          </w:p>
        </w:tc>
        <w:tc>
          <w:tcPr>
            <w:tcW w:w="5953" w:type="dxa"/>
          </w:tcPr>
          <w:p w14:paraId="6AE43AEF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Same rate for both groups </w:t>
            </w:r>
          </w:p>
          <w:p w14:paraId="50B5CEDF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Rate different and no designation </w:t>
            </w:r>
          </w:p>
          <w:p w14:paraId="69CE1827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Non-respondents described </w:t>
            </w:r>
          </w:p>
        </w:tc>
        <w:tc>
          <w:tcPr>
            <w:tcW w:w="1183" w:type="dxa"/>
          </w:tcPr>
          <w:p w14:paraId="22817386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Green </w:t>
            </w:r>
          </w:p>
          <w:p w14:paraId="5B39AFF9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Red </w:t>
            </w:r>
          </w:p>
          <w:p w14:paraId="4F20CA8F" w14:textId="77777777" w:rsidR="00FD56C1" w:rsidRPr="000C550A" w:rsidRDefault="00FD56C1" w:rsidP="00781B31">
            <w:pPr>
              <w:pStyle w:val="Default"/>
              <w:rPr>
                <w:sz w:val="23"/>
                <w:szCs w:val="23"/>
              </w:rPr>
            </w:pPr>
            <w:r w:rsidRPr="000C550A">
              <w:rPr>
                <w:sz w:val="23"/>
                <w:szCs w:val="23"/>
              </w:rPr>
              <w:t xml:space="preserve">Yellow </w:t>
            </w:r>
          </w:p>
        </w:tc>
      </w:tr>
    </w:tbl>
    <w:p w14:paraId="7BCC7F1C" w14:textId="77777777" w:rsidR="00781B31" w:rsidRPr="00781B31" w:rsidRDefault="00781B31" w:rsidP="00781B31">
      <w:pPr>
        <w:pStyle w:val="Default"/>
        <w:rPr>
          <w:sz w:val="23"/>
          <w:szCs w:val="23"/>
        </w:rPr>
      </w:pPr>
      <w:r w:rsidRPr="00781B31">
        <w:rPr>
          <w:b/>
          <w:bCs/>
          <w:sz w:val="23"/>
          <w:szCs w:val="23"/>
        </w:rPr>
        <w:t>Additional File 1:</w:t>
      </w:r>
      <w:r w:rsidRPr="00781B31">
        <w:rPr>
          <w:sz w:val="23"/>
          <w:szCs w:val="23"/>
        </w:rPr>
        <w:t xml:space="preserve"> Customized Newcastle-Ottawa Scale for studies.</w:t>
      </w:r>
    </w:p>
    <w:p w14:paraId="29173EAF" w14:textId="77777777" w:rsidR="00781B31" w:rsidRPr="00781B31" w:rsidRDefault="00781B31" w:rsidP="00FD56C1">
      <w:pPr>
        <w:pStyle w:val="Default"/>
        <w:rPr>
          <w:sz w:val="23"/>
          <w:szCs w:val="23"/>
        </w:rPr>
      </w:pPr>
    </w:p>
    <w:p w14:paraId="5082CC0C" w14:textId="553338CF" w:rsidR="00FD56C1" w:rsidRPr="000C550A" w:rsidRDefault="00FD56C1" w:rsidP="00FD56C1">
      <w:pPr>
        <w:pStyle w:val="Default"/>
        <w:rPr>
          <w:sz w:val="23"/>
          <w:szCs w:val="23"/>
        </w:rPr>
      </w:pPr>
      <w:r w:rsidRPr="000C550A">
        <w:rPr>
          <w:sz w:val="23"/>
          <w:szCs w:val="23"/>
        </w:rPr>
        <w:t>Green light: low risk of bias; red light: high risk of bias; yellow light: unclear risk of bias; one red light results in the study being classified as higher risk of bias</w:t>
      </w:r>
    </w:p>
    <w:p w14:paraId="28895E45" w14:textId="77777777" w:rsidR="009D2243" w:rsidRDefault="009D2243"/>
    <w:sectPr w:rsidR="009D22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F2A10F" w14:textId="77777777" w:rsidR="00D97F0A" w:rsidRDefault="00D97F0A" w:rsidP="00FD56C1">
      <w:r>
        <w:separator/>
      </w:r>
    </w:p>
  </w:endnote>
  <w:endnote w:type="continuationSeparator" w:id="0">
    <w:p w14:paraId="591218CA" w14:textId="77777777" w:rsidR="00D97F0A" w:rsidRDefault="00D97F0A" w:rsidP="00FD5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5D37A6" w14:textId="77777777" w:rsidR="00D97F0A" w:rsidRDefault="00D97F0A" w:rsidP="00FD56C1">
      <w:r>
        <w:separator/>
      </w:r>
    </w:p>
  </w:footnote>
  <w:footnote w:type="continuationSeparator" w:id="0">
    <w:p w14:paraId="060A9AAF" w14:textId="77777777" w:rsidR="00D97F0A" w:rsidRDefault="00D97F0A" w:rsidP="00FD56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EB8"/>
    <w:rsid w:val="00781B31"/>
    <w:rsid w:val="00834604"/>
    <w:rsid w:val="009D2243"/>
    <w:rsid w:val="00A829E3"/>
    <w:rsid w:val="00D97F0A"/>
    <w:rsid w:val="00F13EB8"/>
    <w:rsid w:val="00FD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49F61"/>
  <w15:chartTrackingRefBased/>
  <w15:docId w15:val="{AADB1601-ACE7-45DB-90F5-A3E51A66C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56C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mesRome">
    <w:name w:val="Times Rome"/>
    <w:basedOn w:val="a"/>
    <w:link w:val="TimesRome0"/>
    <w:autoRedefine/>
    <w:qFormat/>
    <w:rsid w:val="00834604"/>
    <w:pPr>
      <w:spacing w:line="300" w:lineRule="auto"/>
    </w:pPr>
    <w:rPr>
      <w:rFonts w:ascii="Times New Roman" w:eastAsia="Times New Roman" w:hAnsi="Times New Roman" w:cs="宋体"/>
      <w:sz w:val="24"/>
      <w:szCs w:val="24"/>
    </w:rPr>
  </w:style>
  <w:style w:type="character" w:customStyle="1" w:styleId="TimesRome0">
    <w:name w:val="Times Rome 字符"/>
    <w:basedOn w:val="a0"/>
    <w:link w:val="TimesRome"/>
    <w:rsid w:val="00834604"/>
    <w:rPr>
      <w:rFonts w:ascii="Times New Roman" w:eastAsia="Times New Roman" w:hAnsi="Times New Roman" w:cs="宋体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D5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6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6C1"/>
    <w:rPr>
      <w:sz w:val="18"/>
      <w:szCs w:val="18"/>
    </w:rPr>
  </w:style>
  <w:style w:type="paragraph" w:customStyle="1" w:styleId="Default">
    <w:name w:val="Default"/>
    <w:rsid w:val="00FD56C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YONG</dc:creator>
  <cp:keywords/>
  <dc:description/>
  <cp:lastModifiedBy>LIU YONG</cp:lastModifiedBy>
  <cp:revision>3</cp:revision>
  <dcterms:created xsi:type="dcterms:W3CDTF">2021-02-23T03:28:00Z</dcterms:created>
  <dcterms:modified xsi:type="dcterms:W3CDTF">2021-02-23T03:34:00Z</dcterms:modified>
</cp:coreProperties>
</file>