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77802" w14:textId="77777777" w:rsidR="00C12166" w:rsidRPr="00C03CC6" w:rsidRDefault="00C12166" w:rsidP="00C12166">
      <w:pPr>
        <w:pStyle w:val="ListParagraph"/>
        <w:tabs>
          <w:tab w:val="left" w:pos="720"/>
          <w:tab w:val="left" w:pos="990"/>
        </w:tabs>
        <w:spacing w:after="0" w:line="360" w:lineRule="auto"/>
        <w:ind w:left="0" w:right="-90"/>
        <w:jc w:val="center"/>
        <w:rPr>
          <w:rFonts w:ascii="Times New Roman" w:hAnsi="Times New Roman" w:cs="Times New Roman"/>
          <w:sz w:val="24"/>
          <w:szCs w:val="20"/>
        </w:rPr>
      </w:pPr>
      <w:r w:rsidRPr="00C03CC6">
        <w:rPr>
          <w:rFonts w:ascii="Times New Roman" w:hAnsi="Times New Roman" w:cs="Times New Roman"/>
          <w:sz w:val="24"/>
          <w:szCs w:val="20"/>
        </w:rPr>
        <w:t>International journal of biological macromolecules</w:t>
      </w:r>
    </w:p>
    <w:p w14:paraId="1A83CD2E" w14:textId="77777777" w:rsidR="00C12166" w:rsidRPr="00C03CC6" w:rsidRDefault="00C12166" w:rsidP="00C12166">
      <w:pPr>
        <w:pStyle w:val="ListParagraph"/>
        <w:tabs>
          <w:tab w:val="left" w:pos="720"/>
          <w:tab w:val="left" w:pos="990"/>
        </w:tabs>
        <w:spacing w:after="0" w:line="360" w:lineRule="auto"/>
        <w:ind w:left="0" w:right="-90"/>
        <w:jc w:val="center"/>
        <w:rPr>
          <w:rFonts w:ascii="Times New Roman" w:hAnsi="Times New Roman" w:cs="Times New Roman"/>
          <w:sz w:val="24"/>
          <w:szCs w:val="24"/>
          <w:vertAlign w:val="superscript"/>
        </w:rPr>
      </w:pPr>
      <w:r w:rsidRPr="00C03CC6">
        <w:rPr>
          <w:rFonts w:ascii="Times New Roman" w:hAnsi="Times New Roman" w:cs="Times New Roman"/>
          <w:sz w:val="24"/>
          <w:szCs w:val="24"/>
        </w:rPr>
        <w:t>Rohith HS</w:t>
      </w:r>
      <w:r w:rsidRPr="00C03CC6">
        <w:rPr>
          <w:rFonts w:ascii="Times New Roman" w:hAnsi="Times New Roman" w:cs="Times New Roman"/>
          <w:sz w:val="24"/>
          <w:szCs w:val="24"/>
          <w:vertAlign w:val="superscript"/>
        </w:rPr>
        <w:t>1</w:t>
      </w:r>
      <w:r w:rsidRPr="00C03CC6">
        <w:rPr>
          <w:rFonts w:ascii="Times New Roman" w:hAnsi="Times New Roman" w:cs="Times New Roman"/>
          <w:sz w:val="24"/>
          <w:szCs w:val="24"/>
        </w:rPr>
        <w:t xml:space="preserve">, Muthukumar Serva Pedda </w:t>
      </w:r>
      <w:r w:rsidRPr="00C03CC6">
        <w:rPr>
          <w:rFonts w:ascii="Times New Roman" w:hAnsi="Times New Roman" w:cs="Times New Roman"/>
          <w:sz w:val="24"/>
          <w:szCs w:val="24"/>
          <w:vertAlign w:val="superscript"/>
        </w:rPr>
        <w:t>2</w:t>
      </w:r>
      <w:r w:rsidRPr="00C03CC6">
        <w:rPr>
          <w:rFonts w:ascii="Times New Roman" w:hAnsi="Times New Roman" w:cs="Times New Roman"/>
          <w:sz w:val="24"/>
          <w:szCs w:val="24"/>
        </w:rPr>
        <w:t xml:space="preserve"> and Prakash Motiram Halami</w:t>
      </w:r>
      <w:r w:rsidRPr="00C03CC6">
        <w:rPr>
          <w:rFonts w:ascii="Times New Roman" w:hAnsi="Times New Roman" w:cs="Times New Roman"/>
          <w:sz w:val="24"/>
          <w:szCs w:val="24"/>
          <w:vertAlign w:val="superscript"/>
        </w:rPr>
        <w:t>1</w:t>
      </w:r>
    </w:p>
    <w:p w14:paraId="4D631947" w14:textId="77777777" w:rsidR="00C12166" w:rsidRPr="00C03CC6" w:rsidRDefault="00C12166" w:rsidP="00C12166">
      <w:pPr>
        <w:pStyle w:val="ListParagraph"/>
        <w:tabs>
          <w:tab w:val="left" w:pos="720"/>
          <w:tab w:val="left" w:pos="990"/>
        </w:tabs>
        <w:spacing w:after="0" w:line="360" w:lineRule="auto"/>
        <w:ind w:left="0" w:right="-90"/>
        <w:jc w:val="center"/>
        <w:rPr>
          <w:rFonts w:ascii="Times New Roman" w:hAnsi="Times New Roman" w:cs="Times New Roman"/>
          <w:sz w:val="24"/>
          <w:szCs w:val="20"/>
        </w:rPr>
      </w:pPr>
      <w:r w:rsidRPr="00C03CC6">
        <w:rPr>
          <w:rFonts w:ascii="Times New Roman" w:hAnsi="Times New Roman" w:cs="Times New Roman"/>
          <w:sz w:val="24"/>
          <w:szCs w:val="24"/>
        </w:rPr>
        <w:t xml:space="preserve">Supplementary Table </w:t>
      </w:r>
      <w:r>
        <w:rPr>
          <w:rFonts w:ascii="Times New Roman" w:hAnsi="Times New Roman" w:cs="Times New Roman"/>
          <w:sz w:val="24"/>
          <w:szCs w:val="24"/>
        </w:rPr>
        <w:t>1</w:t>
      </w:r>
    </w:p>
    <w:tbl>
      <w:tblPr>
        <w:tblStyle w:val="TableGrid"/>
        <w:tblW w:w="9333" w:type="dxa"/>
        <w:tblLook w:val="04A0" w:firstRow="1" w:lastRow="0" w:firstColumn="1" w:lastColumn="0" w:noHBand="0" w:noVBand="1"/>
      </w:tblPr>
      <w:tblGrid>
        <w:gridCol w:w="2181"/>
        <w:gridCol w:w="1122"/>
        <w:gridCol w:w="3828"/>
        <w:gridCol w:w="2202"/>
      </w:tblGrid>
      <w:tr w:rsidR="00C12166" w:rsidRPr="00C03CC6" w14:paraId="1ABCC23B" w14:textId="77777777" w:rsidTr="00690E9E">
        <w:trPr>
          <w:trHeight w:val="490"/>
        </w:trPr>
        <w:tc>
          <w:tcPr>
            <w:tcW w:w="2181" w:type="dxa"/>
          </w:tcPr>
          <w:p w14:paraId="6DCDA224" w14:textId="77777777" w:rsidR="00C12166" w:rsidRPr="00C03CC6" w:rsidRDefault="00C12166" w:rsidP="00690E9E">
            <w:pPr>
              <w:spacing w:line="360" w:lineRule="auto"/>
              <w:jc w:val="both"/>
              <w:rPr>
                <w:rFonts w:ascii="Times New Roman" w:hAnsi="Times New Roman" w:cs="Times New Roman"/>
                <w:b/>
                <w:bCs/>
                <w:sz w:val="18"/>
                <w:szCs w:val="20"/>
              </w:rPr>
            </w:pPr>
            <w:r w:rsidRPr="00C03CC6">
              <w:rPr>
                <w:rFonts w:ascii="Times New Roman" w:hAnsi="Times New Roman" w:cs="Times New Roman"/>
                <w:b/>
                <w:bCs/>
                <w:sz w:val="18"/>
                <w:szCs w:val="20"/>
              </w:rPr>
              <w:t>Immunomodulatory function</w:t>
            </w:r>
          </w:p>
        </w:tc>
        <w:tc>
          <w:tcPr>
            <w:tcW w:w="1122" w:type="dxa"/>
          </w:tcPr>
          <w:p w14:paraId="04D227C2" w14:textId="77777777" w:rsidR="00C12166" w:rsidRPr="00C03CC6" w:rsidRDefault="00C12166" w:rsidP="00690E9E">
            <w:pPr>
              <w:spacing w:line="360" w:lineRule="auto"/>
              <w:jc w:val="both"/>
              <w:rPr>
                <w:rFonts w:ascii="Times New Roman" w:hAnsi="Times New Roman" w:cs="Times New Roman"/>
                <w:b/>
                <w:bCs/>
                <w:sz w:val="18"/>
                <w:szCs w:val="20"/>
              </w:rPr>
            </w:pPr>
            <w:r w:rsidRPr="00C03CC6">
              <w:rPr>
                <w:rFonts w:ascii="Times New Roman" w:hAnsi="Times New Roman" w:cs="Times New Roman"/>
                <w:b/>
                <w:bCs/>
                <w:sz w:val="18"/>
                <w:szCs w:val="20"/>
              </w:rPr>
              <w:t>Target gene</w:t>
            </w:r>
          </w:p>
        </w:tc>
        <w:tc>
          <w:tcPr>
            <w:tcW w:w="3828" w:type="dxa"/>
          </w:tcPr>
          <w:p w14:paraId="0D4BE784" w14:textId="77777777" w:rsidR="00C12166" w:rsidRPr="00C03CC6" w:rsidRDefault="00C12166" w:rsidP="00690E9E">
            <w:pPr>
              <w:spacing w:line="360" w:lineRule="auto"/>
              <w:jc w:val="both"/>
              <w:rPr>
                <w:rFonts w:ascii="Times New Roman" w:hAnsi="Times New Roman" w:cs="Times New Roman"/>
                <w:b/>
                <w:bCs/>
                <w:sz w:val="18"/>
                <w:szCs w:val="20"/>
              </w:rPr>
            </w:pPr>
            <w:r w:rsidRPr="00C03CC6">
              <w:rPr>
                <w:rFonts w:ascii="Times New Roman" w:hAnsi="Times New Roman" w:cs="Times New Roman"/>
                <w:b/>
                <w:bCs/>
                <w:sz w:val="18"/>
                <w:szCs w:val="20"/>
              </w:rPr>
              <w:t>Oligonucleotide primer sequences (5′→3′)</w:t>
            </w:r>
          </w:p>
        </w:tc>
        <w:tc>
          <w:tcPr>
            <w:tcW w:w="2202" w:type="dxa"/>
          </w:tcPr>
          <w:p w14:paraId="33FD629C" w14:textId="77777777" w:rsidR="00C12166" w:rsidRPr="00C03CC6" w:rsidRDefault="00C12166" w:rsidP="00690E9E">
            <w:pPr>
              <w:spacing w:line="360" w:lineRule="auto"/>
              <w:jc w:val="both"/>
              <w:rPr>
                <w:rFonts w:ascii="Times New Roman" w:hAnsi="Times New Roman" w:cs="Times New Roman"/>
                <w:b/>
                <w:bCs/>
                <w:sz w:val="18"/>
                <w:szCs w:val="20"/>
              </w:rPr>
            </w:pPr>
            <w:r w:rsidRPr="00C03CC6">
              <w:rPr>
                <w:rFonts w:ascii="Times New Roman" w:hAnsi="Times New Roman" w:cs="Times New Roman"/>
                <w:b/>
                <w:bCs/>
                <w:sz w:val="18"/>
                <w:szCs w:val="20"/>
              </w:rPr>
              <w:t>References</w:t>
            </w:r>
          </w:p>
        </w:tc>
      </w:tr>
      <w:tr w:rsidR="00C12166" w:rsidRPr="00C03CC6" w14:paraId="3136135A" w14:textId="77777777" w:rsidTr="00690E9E">
        <w:trPr>
          <w:trHeight w:val="500"/>
        </w:trPr>
        <w:tc>
          <w:tcPr>
            <w:tcW w:w="2181" w:type="dxa"/>
          </w:tcPr>
          <w:p w14:paraId="567416D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Transcription factor</w:t>
            </w:r>
          </w:p>
        </w:tc>
        <w:tc>
          <w:tcPr>
            <w:tcW w:w="1122" w:type="dxa"/>
          </w:tcPr>
          <w:p w14:paraId="3E9C3168"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GATA-3</w:t>
            </w:r>
          </w:p>
        </w:tc>
        <w:tc>
          <w:tcPr>
            <w:tcW w:w="3828" w:type="dxa"/>
          </w:tcPr>
          <w:p w14:paraId="092048B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 xml:space="preserve">F- AGCTCAGTTGTCTCCCTTTGG </w:t>
            </w:r>
          </w:p>
          <w:p w14:paraId="36913C9D"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CCCGGGACTGACTAAGCAAT</w:t>
            </w:r>
          </w:p>
        </w:tc>
        <w:tc>
          <w:tcPr>
            <w:tcW w:w="2202" w:type="dxa"/>
          </w:tcPr>
          <w:p w14:paraId="7CCF211B"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54022E31" w14:textId="77777777" w:rsidTr="00690E9E">
        <w:trPr>
          <w:trHeight w:val="367"/>
        </w:trPr>
        <w:tc>
          <w:tcPr>
            <w:tcW w:w="2181" w:type="dxa"/>
          </w:tcPr>
          <w:p w14:paraId="029137F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Transcription factor</w:t>
            </w:r>
          </w:p>
        </w:tc>
        <w:tc>
          <w:tcPr>
            <w:tcW w:w="1122" w:type="dxa"/>
          </w:tcPr>
          <w:p w14:paraId="181DCC0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T-BET</w:t>
            </w:r>
          </w:p>
        </w:tc>
        <w:tc>
          <w:tcPr>
            <w:tcW w:w="3828" w:type="dxa"/>
          </w:tcPr>
          <w:p w14:paraId="4A286689"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AAGGCAGTATGCCAGGGAAC</w:t>
            </w:r>
          </w:p>
          <w:p w14:paraId="0AF25F47"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TTGGAAGCCCCCTTGTTGTT</w:t>
            </w:r>
          </w:p>
        </w:tc>
        <w:tc>
          <w:tcPr>
            <w:tcW w:w="2202" w:type="dxa"/>
          </w:tcPr>
          <w:p w14:paraId="0F3DE18A"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541B35CF" w14:textId="77777777" w:rsidTr="00690E9E">
        <w:trPr>
          <w:trHeight w:val="236"/>
        </w:trPr>
        <w:tc>
          <w:tcPr>
            <w:tcW w:w="2181" w:type="dxa"/>
          </w:tcPr>
          <w:p w14:paraId="72B2FD7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Transcription factor</w:t>
            </w:r>
          </w:p>
        </w:tc>
        <w:tc>
          <w:tcPr>
            <w:tcW w:w="1122" w:type="dxa"/>
          </w:tcPr>
          <w:p w14:paraId="57B1CA9D"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FOXP-3</w:t>
            </w:r>
          </w:p>
        </w:tc>
        <w:tc>
          <w:tcPr>
            <w:tcW w:w="3828" w:type="dxa"/>
          </w:tcPr>
          <w:p w14:paraId="5AB6DEE5"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GTACCCCCAAATTCCTGCCT</w:t>
            </w:r>
          </w:p>
          <w:p w14:paraId="3491ECA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GCTGAAGACGTGTGCATCCT</w:t>
            </w:r>
          </w:p>
        </w:tc>
        <w:tc>
          <w:tcPr>
            <w:tcW w:w="2202" w:type="dxa"/>
          </w:tcPr>
          <w:p w14:paraId="5D31A1DB"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47CD35DB" w14:textId="77777777" w:rsidTr="00690E9E">
        <w:trPr>
          <w:trHeight w:val="373"/>
        </w:trPr>
        <w:tc>
          <w:tcPr>
            <w:tcW w:w="2181" w:type="dxa"/>
          </w:tcPr>
          <w:p w14:paraId="32EC2B9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Transcription factor</w:t>
            </w:r>
          </w:p>
        </w:tc>
        <w:tc>
          <w:tcPr>
            <w:tcW w:w="1122" w:type="dxa"/>
          </w:tcPr>
          <w:p w14:paraId="29509D6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COX-2</w:t>
            </w:r>
          </w:p>
        </w:tc>
        <w:tc>
          <w:tcPr>
            <w:tcW w:w="3828" w:type="dxa"/>
          </w:tcPr>
          <w:p w14:paraId="14B2C9E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CCGTCCCTTCACTAGGGTTA</w:t>
            </w:r>
          </w:p>
          <w:p w14:paraId="29F7EB06"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TCAGAGCATTGGCCATAGAA</w:t>
            </w:r>
          </w:p>
        </w:tc>
        <w:tc>
          <w:tcPr>
            <w:tcW w:w="2202" w:type="dxa"/>
          </w:tcPr>
          <w:p w14:paraId="27000BB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fldChar w:fldCharType="begin" w:fldLock="1"/>
            </w:r>
            <w:r>
              <w:rPr>
                <w:rFonts w:ascii="Times New Roman" w:hAnsi="Times New Roman" w:cs="Times New Roman"/>
                <w:sz w:val="18"/>
                <w:szCs w:val="20"/>
              </w:rPr>
              <w:instrText>ADDIN CSL_CITATION {"citationItems":[{"id":"ITEM-1","itemData":{"DOI":"10.1007/s12602-021-09744-0","ISBN":"1260202109744","ISSN":"18671314","PMID":"33575913","abstract":"The growing incidence of type 2 diabetes and obesity has become a worldwide crisis with increased socio-economic burden. Changes in lifestyle and food habits resulting in dysbiosis of the gut microbiota and low-grade inflammation are linked to the rising incidence. The aim of this study was to investigate the effects of potential probiotic Lactobacillus fermentum MCC2759 and MCC2760 on intestinal markers of inflammation using a high-fat diet (HFD)-fed model and a streptozotocin (STZ)-induced diabetic model. Lact. fermentum administration showed improved oral glucose tolerance compared with the model controls of HFD (AUC 1518) and STZ (628.8). Plasma insulin levels improved in the Lact. fermentum treated groups of HFD + MCC2759 (129 ± 4.24 pmol/L) and HFD + MCC2760 (151.5 ± 9.19 pmol/L) in HFD study, while in STZ diabetic study, the insulin levels were normalized with Lact. fermentum administration, for D + MCC2759 (120.5 ± 7.77) and D + MCC2760 (138 ± 5.65 pmol/L) groups. The results showed reduction in inflammatory tone in liver, muscle, and adipose tissues of rats in both models with stimulation of anti-inflammatory IL-10 by real-time quantitative polymerase chain reaction. Additionally, the potential probiotic cultures also displayed normalization of markers related to intestinal barrier integrity (ZO-1), TLR-4 receptor, and insulin sensitivity (GLUT-4, GLP-1, adiponectin). Thus, the results suggest that Lact. fermentum could act as potential probiotic for lifestyle-related disorders such as obesity, diabetes, and metabolic syndrome as both prophylactic and adjunct therapies.","author":[{"dropping-particle":"","family":"Archer","given":"Ann Catherine","non-dropping-particle":"","parse-names":false,"suffix":""},{"dropping-particle":"","family":"Muthukumar","given":"Serva Peddha","non-dropping-particle":"","parse-names":false,"suffix":""},{"dropping-particle":"","family":"Halami","given":"Prakash Motiram","non-dropping-particle":"","parse-names":false,"suffix":""}],"container-title":"Probiotics and Antimicrobial Proteins","id":"ITEM-1","issue":"4","issued":{"date-parts":[["2021"]]},"page":"1068-1080","title":"Lactobacillus fermentum MCC2759 and MCC2760 alleviate inflammation and intestinal function in high-aat diet-fed and Streptozotocin-induced diabetic rats","type":"article-journal","volume":"13"},"uris":["http://www.mendeley.com/documents/?uuid=10a4c812-832d-4609-99db-99a66d4d2903"]}],"mendeley":{"formattedCitation":"[71]","plainTextFormattedCitation":"[71]","previouslyFormattedCitation":"(Archer et al., 2021)"},"properties":{"noteIndex":0},"schema":"https://github.com/citation-style-language/schema/raw/master/csl-citation.json"}</w:instrText>
            </w:r>
            <w:r w:rsidRPr="00C03CC6">
              <w:rPr>
                <w:rFonts w:ascii="Times New Roman" w:hAnsi="Times New Roman" w:cs="Times New Roman"/>
                <w:sz w:val="18"/>
                <w:szCs w:val="20"/>
              </w:rPr>
              <w:fldChar w:fldCharType="separate"/>
            </w:r>
            <w:r w:rsidRPr="00AF71FE">
              <w:rPr>
                <w:rFonts w:ascii="Times New Roman" w:hAnsi="Times New Roman" w:cs="Times New Roman"/>
                <w:noProof/>
                <w:sz w:val="18"/>
                <w:szCs w:val="20"/>
              </w:rPr>
              <w:t>[71]</w:t>
            </w:r>
            <w:r w:rsidRPr="00C03CC6">
              <w:rPr>
                <w:rFonts w:ascii="Times New Roman" w:hAnsi="Times New Roman" w:cs="Times New Roman"/>
                <w:sz w:val="18"/>
                <w:szCs w:val="20"/>
              </w:rPr>
              <w:fldChar w:fldCharType="end"/>
            </w:r>
          </w:p>
        </w:tc>
      </w:tr>
      <w:tr w:rsidR="00C12166" w:rsidRPr="00C03CC6" w14:paraId="4038FDBB" w14:textId="77777777" w:rsidTr="00690E9E">
        <w:trPr>
          <w:trHeight w:val="242"/>
        </w:trPr>
        <w:tc>
          <w:tcPr>
            <w:tcW w:w="2181" w:type="dxa"/>
          </w:tcPr>
          <w:p w14:paraId="2697E103"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Transcription factor</w:t>
            </w:r>
          </w:p>
        </w:tc>
        <w:tc>
          <w:tcPr>
            <w:tcW w:w="1122" w:type="dxa"/>
          </w:tcPr>
          <w:p w14:paraId="2B9FEA63"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NFkB</w:t>
            </w:r>
          </w:p>
        </w:tc>
        <w:tc>
          <w:tcPr>
            <w:tcW w:w="3828" w:type="dxa"/>
          </w:tcPr>
          <w:p w14:paraId="30EF9795"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TTCAACATGGCAGACGACGA</w:t>
            </w:r>
          </w:p>
          <w:p w14:paraId="7296EAC5"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TGCTCTAGTATTTGAAGGTATGGG</w:t>
            </w:r>
          </w:p>
        </w:tc>
        <w:tc>
          <w:tcPr>
            <w:tcW w:w="2202" w:type="dxa"/>
          </w:tcPr>
          <w:p w14:paraId="22B977E3"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35AA87E5" w14:textId="77777777" w:rsidTr="00690E9E">
        <w:trPr>
          <w:trHeight w:val="110"/>
        </w:trPr>
        <w:tc>
          <w:tcPr>
            <w:tcW w:w="2181" w:type="dxa"/>
          </w:tcPr>
          <w:p w14:paraId="656AC699"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Anti-oxidant enzyme</w:t>
            </w:r>
          </w:p>
        </w:tc>
        <w:tc>
          <w:tcPr>
            <w:tcW w:w="1122" w:type="dxa"/>
          </w:tcPr>
          <w:p w14:paraId="4C51C95A"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GPx</w:t>
            </w:r>
          </w:p>
        </w:tc>
        <w:tc>
          <w:tcPr>
            <w:tcW w:w="3828" w:type="dxa"/>
          </w:tcPr>
          <w:p w14:paraId="78A65F8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AAACTTCCCTTTGGACGGCA</w:t>
            </w:r>
          </w:p>
          <w:p w14:paraId="21AAC197"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w:t>
            </w:r>
            <w:r w:rsidRPr="00C03CC6">
              <w:rPr>
                <w:rFonts w:ascii="Times New Roman" w:eastAsiaTheme="minorEastAsia" w:hAnsi="Times New Roman" w:cs="Times New Roman"/>
                <w:color w:val="000000" w:themeColor="dark1"/>
                <w:kern w:val="24"/>
                <w:sz w:val="18"/>
                <w:szCs w:val="20"/>
              </w:rPr>
              <w:t xml:space="preserve"> </w:t>
            </w:r>
            <w:r w:rsidRPr="00C03CC6">
              <w:rPr>
                <w:rFonts w:ascii="Times New Roman" w:hAnsi="Times New Roman" w:cs="Times New Roman"/>
                <w:sz w:val="18"/>
                <w:szCs w:val="20"/>
              </w:rPr>
              <w:t>AGGAGAAGTTCACGCTTGGG</w:t>
            </w:r>
          </w:p>
        </w:tc>
        <w:tc>
          <w:tcPr>
            <w:tcW w:w="2202" w:type="dxa"/>
          </w:tcPr>
          <w:p w14:paraId="2ED17CB9"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2BE660B1" w14:textId="77777777" w:rsidTr="00690E9E">
        <w:trPr>
          <w:trHeight w:val="262"/>
        </w:trPr>
        <w:tc>
          <w:tcPr>
            <w:tcW w:w="2181" w:type="dxa"/>
          </w:tcPr>
          <w:p w14:paraId="6A2C28F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Anti-oxidant enzyme</w:t>
            </w:r>
          </w:p>
        </w:tc>
        <w:tc>
          <w:tcPr>
            <w:tcW w:w="1122" w:type="dxa"/>
          </w:tcPr>
          <w:p w14:paraId="3B2D7915"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iNOS</w:t>
            </w:r>
          </w:p>
        </w:tc>
        <w:tc>
          <w:tcPr>
            <w:tcW w:w="3828" w:type="dxa"/>
          </w:tcPr>
          <w:p w14:paraId="5A8AE82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GGAGAAAACCCCAGGTGCTA</w:t>
            </w:r>
          </w:p>
          <w:p w14:paraId="1DFA067A"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w:t>
            </w:r>
            <w:r w:rsidRPr="00C03CC6">
              <w:rPr>
                <w:rFonts w:ascii="Times New Roman" w:eastAsiaTheme="minorEastAsia" w:hAnsi="Times New Roman" w:cs="Times New Roman"/>
                <w:color w:val="000000" w:themeColor="dark1"/>
                <w:kern w:val="24"/>
                <w:sz w:val="18"/>
                <w:szCs w:val="20"/>
              </w:rPr>
              <w:t xml:space="preserve"> </w:t>
            </w:r>
            <w:r w:rsidRPr="00C03CC6">
              <w:rPr>
                <w:rFonts w:ascii="Times New Roman" w:hAnsi="Times New Roman" w:cs="Times New Roman"/>
                <w:sz w:val="18"/>
                <w:szCs w:val="20"/>
              </w:rPr>
              <w:t>GTGAGGAACTGGGGGAAACC</w:t>
            </w:r>
          </w:p>
        </w:tc>
        <w:tc>
          <w:tcPr>
            <w:tcW w:w="2202" w:type="dxa"/>
          </w:tcPr>
          <w:p w14:paraId="1BD74107"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6DBE5F31" w14:textId="77777777" w:rsidTr="00690E9E">
        <w:trPr>
          <w:trHeight w:val="53"/>
        </w:trPr>
        <w:tc>
          <w:tcPr>
            <w:tcW w:w="2181" w:type="dxa"/>
          </w:tcPr>
          <w:p w14:paraId="40183427"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Anti-oxidant enzyme</w:t>
            </w:r>
          </w:p>
        </w:tc>
        <w:tc>
          <w:tcPr>
            <w:tcW w:w="1122" w:type="dxa"/>
          </w:tcPr>
          <w:p w14:paraId="7B958B7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PON1</w:t>
            </w:r>
          </w:p>
        </w:tc>
        <w:tc>
          <w:tcPr>
            <w:tcW w:w="3828" w:type="dxa"/>
          </w:tcPr>
          <w:p w14:paraId="33134EA2"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TTGTCTCAGGACATGGCGAA</w:t>
            </w:r>
          </w:p>
          <w:p w14:paraId="06BC7BF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w:t>
            </w:r>
            <w:r w:rsidRPr="00C03CC6">
              <w:rPr>
                <w:rFonts w:ascii="Times New Roman" w:eastAsiaTheme="minorEastAsia" w:hAnsi="Times New Roman" w:cs="Times New Roman"/>
                <w:color w:val="000000" w:themeColor="dark1"/>
                <w:kern w:val="24"/>
                <w:sz w:val="18"/>
                <w:szCs w:val="20"/>
              </w:rPr>
              <w:t xml:space="preserve"> </w:t>
            </w:r>
            <w:r w:rsidRPr="00C03CC6">
              <w:rPr>
                <w:rFonts w:ascii="Times New Roman" w:hAnsi="Times New Roman" w:cs="Times New Roman"/>
                <w:sz w:val="18"/>
                <w:szCs w:val="20"/>
              </w:rPr>
              <w:t>TTCAGCACCCGCTTCGATT</w:t>
            </w:r>
          </w:p>
        </w:tc>
        <w:tc>
          <w:tcPr>
            <w:tcW w:w="2202" w:type="dxa"/>
          </w:tcPr>
          <w:p w14:paraId="07EB6CEC"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17E84654" w14:textId="77777777" w:rsidTr="00690E9E">
        <w:trPr>
          <w:trHeight w:val="53"/>
        </w:trPr>
        <w:tc>
          <w:tcPr>
            <w:tcW w:w="2181" w:type="dxa"/>
          </w:tcPr>
          <w:p w14:paraId="3B56C34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Pro-inflammatory</w:t>
            </w:r>
          </w:p>
        </w:tc>
        <w:tc>
          <w:tcPr>
            <w:tcW w:w="1122" w:type="dxa"/>
          </w:tcPr>
          <w:p w14:paraId="0A8D502F"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IFN-γ</w:t>
            </w:r>
          </w:p>
        </w:tc>
        <w:tc>
          <w:tcPr>
            <w:tcW w:w="3828" w:type="dxa"/>
          </w:tcPr>
          <w:p w14:paraId="6A49DE0F"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w:t>
            </w:r>
            <w:r w:rsidRPr="00C03CC6">
              <w:rPr>
                <w:rFonts w:ascii="Times New Roman" w:eastAsiaTheme="minorEastAsia" w:hAnsi="Times New Roman" w:cs="Times New Roman"/>
                <w:color w:val="000000" w:themeColor="dark1"/>
                <w:kern w:val="24"/>
                <w:sz w:val="18"/>
                <w:szCs w:val="20"/>
              </w:rPr>
              <w:t xml:space="preserve"> </w:t>
            </w:r>
            <w:r w:rsidRPr="00C03CC6">
              <w:rPr>
                <w:rFonts w:ascii="Times New Roman" w:hAnsi="Times New Roman" w:cs="Times New Roman"/>
                <w:sz w:val="18"/>
                <w:szCs w:val="20"/>
              </w:rPr>
              <w:t>CATGAGCATCGCCAAGTTCG</w:t>
            </w:r>
          </w:p>
          <w:p w14:paraId="2ED8CE2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TCAGCACCGACTCCTTTTCC</w:t>
            </w:r>
          </w:p>
        </w:tc>
        <w:tc>
          <w:tcPr>
            <w:tcW w:w="2202" w:type="dxa"/>
          </w:tcPr>
          <w:p w14:paraId="4E6871F3"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14553DF0" w14:textId="77777777" w:rsidTr="00690E9E">
        <w:trPr>
          <w:trHeight w:val="150"/>
        </w:trPr>
        <w:tc>
          <w:tcPr>
            <w:tcW w:w="2181" w:type="dxa"/>
          </w:tcPr>
          <w:p w14:paraId="44DED03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Pro-inflammatory</w:t>
            </w:r>
          </w:p>
        </w:tc>
        <w:tc>
          <w:tcPr>
            <w:tcW w:w="1122" w:type="dxa"/>
          </w:tcPr>
          <w:p w14:paraId="32E5D32D"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IL-5</w:t>
            </w:r>
          </w:p>
        </w:tc>
        <w:tc>
          <w:tcPr>
            <w:tcW w:w="3828" w:type="dxa"/>
          </w:tcPr>
          <w:p w14:paraId="35E323FD"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GAAGAGAGGCGGAAGACCAG</w:t>
            </w:r>
          </w:p>
          <w:p w14:paraId="65E8750D"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ACTTCCATTGCCCACTCTGT</w:t>
            </w:r>
          </w:p>
        </w:tc>
        <w:tc>
          <w:tcPr>
            <w:tcW w:w="2202" w:type="dxa"/>
          </w:tcPr>
          <w:p w14:paraId="21DF734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5DFDBE8A" w14:textId="77777777" w:rsidTr="00690E9E">
        <w:trPr>
          <w:trHeight w:val="302"/>
        </w:trPr>
        <w:tc>
          <w:tcPr>
            <w:tcW w:w="2181" w:type="dxa"/>
          </w:tcPr>
          <w:p w14:paraId="2535D1F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Pro-inflammatory</w:t>
            </w:r>
          </w:p>
        </w:tc>
        <w:tc>
          <w:tcPr>
            <w:tcW w:w="1122" w:type="dxa"/>
          </w:tcPr>
          <w:p w14:paraId="1CC3D568"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TNF-α</w:t>
            </w:r>
          </w:p>
        </w:tc>
        <w:tc>
          <w:tcPr>
            <w:tcW w:w="3828" w:type="dxa"/>
          </w:tcPr>
          <w:p w14:paraId="1FDEBBD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CAGATGGGCTGTACCTTATC</w:t>
            </w:r>
          </w:p>
          <w:p w14:paraId="3ED9F942"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AGAGGAGGCTGACTTTCT</w:t>
            </w:r>
          </w:p>
        </w:tc>
        <w:tc>
          <w:tcPr>
            <w:tcW w:w="2202" w:type="dxa"/>
          </w:tcPr>
          <w:p w14:paraId="4B3C290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fldChar w:fldCharType="begin" w:fldLock="1"/>
            </w:r>
            <w:r>
              <w:rPr>
                <w:rFonts w:ascii="Times New Roman" w:hAnsi="Times New Roman" w:cs="Times New Roman"/>
                <w:sz w:val="18"/>
                <w:szCs w:val="20"/>
              </w:rPr>
              <w:instrText>ADDIN CSL_CITATION {"citationItems":[{"id":"ITEM-1","itemData":{"DOI":"10.1007/s12602-021-09744-0","ISBN":"1260202109744","ISSN":"18671314","PMID":"33575913","abstract":"The growing incidence of type 2 diabetes and obesity has become a worldwide crisis with increased socio-economic burden. Changes in lifestyle and food habits resulting in dysbiosis of the gut microbiota and low-grade inflammation are linked to the rising incidence. The aim of this study was to investigate the effects of potential probiotic Lactobacillus fermentum MCC2759 and MCC2760 on intestinal markers of inflammation using a high-fat diet (HFD)-fed model and a streptozotocin (STZ)-induced diabetic model. Lact. fermentum administration showed improved oral glucose tolerance compared with the model controls of HFD (AUC 1518) and STZ (628.8). Plasma insulin levels improved in the Lact. fermentum treated groups of HFD + MCC2759 (129 ± 4.24 pmol/L) and HFD + MCC2760 (151.5 ± 9.19 pmol/L) in HFD study, while in STZ diabetic study, the insulin levels were normalized with Lact. fermentum administration, for D + MCC2759 (120.5 ± 7.77) and D + MCC2760 (138 ± 5.65 pmol/L) groups. The results showed reduction in inflammatory tone in liver, muscle, and adipose tissues of rats in both models with stimulation of anti-inflammatory IL-10 by real-time quantitative polymerase chain reaction. Additionally, the potential probiotic cultures also displayed normalization of markers related to intestinal barrier integrity (ZO-1), TLR-4 receptor, and insulin sensitivity (GLUT-4, GLP-1, adiponectin). Thus, the results suggest that Lact. fermentum could act as potential probiotic for lifestyle-related disorders such as obesity, diabetes, and metabolic syndrome as both prophylactic and adjunct therapies.","author":[{"dropping-particle":"","family":"Archer","given":"Ann Catherine","non-dropping-particle":"","parse-names":false,"suffix":""},{"dropping-particle":"","family":"Muthukumar","given":"Serva Peddha","non-dropping-particle":"","parse-names":false,"suffix":""},{"dropping-particle":"","family":"Halami","given":"Prakash Motiram","non-dropping-particle":"","parse-names":false,"suffix":""}],"container-title":"Probiotics and Antimicrobial Proteins","id":"ITEM-1","issue":"4","issued":{"date-parts":[["2021"]]},"page":"1068-1080","title":"Lactobacillus fermentum MCC2759 and MCC2760 alleviate inflammation and intestinal function in high-aat diet-fed and Streptozotocin-induced diabetic rats","type":"article-journal","volume":"13"},"uris":["http://www.mendeley.com/documents/?uuid=10a4c812-832d-4609-99db-99a66d4d2903"]}],"mendeley":{"formattedCitation":"[71]","plainTextFormattedCitation":"[71]","previouslyFormattedCitation":"(Archer et al., 2021)"},"properties":{"noteIndex":0},"schema":"https://github.com/citation-style-language/schema/raw/master/csl-citation.json"}</w:instrText>
            </w:r>
            <w:r w:rsidRPr="00C03CC6">
              <w:rPr>
                <w:rFonts w:ascii="Times New Roman" w:hAnsi="Times New Roman" w:cs="Times New Roman"/>
                <w:sz w:val="18"/>
                <w:szCs w:val="20"/>
              </w:rPr>
              <w:fldChar w:fldCharType="separate"/>
            </w:r>
            <w:r w:rsidRPr="00AF71FE">
              <w:rPr>
                <w:rFonts w:ascii="Times New Roman" w:hAnsi="Times New Roman" w:cs="Times New Roman"/>
                <w:noProof/>
                <w:sz w:val="18"/>
                <w:szCs w:val="20"/>
              </w:rPr>
              <w:t>[71]</w:t>
            </w:r>
            <w:r w:rsidRPr="00C03CC6">
              <w:rPr>
                <w:rFonts w:ascii="Times New Roman" w:hAnsi="Times New Roman" w:cs="Times New Roman"/>
                <w:sz w:val="18"/>
                <w:szCs w:val="20"/>
              </w:rPr>
              <w:fldChar w:fldCharType="end"/>
            </w:r>
          </w:p>
        </w:tc>
      </w:tr>
      <w:tr w:rsidR="00C12166" w:rsidRPr="00C03CC6" w14:paraId="12095AA1" w14:textId="77777777" w:rsidTr="00690E9E">
        <w:trPr>
          <w:trHeight w:val="155"/>
        </w:trPr>
        <w:tc>
          <w:tcPr>
            <w:tcW w:w="2181" w:type="dxa"/>
          </w:tcPr>
          <w:p w14:paraId="6A83904B"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Pro-inflammatory</w:t>
            </w:r>
          </w:p>
        </w:tc>
        <w:tc>
          <w:tcPr>
            <w:tcW w:w="1122" w:type="dxa"/>
          </w:tcPr>
          <w:p w14:paraId="5443771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IL-6</w:t>
            </w:r>
          </w:p>
        </w:tc>
        <w:tc>
          <w:tcPr>
            <w:tcW w:w="3828" w:type="dxa"/>
          </w:tcPr>
          <w:p w14:paraId="3B3DACFD"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 xml:space="preserve">F- AGAGACTTCCAGCCAGTTGC </w:t>
            </w:r>
          </w:p>
          <w:p w14:paraId="48223FC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AGTCTCCTCTCCGGACTTGT</w:t>
            </w:r>
          </w:p>
        </w:tc>
        <w:tc>
          <w:tcPr>
            <w:tcW w:w="2202" w:type="dxa"/>
          </w:tcPr>
          <w:p w14:paraId="64F47A6B"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1B1EDC2D" w14:textId="77777777" w:rsidTr="00690E9E">
        <w:trPr>
          <w:trHeight w:val="53"/>
        </w:trPr>
        <w:tc>
          <w:tcPr>
            <w:tcW w:w="2181" w:type="dxa"/>
          </w:tcPr>
          <w:p w14:paraId="0BE67A5B"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Pro-inflammatory</w:t>
            </w:r>
          </w:p>
        </w:tc>
        <w:tc>
          <w:tcPr>
            <w:tcW w:w="1122" w:type="dxa"/>
          </w:tcPr>
          <w:p w14:paraId="23F09A73"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IL-12</w:t>
            </w:r>
          </w:p>
        </w:tc>
        <w:tc>
          <w:tcPr>
            <w:tcW w:w="3828" w:type="dxa"/>
          </w:tcPr>
          <w:p w14:paraId="6061F9C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F-CATCCAGCGCAAGAAAGA</w:t>
            </w:r>
          </w:p>
          <w:p w14:paraId="29B741FF" w14:textId="77777777" w:rsidR="00C12166" w:rsidRPr="00C03CC6" w:rsidRDefault="00C12166" w:rsidP="00690E9E">
            <w:pPr>
              <w:spacing w:line="360" w:lineRule="auto"/>
              <w:jc w:val="both"/>
              <w:rPr>
                <w:rFonts w:ascii="Times New Roman" w:hAnsi="Times New Roman" w:cs="Times New Roman"/>
                <w:b/>
                <w:bCs/>
                <w:sz w:val="18"/>
                <w:szCs w:val="20"/>
              </w:rPr>
            </w:pPr>
            <w:r w:rsidRPr="00C03CC6">
              <w:rPr>
                <w:rFonts w:ascii="Times New Roman" w:hAnsi="Times New Roman" w:cs="Times New Roman"/>
                <w:sz w:val="18"/>
                <w:szCs w:val="20"/>
              </w:rPr>
              <w:t>R- GAATTGTAGTAGCGGTCCTG</w:t>
            </w:r>
          </w:p>
        </w:tc>
        <w:tc>
          <w:tcPr>
            <w:tcW w:w="2202" w:type="dxa"/>
          </w:tcPr>
          <w:p w14:paraId="766BA827"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fldChar w:fldCharType="begin" w:fldLock="1"/>
            </w:r>
            <w:r>
              <w:rPr>
                <w:rFonts w:ascii="Times New Roman" w:hAnsi="Times New Roman" w:cs="Times New Roman"/>
                <w:sz w:val="18"/>
                <w:szCs w:val="20"/>
              </w:rPr>
              <w:instrText>ADDIN CSL_CITATION {"citationItems":[{"id":"ITEM-1","itemData":{"DOI":"10.1007/s12602-021-09744-0","ISBN":"1260202109744","ISSN":"18671314","PMID":"33575913","abstract":"The growing incidence of type 2 diabetes and obesity has become a worldwide crisis with increased socio-economic burden. Changes in lifestyle and food habits resulting in dysbiosis of the gut microbiota and low-grade inflammation are linked to the rising incidence. The aim of this study was to investigate the effects of potential probiotic Lactobacillus fermentum MCC2759 and MCC2760 on intestinal markers of inflammation using a high-fat diet (HFD)-fed model and a streptozotocin (STZ)-induced diabetic model. Lact. fermentum administration showed improved oral glucose tolerance compared with the model controls of HFD (AUC 1518) and STZ (628.8). Plasma insulin levels improved in the Lact. fermentum treated groups of HFD + MCC2759 (129 ± 4.24 pmol/L) and HFD + MCC2760 (151.5 ± 9.19 pmol/L) in HFD study, while in STZ diabetic study, the insulin levels were normalized with Lact. fermentum administration, for D + MCC2759 (120.5 ± 7.77) and D + MCC2760 (138 ± 5.65 pmol/L) groups. The results showed reduction in inflammatory tone in liver, muscle, and adipose tissues of rats in both models with stimulation of anti-inflammatory IL-10 by real-time quantitative polymerase chain reaction. Additionally, the potential probiotic cultures also displayed normalization of markers related to intestinal barrier integrity (ZO-1), TLR-4 receptor, and insulin sensitivity (GLUT-4, GLP-1, adiponectin). Thus, the results suggest that Lact. fermentum could act as potential probiotic for lifestyle-related disorders such as obesity, diabetes, and metabolic syndrome as both prophylactic and adjunct therapies.","author":[{"dropping-particle":"","family":"Archer","given":"Ann Catherine","non-dropping-particle":"","parse-names":false,"suffix":""},{"dropping-particle":"","family":"Muthukumar","given":"Serva Peddha","non-dropping-particle":"","parse-names":false,"suffix":""},{"dropping-particle":"","family":"Halami","given":"Prakash Motiram","non-dropping-particle":"","parse-names":false,"suffix":""}],"container-title":"Probiotics and Antimicrobial Proteins","id":"ITEM-1","issue":"4","issued":{"date-parts":[["2021"]]},"page":"1068-1080","title":"Lactobacillus fermentum MCC2759 and MCC2760 alleviate inflammation and intestinal function in high-aat diet-fed and Streptozotocin-induced diabetic rats","type":"article-journal","volume":"13"},"uris":["http://www.mendeley.com/documents/?uuid=10a4c812-832d-4609-99db-99a66d4d2903"]}],"mendeley":{"formattedCitation":"[71]","plainTextFormattedCitation":"[71]","previouslyFormattedCitation":"(Archer et al., 2021)"},"properties":{"noteIndex":0},"schema":"https://github.com/citation-style-language/schema/raw/master/csl-citation.json"}</w:instrText>
            </w:r>
            <w:r w:rsidRPr="00C03CC6">
              <w:rPr>
                <w:rFonts w:ascii="Times New Roman" w:hAnsi="Times New Roman" w:cs="Times New Roman"/>
                <w:sz w:val="18"/>
                <w:szCs w:val="20"/>
              </w:rPr>
              <w:fldChar w:fldCharType="separate"/>
            </w:r>
            <w:r w:rsidRPr="00AF71FE">
              <w:rPr>
                <w:rFonts w:ascii="Times New Roman" w:hAnsi="Times New Roman" w:cs="Times New Roman"/>
                <w:noProof/>
                <w:sz w:val="18"/>
                <w:szCs w:val="20"/>
              </w:rPr>
              <w:t>[71]</w:t>
            </w:r>
            <w:r w:rsidRPr="00C03CC6">
              <w:rPr>
                <w:rFonts w:ascii="Times New Roman" w:hAnsi="Times New Roman" w:cs="Times New Roman"/>
                <w:sz w:val="18"/>
                <w:szCs w:val="20"/>
              </w:rPr>
              <w:fldChar w:fldCharType="end"/>
            </w:r>
          </w:p>
        </w:tc>
      </w:tr>
      <w:tr w:rsidR="00C12166" w:rsidRPr="00C03CC6" w14:paraId="095B5BC9" w14:textId="77777777" w:rsidTr="00690E9E">
        <w:trPr>
          <w:trHeight w:val="176"/>
        </w:trPr>
        <w:tc>
          <w:tcPr>
            <w:tcW w:w="2181" w:type="dxa"/>
          </w:tcPr>
          <w:p w14:paraId="09F1758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Anti-inflammatory</w:t>
            </w:r>
          </w:p>
        </w:tc>
        <w:tc>
          <w:tcPr>
            <w:tcW w:w="1122" w:type="dxa"/>
          </w:tcPr>
          <w:p w14:paraId="0F359076"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IL-10</w:t>
            </w:r>
          </w:p>
        </w:tc>
        <w:tc>
          <w:tcPr>
            <w:tcW w:w="3828" w:type="dxa"/>
          </w:tcPr>
          <w:p w14:paraId="14F3B3FF"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GGAGTGAAGACCAGCAAAGG</w:t>
            </w:r>
          </w:p>
          <w:p w14:paraId="644CE8CB"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GGCAACCCAAGTAACCCTTA</w:t>
            </w:r>
          </w:p>
        </w:tc>
        <w:tc>
          <w:tcPr>
            <w:tcW w:w="2202" w:type="dxa"/>
          </w:tcPr>
          <w:p w14:paraId="758BA58F"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fldChar w:fldCharType="begin" w:fldLock="1"/>
            </w:r>
            <w:r>
              <w:rPr>
                <w:rFonts w:ascii="Times New Roman" w:hAnsi="Times New Roman" w:cs="Times New Roman"/>
                <w:sz w:val="18"/>
                <w:szCs w:val="20"/>
              </w:rPr>
              <w:instrText>ADDIN CSL_CITATION {"citationItems":[{"id":"ITEM-1","itemData":{"DOI":"10.1007/s12602-021-09744-0","ISBN":"1260202109744","ISSN":"18671314","PMID":"33575913","abstract":"The growing incidence of type 2 diabetes and obesity has become a worldwide crisis with increased socio-economic burden. Changes in lifestyle and food habits resulting in dysbiosis of the gut microbiota and low-grade inflammation are linked to the rising incidence. The aim of this study was to investigate the effects of potential probiotic Lactobacillus fermentum MCC2759 and MCC2760 on intestinal markers of inflammation using a high-fat diet (HFD)-fed model and a streptozotocin (STZ)-induced diabetic model. Lact. fermentum administration showed improved oral glucose tolerance compared with the model controls of HFD (AUC 1518) and STZ (628.8). Plasma insulin levels improved in the Lact. fermentum treated groups of HFD + MCC2759 (129 ± 4.24 pmol/L) and HFD + MCC2760 (151.5 ± 9.19 pmol/L) in HFD study, while in STZ diabetic study, the insulin levels were normalized with Lact. fermentum administration, for D + MCC2759 (120.5 ± 7.77) and D + MCC2760 (138 ± 5.65 pmol/L) groups. The results showed reduction in inflammatory tone in liver, muscle, and adipose tissues of rats in both models with stimulation of anti-inflammatory IL-10 by real-time quantitative polymerase chain reaction. Additionally, the potential probiotic cultures also displayed normalization of markers related to intestinal barrier integrity (ZO-1), TLR-4 receptor, and insulin sensitivity (GLUT-4, GLP-1, adiponectin). Thus, the results suggest that Lact. fermentum could act as potential probiotic for lifestyle-related disorders such as obesity, diabetes, and metabolic syndrome as both prophylactic and adjunct therapies.","author":[{"dropping-particle":"","family":"Archer","given":"Ann Catherine","non-dropping-particle":"","parse-names":false,"suffix":""},{"dropping-particle":"","family":"Muthukumar","given":"Serva Peddha","non-dropping-particle":"","parse-names":false,"suffix":""},{"dropping-particle":"","family":"Halami","given":"Prakash Motiram","non-dropping-particle":"","parse-names":false,"suffix":""}],"container-title":"Probiotics and Antimicrobial Proteins","id":"ITEM-1","issue":"4","issued":{"date-parts":[["2021"]]},"page":"1068-1080","title":"Lactobacillus fermentum MCC2759 and MCC2760 alleviate inflammation and intestinal function in high-aat diet-fed and Streptozotocin-induced diabetic rats","type":"article-journal","volume":"13"},"uris":["http://www.mendeley.com/documents/?uuid=10a4c812-832d-4609-99db-99a66d4d2903"]}],"mendeley":{"formattedCitation":"[71]","plainTextFormattedCitation":"[71]","previouslyFormattedCitation":"(Archer et al., 2021)"},"properties":{"noteIndex":0},"schema":"https://github.com/citation-style-language/schema/raw/master/csl-citation.json"}</w:instrText>
            </w:r>
            <w:r w:rsidRPr="00C03CC6">
              <w:rPr>
                <w:rFonts w:ascii="Times New Roman" w:hAnsi="Times New Roman" w:cs="Times New Roman"/>
                <w:sz w:val="18"/>
                <w:szCs w:val="20"/>
              </w:rPr>
              <w:fldChar w:fldCharType="separate"/>
            </w:r>
            <w:r w:rsidRPr="00AF71FE">
              <w:rPr>
                <w:rFonts w:ascii="Times New Roman" w:hAnsi="Times New Roman" w:cs="Times New Roman"/>
                <w:noProof/>
                <w:sz w:val="18"/>
                <w:szCs w:val="20"/>
              </w:rPr>
              <w:t>[71]</w:t>
            </w:r>
            <w:r w:rsidRPr="00C03CC6">
              <w:rPr>
                <w:rFonts w:ascii="Times New Roman" w:hAnsi="Times New Roman" w:cs="Times New Roman"/>
                <w:sz w:val="18"/>
                <w:szCs w:val="20"/>
              </w:rPr>
              <w:fldChar w:fldCharType="end"/>
            </w:r>
          </w:p>
        </w:tc>
      </w:tr>
      <w:tr w:rsidR="00C12166" w:rsidRPr="00C03CC6" w14:paraId="47EE1A15" w14:textId="77777777" w:rsidTr="00690E9E">
        <w:trPr>
          <w:trHeight w:val="53"/>
        </w:trPr>
        <w:tc>
          <w:tcPr>
            <w:tcW w:w="2181" w:type="dxa"/>
          </w:tcPr>
          <w:p w14:paraId="10DCD2D0"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Anti-inflammatory</w:t>
            </w:r>
          </w:p>
        </w:tc>
        <w:tc>
          <w:tcPr>
            <w:tcW w:w="1122" w:type="dxa"/>
          </w:tcPr>
          <w:p w14:paraId="02903029"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TGF-β1</w:t>
            </w:r>
          </w:p>
        </w:tc>
        <w:tc>
          <w:tcPr>
            <w:tcW w:w="3828" w:type="dxa"/>
          </w:tcPr>
          <w:p w14:paraId="70944A0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GACTCTCCACCTGCAAGACC</w:t>
            </w:r>
          </w:p>
          <w:p w14:paraId="03E87358"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GGACTGGCGAGCCTTAGTTT</w:t>
            </w:r>
          </w:p>
        </w:tc>
        <w:tc>
          <w:tcPr>
            <w:tcW w:w="2202" w:type="dxa"/>
          </w:tcPr>
          <w:p w14:paraId="079DB32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0DDBFB9A" w14:textId="77777777" w:rsidTr="00690E9E">
        <w:trPr>
          <w:trHeight w:val="195"/>
        </w:trPr>
        <w:tc>
          <w:tcPr>
            <w:tcW w:w="2181" w:type="dxa"/>
          </w:tcPr>
          <w:p w14:paraId="146B85B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Anti-inflammatory</w:t>
            </w:r>
          </w:p>
        </w:tc>
        <w:tc>
          <w:tcPr>
            <w:tcW w:w="1122" w:type="dxa"/>
          </w:tcPr>
          <w:p w14:paraId="7BF4F758"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IL-4</w:t>
            </w:r>
          </w:p>
        </w:tc>
        <w:tc>
          <w:tcPr>
            <w:tcW w:w="3828" w:type="dxa"/>
          </w:tcPr>
          <w:p w14:paraId="7FC1EA9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GTACCAGACGTCCTTACGGC</w:t>
            </w:r>
          </w:p>
          <w:p w14:paraId="4D50C9C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ATTCACGGTGCAGCTTCTCA</w:t>
            </w:r>
          </w:p>
        </w:tc>
        <w:tc>
          <w:tcPr>
            <w:tcW w:w="2202" w:type="dxa"/>
          </w:tcPr>
          <w:p w14:paraId="2F593F3E"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This study</w:t>
            </w:r>
          </w:p>
        </w:tc>
      </w:tr>
      <w:tr w:rsidR="00C12166" w:rsidRPr="00C03CC6" w14:paraId="6E256E1B" w14:textId="77777777" w:rsidTr="00690E9E">
        <w:trPr>
          <w:trHeight w:val="205"/>
        </w:trPr>
        <w:tc>
          <w:tcPr>
            <w:tcW w:w="2181" w:type="dxa"/>
          </w:tcPr>
          <w:p w14:paraId="4B5000C3"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House Keeping gene</w:t>
            </w:r>
          </w:p>
          <w:p w14:paraId="573A0D0F" w14:textId="77777777" w:rsidR="00C12166" w:rsidRPr="00C03CC6" w:rsidRDefault="00C12166" w:rsidP="00690E9E">
            <w:pPr>
              <w:spacing w:line="360" w:lineRule="auto"/>
              <w:jc w:val="both"/>
              <w:rPr>
                <w:rFonts w:ascii="Times New Roman" w:hAnsi="Times New Roman" w:cs="Times New Roman"/>
                <w:sz w:val="18"/>
                <w:szCs w:val="20"/>
              </w:rPr>
            </w:pPr>
          </w:p>
        </w:tc>
        <w:tc>
          <w:tcPr>
            <w:tcW w:w="1122" w:type="dxa"/>
          </w:tcPr>
          <w:p w14:paraId="6913D89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GAPDH</w:t>
            </w:r>
          </w:p>
        </w:tc>
        <w:tc>
          <w:tcPr>
            <w:tcW w:w="3828" w:type="dxa"/>
          </w:tcPr>
          <w:p w14:paraId="3968A7B1"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F- GCCTCCAAGGAGTAAGAAAC</w:t>
            </w:r>
          </w:p>
          <w:p w14:paraId="7EF609CA"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t>R- GTCTGGGATGGAATTGTGAG</w:t>
            </w:r>
          </w:p>
        </w:tc>
        <w:tc>
          <w:tcPr>
            <w:tcW w:w="2202" w:type="dxa"/>
          </w:tcPr>
          <w:p w14:paraId="3FE27814" w14:textId="77777777" w:rsidR="00C12166" w:rsidRPr="00C03CC6" w:rsidRDefault="00C12166" w:rsidP="00690E9E">
            <w:pPr>
              <w:spacing w:line="360" w:lineRule="auto"/>
              <w:jc w:val="both"/>
              <w:rPr>
                <w:rFonts w:ascii="Times New Roman" w:hAnsi="Times New Roman" w:cs="Times New Roman"/>
                <w:sz w:val="18"/>
                <w:szCs w:val="20"/>
              </w:rPr>
            </w:pPr>
            <w:r w:rsidRPr="00C03CC6">
              <w:rPr>
                <w:rFonts w:ascii="Times New Roman" w:hAnsi="Times New Roman" w:cs="Times New Roman"/>
                <w:sz w:val="18"/>
                <w:szCs w:val="20"/>
              </w:rPr>
              <w:fldChar w:fldCharType="begin" w:fldLock="1"/>
            </w:r>
            <w:r>
              <w:rPr>
                <w:rFonts w:ascii="Times New Roman" w:hAnsi="Times New Roman" w:cs="Times New Roman"/>
                <w:sz w:val="18"/>
                <w:szCs w:val="20"/>
              </w:rPr>
              <w:instrText>ADDIN CSL_CITATION {"citationItems":[{"id":"ITEM-1","itemData":{"DOI":"10.1007/s12602-021-09744-0","ISBN":"1260202109744","ISSN":"18671314","PMID":"33575913","abstract":"The growing incidence of type 2 diabetes and obesity has become a worldwide crisis with increased socio-economic burden. Changes in lifestyle and food habits resulting in dysbiosis of the gut microbiota and low-grade inflammation are linked to the rising incidence. The aim of this study was to investigate the effects of potential probiotic Lactobacillus fermentum MCC2759 and MCC2760 on intestinal markers of inflammation using a high-fat diet (HFD)-fed model and a streptozotocin (STZ)-induced diabetic model. Lact. fermentum administration showed improved oral glucose tolerance compared with the model controls of HFD (AUC 1518) and STZ (628.8). Plasma insulin levels improved in the Lact. fermentum treated groups of HFD + MCC2759 (129 ± 4.24 pmol/L) and HFD + MCC2760 (151.5 ± 9.19 pmol/L) in HFD study, while in STZ diabetic study, the insulin levels were normalized with Lact. fermentum administration, for D + MCC2759 (120.5 ± 7.77) and D + MCC2760 (138 ± 5.65 pmol/L) groups. The results showed reduction in inflammatory tone in liver, muscle, and adipose tissues of rats in both models with stimulation of anti-inflammatory IL-10 by real-time quantitative polymerase chain reaction. Additionally, the potential probiotic cultures also displayed normalization of markers related to intestinal barrier integrity (ZO-1), TLR-4 receptor, and insulin sensitivity (GLUT-4, GLP-1, adiponectin). Thus, the results suggest that Lact. fermentum could act as potential probiotic for lifestyle-related disorders such as obesity, diabetes, and metabolic syndrome as both prophylactic and adjunct therapies.","author":[{"dropping-particle":"","family":"Archer","given":"Ann Catherine","non-dropping-particle":"","parse-names":false,"suffix":""},{"dropping-particle":"","family":"Muthukumar","given":"Serva Peddha","non-dropping-particle":"","parse-names":false,"suffix":""},{"dropping-particle":"","family":"Halami","given":"Prakash Motiram","non-dropping-particle":"","parse-names":false,"suffix":""}],"container-title":"Probiotics and Antimicrobial Proteins","id":"ITEM-1","issue":"4","issued":{"date-parts":[["2021"]]},"page":"1068-1080","title":"Lactobacillus fermentum MCC2759 and MCC2760 alleviate inflammation and intestinal function in high-aat diet-fed and Streptozotocin-induced diabetic rats","type":"article-journal","volume":"13"},"uris":["http://www.mendeley.com/documents/?uuid=10a4c812-832d-4609-99db-99a66d4d2903"]}],"mendeley":{"formattedCitation":"[71]","plainTextFormattedCitation":"[71]","previouslyFormattedCitation":"(Archer et al., 2021)"},"properties":{"noteIndex":0},"schema":"https://github.com/citation-style-language/schema/raw/master/csl-citation.json"}</w:instrText>
            </w:r>
            <w:r w:rsidRPr="00C03CC6">
              <w:rPr>
                <w:rFonts w:ascii="Times New Roman" w:hAnsi="Times New Roman" w:cs="Times New Roman"/>
                <w:sz w:val="18"/>
                <w:szCs w:val="20"/>
              </w:rPr>
              <w:fldChar w:fldCharType="separate"/>
            </w:r>
            <w:r w:rsidRPr="00AF71FE">
              <w:rPr>
                <w:rFonts w:ascii="Times New Roman" w:hAnsi="Times New Roman" w:cs="Times New Roman"/>
                <w:noProof/>
                <w:sz w:val="18"/>
                <w:szCs w:val="20"/>
              </w:rPr>
              <w:t>[71]</w:t>
            </w:r>
            <w:r w:rsidRPr="00C03CC6">
              <w:rPr>
                <w:rFonts w:ascii="Times New Roman" w:hAnsi="Times New Roman" w:cs="Times New Roman"/>
                <w:sz w:val="18"/>
                <w:szCs w:val="20"/>
              </w:rPr>
              <w:fldChar w:fldCharType="end"/>
            </w:r>
          </w:p>
        </w:tc>
      </w:tr>
    </w:tbl>
    <w:p w14:paraId="2CFDEFA8" w14:textId="77777777" w:rsidR="00C12166" w:rsidRPr="00390CCF" w:rsidRDefault="00C12166" w:rsidP="00C12166">
      <w:pPr>
        <w:tabs>
          <w:tab w:val="left" w:pos="720"/>
        </w:tabs>
        <w:spacing w:after="0" w:line="360" w:lineRule="auto"/>
        <w:ind w:right="-90"/>
        <w:jc w:val="both"/>
        <w:rPr>
          <w:rFonts w:ascii="Times New Roman" w:eastAsia="MS Mincho" w:hAnsi="Times New Roman" w:cs="Times New Roman"/>
          <w:sz w:val="20"/>
        </w:rPr>
      </w:pPr>
      <w:r w:rsidRPr="00390CCF">
        <w:rPr>
          <w:rFonts w:ascii="Times New Roman" w:eastAsia="MS Mincho" w:hAnsi="Times New Roman" w:cs="Times New Roman"/>
          <w:sz w:val="20"/>
        </w:rPr>
        <w:t>F= Forward, R= Reverse</w:t>
      </w:r>
    </w:p>
    <w:p w14:paraId="24DFBE99" w14:textId="77777777" w:rsidR="00C12166" w:rsidRPr="00C03CC6" w:rsidRDefault="00C12166" w:rsidP="00C12166">
      <w:pPr>
        <w:pStyle w:val="ListParagraph"/>
        <w:tabs>
          <w:tab w:val="left" w:pos="720"/>
          <w:tab w:val="left" w:pos="990"/>
        </w:tabs>
        <w:spacing w:after="0" w:line="360" w:lineRule="auto"/>
        <w:ind w:left="0" w:right="-90"/>
        <w:rPr>
          <w:rFonts w:ascii="Times New Roman" w:hAnsi="Times New Roman" w:cs="Times New Roman"/>
          <w:sz w:val="24"/>
          <w:szCs w:val="20"/>
        </w:rPr>
      </w:pPr>
    </w:p>
    <w:p w14:paraId="369FC0C2" w14:textId="77777777" w:rsidR="00C12166" w:rsidRPr="00C03CC6" w:rsidRDefault="00C12166" w:rsidP="00C12166">
      <w:pPr>
        <w:pStyle w:val="ListParagraph"/>
        <w:tabs>
          <w:tab w:val="left" w:pos="720"/>
          <w:tab w:val="left" w:pos="990"/>
        </w:tabs>
        <w:spacing w:after="0" w:line="360" w:lineRule="auto"/>
        <w:ind w:left="0" w:right="-90"/>
        <w:jc w:val="center"/>
        <w:rPr>
          <w:rFonts w:ascii="Times New Roman" w:hAnsi="Times New Roman" w:cs="Times New Roman"/>
          <w:sz w:val="24"/>
          <w:szCs w:val="20"/>
        </w:rPr>
      </w:pPr>
      <w:r w:rsidRPr="00C03CC6">
        <w:rPr>
          <w:rFonts w:ascii="Times New Roman" w:hAnsi="Times New Roman" w:cs="Times New Roman"/>
          <w:sz w:val="24"/>
          <w:szCs w:val="20"/>
        </w:rPr>
        <w:lastRenderedPageBreak/>
        <w:t>International journal of biological macromolecules</w:t>
      </w:r>
    </w:p>
    <w:p w14:paraId="29B2AFC4" w14:textId="77777777" w:rsidR="00C12166" w:rsidRPr="00C03CC6" w:rsidRDefault="00C12166" w:rsidP="00C12166">
      <w:pPr>
        <w:pStyle w:val="ListParagraph"/>
        <w:tabs>
          <w:tab w:val="left" w:pos="720"/>
          <w:tab w:val="left" w:pos="990"/>
        </w:tabs>
        <w:spacing w:after="0" w:line="360" w:lineRule="auto"/>
        <w:ind w:left="0" w:right="-90"/>
        <w:jc w:val="center"/>
        <w:rPr>
          <w:rFonts w:ascii="Times New Roman" w:hAnsi="Times New Roman" w:cs="Times New Roman"/>
          <w:sz w:val="24"/>
          <w:szCs w:val="24"/>
          <w:vertAlign w:val="superscript"/>
        </w:rPr>
      </w:pPr>
      <w:r w:rsidRPr="00C03CC6">
        <w:rPr>
          <w:rFonts w:ascii="Times New Roman" w:hAnsi="Times New Roman" w:cs="Times New Roman"/>
          <w:sz w:val="24"/>
          <w:szCs w:val="24"/>
        </w:rPr>
        <w:t>Rohith HS</w:t>
      </w:r>
      <w:r w:rsidRPr="00C03CC6">
        <w:rPr>
          <w:rFonts w:ascii="Times New Roman" w:hAnsi="Times New Roman" w:cs="Times New Roman"/>
          <w:sz w:val="24"/>
          <w:szCs w:val="24"/>
          <w:vertAlign w:val="superscript"/>
        </w:rPr>
        <w:t>1</w:t>
      </w:r>
      <w:r w:rsidRPr="00C03CC6">
        <w:rPr>
          <w:rFonts w:ascii="Times New Roman" w:hAnsi="Times New Roman" w:cs="Times New Roman"/>
          <w:sz w:val="24"/>
          <w:szCs w:val="24"/>
        </w:rPr>
        <w:t xml:space="preserve">, Muthukumar Serva Pedda </w:t>
      </w:r>
      <w:r w:rsidRPr="00C03CC6">
        <w:rPr>
          <w:rFonts w:ascii="Times New Roman" w:hAnsi="Times New Roman" w:cs="Times New Roman"/>
          <w:sz w:val="24"/>
          <w:szCs w:val="24"/>
          <w:vertAlign w:val="superscript"/>
        </w:rPr>
        <w:t>2</w:t>
      </w:r>
      <w:r w:rsidRPr="00C03CC6">
        <w:rPr>
          <w:rFonts w:ascii="Times New Roman" w:hAnsi="Times New Roman" w:cs="Times New Roman"/>
          <w:sz w:val="24"/>
          <w:szCs w:val="24"/>
        </w:rPr>
        <w:t xml:space="preserve"> and Prakash Motiram Halami</w:t>
      </w:r>
      <w:r w:rsidRPr="00C03CC6">
        <w:rPr>
          <w:rFonts w:ascii="Times New Roman" w:hAnsi="Times New Roman" w:cs="Times New Roman"/>
          <w:sz w:val="24"/>
          <w:szCs w:val="24"/>
          <w:vertAlign w:val="superscript"/>
        </w:rPr>
        <w:t>1</w:t>
      </w:r>
    </w:p>
    <w:p w14:paraId="470DAB26" w14:textId="77777777" w:rsidR="00C12166" w:rsidRPr="00C03CC6" w:rsidRDefault="00C12166" w:rsidP="00C12166">
      <w:pPr>
        <w:pStyle w:val="ListParagraph"/>
        <w:tabs>
          <w:tab w:val="left" w:pos="720"/>
          <w:tab w:val="left" w:pos="990"/>
        </w:tabs>
        <w:spacing w:after="0" w:line="360" w:lineRule="auto"/>
        <w:ind w:left="0" w:right="-90"/>
        <w:jc w:val="center"/>
        <w:rPr>
          <w:rFonts w:ascii="Times New Roman" w:hAnsi="Times New Roman" w:cs="Times New Roman"/>
          <w:sz w:val="24"/>
          <w:szCs w:val="20"/>
        </w:rPr>
      </w:pPr>
      <w:r w:rsidRPr="00C03CC6">
        <w:rPr>
          <w:rFonts w:ascii="Times New Roman" w:hAnsi="Times New Roman" w:cs="Times New Roman"/>
          <w:sz w:val="24"/>
          <w:szCs w:val="24"/>
        </w:rPr>
        <w:t>Supplementary Table 2</w:t>
      </w:r>
    </w:p>
    <w:p w14:paraId="726BAC70" w14:textId="77777777" w:rsidR="00C12166" w:rsidRPr="00C03CC6" w:rsidRDefault="00C12166" w:rsidP="00C12166">
      <w:pPr>
        <w:pStyle w:val="ListParagraph"/>
        <w:tabs>
          <w:tab w:val="left" w:pos="720"/>
          <w:tab w:val="left" w:pos="990"/>
        </w:tabs>
        <w:spacing w:after="0" w:line="360" w:lineRule="auto"/>
        <w:ind w:left="0" w:right="-90"/>
        <w:rPr>
          <w:rFonts w:ascii="Times New Roman" w:hAnsi="Times New Roman" w:cs="Times New Roman"/>
          <w:sz w:val="24"/>
          <w:szCs w:val="20"/>
        </w:rPr>
      </w:pPr>
    </w:p>
    <w:tbl>
      <w:tblPr>
        <w:tblStyle w:val="TableGrid"/>
        <w:tblW w:w="0" w:type="auto"/>
        <w:tblLook w:val="04A0" w:firstRow="1" w:lastRow="0" w:firstColumn="1" w:lastColumn="0" w:noHBand="0" w:noVBand="1"/>
      </w:tblPr>
      <w:tblGrid>
        <w:gridCol w:w="1845"/>
        <w:gridCol w:w="1845"/>
        <w:gridCol w:w="1846"/>
        <w:gridCol w:w="1846"/>
        <w:gridCol w:w="1846"/>
      </w:tblGrid>
      <w:tr w:rsidR="00C12166" w:rsidRPr="00C03CC6" w14:paraId="20490B42" w14:textId="77777777" w:rsidTr="00690E9E">
        <w:trPr>
          <w:trHeight w:val="367"/>
        </w:trPr>
        <w:tc>
          <w:tcPr>
            <w:tcW w:w="1845" w:type="dxa"/>
          </w:tcPr>
          <w:p w14:paraId="27C34A83" w14:textId="77777777" w:rsidR="00C12166" w:rsidRPr="00C03CC6" w:rsidRDefault="00C12166" w:rsidP="00690E9E">
            <w:pPr>
              <w:spacing w:line="360" w:lineRule="auto"/>
              <w:rPr>
                <w:rFonts w:ascii="Times New Roman" w:hAnsi="Times New Roman" w:cs="Times New Roman"/>
                <w:sz w:val="18"/>
                <w:szCs w:val="18"/>
              </w:rPr>
            </w:pPr>
          </w:p>
        </w:tc>
        <w:tc>
          <w:tcPr>
            <w:tcW w:w="1845" w:type="dxa"/>
          </w:tcPr>
          <w:p w14:paraId="0A0E46F4"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White blood cells </w:t>
            </w:r>
          </w:p>
          <w:p w14:paraId="60C4BD6E"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10*3/µL</w:t>
            </w:r>
          </w:p>
        </w:tc>
        <w:tc>
          <w:tcPr>
            <w:tcW w:w="1846" w:type="dxa"/>
          </w:tcPr>
          <w:p w14:paraId="76A4070A"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Red blood cells </w:t>
            </w:r>
          </w:p>
          <w:p w14:paraId="0DAF01EC"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10*6/µL</w:t>
            </w:r>
          </w:p>
        </w:tc>
        <w:tc>
          <w:tcPr>
            <w:tcW w:w="1846" w:type="dxa"/>
          </w:tcPr>
          <w:p w14:paraId="0DE974CF"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Platelets </w:t>
            </w:r>
          </w:p>
          <w:p w14:paraId="5032D3E8"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10*3/µL</w:t>
            </w:r>
          </w:p>
        </w:tc>
        <w:tc>
          <w:tcPr>
            <w:tcW w:w="1846" w:type="dxa"/>
          </w:tcPr>
          <w:p w14:paraId="48F859A7"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hemoglobin </w:t>
            </w:r>
          </w:p>
          <w:p w14:paraId="7A94247F"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10*3/µL</w:t>
            </w:r>
          </w:p>
        </w:tc>
      </w:tr>
      <w:tr w:rsidR="00C12166" w:rsidRPr="00C03CC6" w14:paraId="711B9C6E" w14:textId="77777777" w:rsidTr="00690E9E">
        <w:trPr>
          <w:trHeight w:val="367"/>
        </w:trPr>
        <w:tc>
          <w:tcPr>
            <w:tcW w:w="1845" w:type="dxa"/>
          </w:tcPr>
          <w:p w14:paraId="2D41A4D7" w14:textId="77777777" w:rsidR="00C12166" w:rsidRPr="00C03CC6" w:rsidRDefault="00C12166" w:rsidP="00690E9E">
            <w:pPr>
              <w:spacing w:line="360" w:lineRule="auto"/>
              <w:rPr>
                <w:rFonts w:ascii="Times New Roman" w:hAnsi="Times New Roman" w:cs="Times New Roman"/>
                <w:b/>
                <w:bCs/>
                <w:sz w:val="18"/>
                <w:szCs w:val="18"/>
              </w:rPr>
            </w:pPr>
            <w:r w:rsidRPr="00C03CC6">
              <w:rPr>
                <w:rFonts w:ascii="Times New Roman" w:hAnsi="Times New Roman" w:cs="Times New Roman"/>
                <w:b/>
                <w:bCs/>
                <w:sz w:val="18"/>
                <w:szCs w:val="18"/>
              </w:rPr>
              <w:t>Control</w:t>
            </w:r>
          </w:p>
        </w:tc>
        <w:tc>
          <w:tcPr>
            <w:tcW w:w="1845" w:type="dxa"/>
          </w:tcPr>
          <w:p w14:paraId="4A5D98FB"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21.33 </w:t>
            </w:r>
            <w:r w:rsidRPr="00C03CC6">
              <w:rPr>
                <w:rFonts w:ascii="Times New Roman" w:eastAsia="Times New Roman" w:hAnsi="Times New Roman" w:cs="Times New Roman"/>
                <w:sz w:val="18"/>
                <w:szCs w:val="18"/>
              </w:rPr>
              <w:t>± 2.62</w:t>
            </w:r>
            <w:r w:rsidRPr="001625E3">
              <w:rPr>
                <w:rFonts w:ascii="Times New Roman" w:eastAsia="Times New Roman" w:hAnsi="Times New Roman" w:cs="Times New Roman"/>
                <w:sz w:val="24"/>
                <w:szCs w:val="18"/>
                <w:vertAlign w:val="superscript"/>
              </w:rPr>
              <w:t>d</w:t>
            </w:r>
          </w:p>
        </w:tc>
        <w:tc>
          <w:tcPr>
            <w:tcW w:w="1846" w:type="dxa"/>
          </w:tcPr>
          <w:p w14:paraId="03C2BCF7"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6.6 </w:t>
            </w:r>
            <w:r w:rsidRPr="00C03CC6">
              <w:rPr>
                <w:rFonts w:ascii="Times New Roman" w:eastAsia="Times New Roman" w:hAnsi="Times New Roman" w:cs="Times New Roman"/>
                <w:sz w:val="18"/>
                <w:szCs w:val="18"/>
              </w:rPr>
              <w:t>± 0.10</w:t>
            </w:r>
            <w:r w:rsidRPr="001625E3">
              <w:rPr>
                <w:rFonts w:ascii="Times New Roman" w:eastAsia="Times New Roman" w:hAnsi="Times New Roman" w:cs="Times New Roman"/>
                <w:sz w:val="24"/>
                <w:szCs w:val="18"/>
                <w:vertAlign w:val="superscript"/>
              </w:rPr>
              <w:t>b</w:t>
            </w:r>
          </w:p>
        </w:tc>
        <w:tc>
          <w:tcPr>
            <w:tcW w:w="1846" w:type="dxa"/>
          </w:tcPr>
          <w:p w14:paraId="60D7F2CC"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131.7 </w:t>
            </w:r>
            <w:r w:rsidRPr="00C03CC6">
              <w:rPr>
                <w:rFonts w:ascii="Times New Roman" w:eastAsia="Times New Roman" w:hAnsi="Times New Roman" w:cs="Times New Roman"/>
                <w:sz w:val="18"/>
                <w:szCs w:val="18"/>
              </w:rPr>
              <w:t>± 31.13</w:t>
            </w:r>
            <w:r w:rsidRPr="001625E3">
              <w:rPr>
                <w:rFonts w:ascii="Times New Roman" w:eastAsia="Times New Roman" w:hAnsi="Times New Roman" w:cs="Times New Roman"/>
                <w:sz w:val="24"/>
                <w:szCs w:val="18"/>
                <w:vertAlign w:val="superscript"/>
              </w:rPr>
              <w:t>d</w:t>
            </w:r>
          </w:p>
        </w:tc>
        <w:tc>
          <w:tcPr>
            <w:tcW w:w="1846" w:type="dxa"/>
          </w:tcPr>
          <w:p w14:paraId="578A563F"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11.33 </w:t>
            </w:r>
            <w:r w:rsidRPr="00C03CC6">
              <w:rPr>
                <w:rFonts w:ascii="Times New Roman" w:eastAsia="Times New Roman" w:hAnsi="Times New Roman" w:cs="Times New Roman"/>
                <w:sz w:val="18"/>
                <w:szCs w:val="18"/>
              </w:rPr>
              <w:t>± 0.75</w:t>
            </w:r>
            <w:r w:rsidRPr="001625E3">
              <w:rPr>
                <w:rFonts w:ascii="Times New Roman" w:eastAsia="Times New Roman" w:hAnsi="Times New Roman" w:cs="Times New Roman"/>
                <w:sz w:val="24"/>
                <w:szCs w:val="18"/>
                <w:vertAlign w:val="superscript"/>
              </w:rPr>
              <w:t>c</w:t>
            </w:r>
          </w:p>
        </w:tc>
      </w:tr>
      <w:tr w:rsidR="00C12166" w:rsidRPr="00C03CC6" w14:paraId="502EC266" w14:textId="77777777" w:rsidTr="00690E9E">
        <w:trPr>
          <w:trHeight w:val="383"/>
        </w:trPr>
        <w:tc>
          <w:tcPr>
            <w:tcW w:w="1845" w:type="dxa"/>
          </w:tcPr>
          <w:p w14:paraId="4B4D173B" w14:textId="77777777" w:rsidR="00C12166" w:rsidRPr="00C03CC6" w:rsidRDefault="00C12166" w:rsidP="00690E9E">
            <w:pPr>
              <w:spacing w:line="360" w:lineRule="auto"/>
              <w:rPr>
                <w:rFonts w:ascii="Times New Roman" w:hAnsi="Times New Roman" w:cs="Times New Roman"/>
                <w:b/>
                <w:bCs/>
                <w:sz w:val="18"/>
                <w:szCs w:val="18"/>
              </w:rPr>
            </w:pPr>
            <w:r w:rsidRPr="00C03CC6">
              <w:rPr>
                <w:rFonts w:ascii="Times New Roman" w:hAnsi="Times New Roman" w:cs="Times New Roman"/>
                <w:b/>
                <w:bCs/>
                <w:sz w:val="18"/>
                <w:szCs w:val="18"/>
              </w:rPr>
              <w:t>TNBS</w:t>
            </w:r>
          </w:p>
        </w:tc>
        <w:tc>
          <w:tcPr>
            <w:tcW w:w="1845" w:type="dxa"/>
          </w:tcPr>
          <w:p w14:paraId="6781023B"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6.22 </w:t>
            </w:r>
            <w:r w:rsidRPr="00C03CC6">
              <w:rPr>
                <w:rFonts w:ascii="Times New Roman" w:eastAsia="Times New Roman" w:hAnsi="Times New Roman" w:cs="Times New Roman"/>
                <w:sz w:val="18"/>
                <w:szCs w:val="18"/>
              </w:rPr>
              <w:t>± 0.60</w:t>
            </w:r>
          </w:p>
        </w:tc>
        <w:tc>
          <w:tcPr>
            <w:tcW w:w="1846" w:type="dxa"/>
          </w:tcPr>
          <w:p w14:paraId="5B3F7C6E"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4.69 </w:t>
            </w:r>
            <w:r w:rsidRPr="00C03CC6">
              <w:rPr>
                <w:rFonts w:ascii="Times New Roman" w:eastAsia="Times New Roman" w:hAnsi="Times New Roman" w:cs="Times New Roman"/>
                <w:sz w:val="18"/>
                <w:szCs w:val="18"/>
              </w:rPr>
              <w:t>± 0.77</w:t>
            </w:r>
          </w:p>
        </w:tc>
        <w:tc>
          <w:tcPr>
            <w:tcW w:w="1846" w:type="dxa"/>
          </w:tcPr>
          <w:p w14:paraId="2D95707D"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45.4  18.65</w:t>
            </w:r>
          </w:p>
        </w:tc>
        <w:tc>
          <w:tcPr>
            <w:tcW w:w="1846" w:type="dxa"/>
          </w:tcPr>
          <w:p w14:paraId="59092DCC"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6.52 </w:t>
            </w:r>
            <w:r w:rsidRPr="00C03CC6">
              <w:rPr>
                <w:rFonts w:ascii="Times New Roman" w:eastAsia="Times New Roman" w:hAnsi="Times New Roman" w:cs="Times New Roman"/>
                <w:sz w:val="18"/>
                <w:szCs w:val="18"/>
              </w:rPr>
              <w:t>± 1.04</w:t>
            </w:r>
          </w:p>
        </w:tc>
      </w:tr>
      <w:tr w:rsidR="00C12166" w:rsidRPr="00C03CC6" w14:paraId="1DE72EBA" w14:textId="77777777" w:rsidTr="00690E9E">
        <w:trPr>
          <w:trHeight w:val="367"/>
        </w:trPr>
        <w:tc>
          <w:tcPr>
            <w:tcW w:w="1845" w:type="dxa"/>
          </w:tcPr>
          <w:p w14:paraId="2CE4B459" w14:textId="77777777" w:rsidR="00C12166" w:rsidRPr="00C03CC6" w:rsidRDefault="00C12166" w:rsidP="00690E9E">
            <w:pPr>
              <w:spacing w:line="360" w:lineRule="auto"/>
              <w:rPr>
                <w:rFonts w:ascii="Times New Roman" w:hAnsi="Times New Roman" w:cs="Times New Roman"/>
                <w:b/>
                <w:bCs/>
                <w:sz w:val="18"/>
                <w:szCs w:val="18"/>
              </w:rPr>
            </w:pPr>
            <w:r w:rsidRPr="00C03CC6">
              <w:rPr>
                <w:rFonts w:ascii="Times New Roman" w:hAnsi="Times New Roman" w:cs="Times New Roman"/>
                <w:b/>
                <w:bCs/>
                <w:sz w:val="18"/>
                <w:szCs w:val="18"/>
              </w:rPr>
              <w:t>TNBS + ASA</w:t>
            </w:r>
          </w:p>
        </w:tc>
        <w:tc>
          <w:tcPr>
            <w:tcW w:w="1845" w:type="dxa"/>
          </w:tcPr>
          <w:p w14:paraId="5CE78662"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9.3 </w:t>
            </w:r>
            <w:r w:rsidRPr="00C03CC6">
              <w:rPr>
                <w:rFonts w:ascii="Times New Roman" w:eastAsia="Times New Roman" w:hAnsi="Times New Roman" w:cs="Times New Roman"/>
                <w:sz w:val="18"/>
                <w:szCs w:val="18"/>
              </w:rPr>
              <w:t xml:space="preserve">± 2.4 </w:t>
            </w:r>
          </w:p>
        </w:tc>
        <w:tc>
          <w:tcPr>
            <w:tcW w:w="1846" w:type="dxa"/>
          </w:tcPr>
          <w:p w14:paraId="391B4574"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6.43 </w:t>
            </w:r>
            <w:r w:rsidRPr="00C03CC6">
              <w:rPr>
                <w:rFonts w:ascii="Times New Roman" w:eastAsia="Times New Roman" w:hAnsi="Times New Roman" w:cs="Times New Roman"/>
                <w:sz w:val="18"/>
                <w:szCs w:val="18"/>
              </w:rPr>
              <w:t>± 0.30</w:t>
            </w:r>
          </w:p>
        </w:tc>
        <w:tc>
          <w:tcPr>
            <w:tcW w:w="1846" w:type="dxa"/>
          </w:tcPr>
          <w:p w14:paraId="66444389"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179 </w:t>
            </w:r>
            <w:r w:rsidRPr="00C03CC6">
              <w:rPr>
                <w:rFonts w:ascii="Times New Roman" w:eastAsia="Times New Roman" w:hAnsi="Times New Roman" w:cs="Times New Roman"/>
                <w:sz w:val="18"/>
                <w:szCs w:val="18"/>
              </w:rPr>
              <w:t>± 31.19</w:t>
            </w:r>
          </w:p>
        </w:tc>
        <w:tc>
          <w:tcPr>
            <w:tcW w:w="1846" w:type="dxa"/>
          </w:tcPr>
          <w:p w14:paraId="63DFDB26"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10.07 </w:t>
            </w:r>
            <w:r w:rsidRPr="00C03CC6">
              <w:rPr>
                <w:rFonts w:ascii="Times New Roman" w:eastAsia="Times New Roman" w:hAnsi="Times New Roman" w:cs="Times New Roman"/>
                <w:sz w:val="18"/>
                <w:szCs w:val="18"/>
              </w:rPr>
              <w:t>± 0.46</w:t>
            </w:r>
          </w:p>
        </w:tc>
      </w:tr>
      <w:tr w:rsidR="00C12166" w:rsidRPr="00C03CC6" w14:paraId="0A7CDBC2" w14:textId="77777777" w:rsidTr="00690E9E">
        <w:trPr>
          <w:trHeight w:val="367"/>
        </w:trPr>
        <w:tc>
          <w:tcPr>
            <w:tcW w:w="1845" w:type="dxa"/>
          </w:tcPr>
          <w:p w14:paraId="48F85AF4" w14:textId="77777777" w:rsidR="00C12166" w:rsidRPr="00C03CC6" w:rsidRDefault="00C12166" w:rsidP="00690E9E">
            <w:pPr>
              <w:spacing w:line="360" w:lineRule="auto"/>
              <w:rPr>
                <w:rFonts w:ascii="Times New Roman" w:hAnsi="Times New Roman" w:cs="Times New Roman"/>
                <w:b/>
                <w:bCs/>
                <w:sz w:val="18"/>
                <w:szCs w:val="18"/>
              </w:rPr>
            </w:pPr>
            <w:r w:rsidRPr="00C03CC6">
              <w:rPr>
                <w:rFonts w:ascii="Times New Roman" w:hAnsi="Times New Roman" w:cs="Times New Roman"/>
                <w:b/>
                <w:bCs/>
                <w:sz w:val="18"/>
                <w:szCs w:val="18"/>
              </w:rPr>
              <w:t>TNBS + BL</w:t>
            </w:r>
          </w:p>
        </w:tc>
        <w:tc>
          <w:tcPr>
            <w:tcW w:w="1845" w:type="dxa"/>
          </w:tcPr>
          <w:p w14:paraId="7AC6241E"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7.02 </w:t>
            </w:r>
            <w:r w:rsidRPr="00C03CC6">
              <w:rPr>
                <w:rFonts w:ascii="Times New Roman" w:eastAsia="Times New Roman" w:hAnsi="Times New Roman" w:cs="Times New Roman"/>
                <w:sz w:val="18"/>
                <w:szCs w:val="18"/>
              </w:rPr>
              <w:t>± 0.09</w:t>
            </w:r>
          </w:p>
        </w:tc>
        <w:tc>
          <w:tcPr>
            <w:tcW w:w="1846" w:type="dxa"/>
          </w:tcPr>
          <w:p w14:paraId="1E649F2B"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5.11 </w:t>
            </w:r>
            <w:r w:rsidRPr="00C03CC6">
              <w:rPr>
                <w:rFonts w:ascii="Times New Roman" w:eastAsia="Times New Roman" w:hAnsi="Times New Roman" w:cs="Times New Roman"/>
                <w:sz w:val="18"/>
                <w:szCs w:val="18"/>
              </w:rPr>
              <w:t>± 1.14</w:t>
            </w:r>
          </w:p>
        </w:tc>
        <w:tc>
          <w:tcPr>
            <w:tcW w:w="1846" w:type="dxa"/>
          </w:tcPr>
          <w:p w14:paraId="153AE94C"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108.5 </w:t>
            </w:r>
            <w:r w:rsidRPr="00C03CC6">
              <w:rPr>
                <w:rFonts w:ascii="Times New Roman" w:eastAsia="Times New Roman" w:hAnsi="Times New Roman" w:cs="Times New Roman"/>
                <w:sz w:val="18"/>
                <w:szCs w:val="18"/>
              </w:rPr>
              <w:t>± 5.06</w:t>
            </w:r>
            <w:r w:rsidRPr="001625E3">
              <w:rPr>
                <w:rFonts w:ascii="Times New Roman" w:eastAsia="Times New Roman" w:hAnsi="Times New Roman" w:cs="Times New Roman"/>
                <w:sz w:val="24"/>
                <w:szCs w:val="18"/>
                <w:vertAlign w:val="superscript"/>
              </w:rPr>
              <w:t>c</w:t>
            </w:r>
          </w:p>
        </w:tc>
        <w:tc>
          <w:tcPr>
            <w:tcW w:w="1846" w:type="dxa"/>
          </w:tcPr>
          <w:p w14:paraId="1014D6B0"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6.6 </w:t>
            </w:r>
            <w:r w:rsidRPr="00C03CC6">
              <w:rPr>
                <w:rFonts w:ascii="Times New Roman" w:eastAsia="Times New Roman" w:hAnsi="Times New Roman" w:cs="Times New Roman"/>
                <w:sz w:val="18"/>
                <w:szCs w:val="18"/>
              </w:rPr>
              <w:t>± 0.85</w:t>
            </w:r>
          </w:p>
        </w:tc>
      </w:tr>
      <w:tr w:rsidR="00C12166" w:rsidRPr="00C03CC6" w14:paraId="2AFDEB02" w14:textId="77777777" w:rsidTr="00690E9E">
        <w:trPr>
          <w:trHeight w:val="367"/>
        </w:trPr>
        <w:tc>
          <w:tcPr>
            <w:tcW w:w="1845" w:type="dxa"/>
          </w:tcPr>
          <w:p w14:paraId="73074F54" w14:textId="77777777" w:rsidR="00C12166" w:rsidRPr="00C03CC6" w:rsidRDefault="00C12166" w:rsidP="00690E9E">
            <w:pPr>
              <w:spacing w:line="360" w:lineRule="auto"/>
              <w:rPr>
                <w:rFonts w:ascii="Times New Roman" w:hAnsi="Times New Roman" w:cs="Times New Roman"/>
                <w:b/>
                <w:bCs/>
                <w:sz w:val="18"/>
                <w:szCs w:val="18"/>
              </w:rPr>
            </w:pPr>
            <w:r w:rsidRPr="00C03CC6">
              <w:rPr>
                <w:rFonts w:ascii="Times New Roman" w:hAnsi="Times New Roman" w:cs="Times New Roman"/>
                <w:b/>
                <w:bCs/>
                <w:sz w:val="18"/>
                <w:szCs w:val="18"/>
              </w:rPr>
              <w:t>TNBS + BB</w:t>
            </w:r>
          </w:p>
        </w:tc>
        <w:tc>
          <w:tcPr>
            <w:tcW w:w="1845" w:type="dxa"/>
          </w:tcPr>
          <w:p w14:paraId="7A7B5002"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6.9 </w:t>
            </w:r>
            <w:r w:rsidRPr="00C03CC6">
              <w:rPr>
                <w:rFonts w:ascii="Times New Roman" w:eastAsia="Times New Roman" w:hAnsi="Times New Roman" w:cs="Times New Roman"/>
                <w:sz w:val="18"/>
                <w:szCs w:val="18"/>
              </w:rPr>
              <w:t>± 0.98</w:t>
            </w:r>
          </w:p>
        </w:tc>
        <w:tc>
          <w:tcPr>
            <w:tcW w:w="1846" w:type="dxa"/>
          </w:tcPr>
          <w:p w14:paraId="67B95EBA"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4.94 </w:t>
            </w:r>
            <w:r w:rsidRPr="00C03CC6">
              <w:rPr>
                <w:rFonts w:ascii="Times New Roman" w:eastAsia="Times New Roman" w:hAnsi="Times New Roman" w:cs="Times New Roman"/>
                <w:sz w:val="18"/>
                <w:szCs w:val="18"/>
              </w:rPr>
              <w:t>± 0.60</w:t>
            </w:r>
          </w:p>
        </w:tc>
        <w:tc>
          <w:tcPr>
            <w:tcW w:w="1846" w:type="dxa"/>
          </w:tcPr>
          <w:p w14:paraId="4D73E51A"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71.67 </w:t>
            </w:r>
            <w:r w:rsidRPr="00C03CC6">
              <w:rPr>
                <w:rFonts w:ascii="Times New Roman" w:eastAsia="Times New Roman" w:hAnsi="Times New Roman" w:cs="Times New Roman"/>
                <w:sz w:val="18"/>
                <w:szCs w:val="18"/>
              </w:rPr>
              <w:t>± 7.96</w:t>
            </w:r>
          </w:p>
        </w:tc>
        <w:tc>
          <w:tcPr>
            <w:tcW w:w="1846" w:type="dxa"/>
          </w:tcPr>
          <w:p w14:paraId="722906FC"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6.05 </w:t>
            </w:r>
            <w:r w:rsidRPr="00C03CC6">
              <w:rPr>
                <w:rFonts w:ascii="Times New Roman" w:eastAsia="Times New Roman" w:hAnsi="Times New Roman" w:cs="Times New Roman"/>
                <w:sz w:val="18"/>
                <w:szCs w:val="18"/>
              </w:rPr>
              <w:t>± 2.35</w:t>
            </w:r>
          </w:p>
        </w:tc>
      </w:tr>
      <w:tr w:rsidR="00C12166" w:rsidRPr="00C03CC6" w14:paraId="3D2CC2E4" w14:textId="77777777" w:rsidTr="00690E9E">
        <w:trPr>
          <w:trHeight w:val="383"/>
        </w:trPr>
        <w:tc>
          <w:tcPr>
            <w:tcW w:w="1845" w:type="dxa"/>
          </w:tcPr>
          <w:p w14:paraId="6A2D7022" w14:textId="77777777" w:rsidR="00C12166" w:rsidRPr="00C03CC6" w:rsidRDefault="00C12166" w:rsidP="00690E9E">
            <w:pPr>
              <w:spacing w:line="360" w:lineRule="auto"/>
              <w:rPr>
                <w:rFonts w:ascii="Times New Roman" w:hAnsi="Times New Roman" w:cs="Times New Roman"/>
                <w:b/>
                <w:bCs/>
                <w:sz w:val="18"/>
                <w:szCs w:val="18"/>
              </w:rPr>
            </w:pPr>
            <w:r w:rsidRPr="00C03CC6">
              <w:rPr>
                <w:rFonts w:ascii="Times New Roman" w:hAnsi="Times New Roman" w:cs="Times New Roman"/>
                <w:b/>
                <w:bCs/>
                <w:sz w:val="18"/>
                <w:szCs w:val="18"/>
              </w:rPr>
              <w:t>TNBS + BL &amp; BB</w:t>
            </w:r>
          </w:p>
        </w:tc>
        <w:tc>
          <w:tcPr>
            <w:tcW w:w="1845" w:type="dxa"/>
          </w:tcPr>
          <w:p w14:paraId="6C33C255"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6.7 </w:t>
            </w:r>
            <w:r w:rsidRPr="00C03CC6">
              <w:rPr>
                <w:rFonts w:ascii="Times New Roman" w:eastAsia="Times New Roman" w:hAnsi="Times New Roman" w:cs="Times New Roman"/>
                <w:sz w:val="18"/>
                <w:szCs w:val="18"/>
              </w:rPr>
              <w:t>± 0.94</w:t>
            </w:r>
          </w:p>
        </w:tc>
        <w:tc>
          <w:tcPr>
            <w:tcW w:w="1846" w:type="dxa"/>
          </w:tcPr>
          <w:p w14:paraId="18B32BFF"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5.29 </w:t>
            </w:r>
            <w:r w:rsidRPr="00C03CC6">
              <w:rPr>
                <w:rFonts w:ascii="Times New Roman" w:eastAsia="Times New Roman" w:hAnsi="Times New Roman" w:cs="Times New Roman"/>
                <w:sz w:val="18"/>
                <w:szCs w:val="18"/>
              </w:rPr>
              <w:t>± 0.78</w:t>
            </w:r>
          </w:p>
        </w:tc>
        <w:tc>
          <w:tcPr>
            <w:tcW w:w="1846" w:type="dxa"/>
          </w:tcPr>
          <w:p w14:paraId="2CAB8584" w14:textId="77777777" w:rsidR="00C12166" w:rsidRPr="00C03CC6" w:rsidRDefault="00C12166" w:rsidP="00690E9E">
            <w:pPr>
              <w:spacing w:line="360" w:lineRule="auto"/>
              <w:rPr>
                <w:rFonts w:ascii="Times New Roman" w:hAnsi="Times New Roman" w:cs="Times New Roman"/>
              </w:rPr>
            </w:pPr>
            <w:r w:rsidRPr="00C03CC6">
              <w:rPr>
                <w:rFonts w:ascii="Times New Roman" w:hAnsi="Times New Roman" w:cs="Times New Roman"/>
                <w:sz w:val="18"/>
                <w:szCs w:val="18"/>
              </w:rPr>
              <w:t xml:space="preserve">180.4 </w:t>
            </w:r>
            <w:r w:rsidRPr="00C03CC6">
              <w:rPr>
                <w:rFonts w:ascii="Times New Roman" w:eastAsia="Times New Roman" w:hAnsi="Times New Roman" w:cs="Times New Roman"/>
                <w:sz w:val="18"/>
                <w:szCs w:val="18"/>
              </w:rPr>
              <w:t>± 25.91</w:t>
            </w:r>
            <w:r w:rsidRPr="001625E3">
              <w:rPr>
                <w:rFonts w:ascii="Times New Roman" w:eastAsia="Times New Roman" w:hAnsi="Times New Roman" w:cs="Times New Roman"/>
                <w:sz w:val="24"/>
                <w:szCs w:val="18"/>
                <w:vertAlign w:val="superscript"/>
              </w:rPr>
              <w:t>d</w:t>
            </w:r>
          </w:p>
        </w:tc>
        <w:tc>
          <w:tcPr>
            <w:tcW w:w="1846" w:type="dxa"/>
          </w:tcPr>
          <w:p w14:paraId="4B2DF56A" w14:textId="77777777" w:rsidR="00C12166" w:rsidRPr="00C03CC6" w:rsidRDefault="00C12166" w:rsidP="00690E9E">
            <w:pPr>
              <w:spacing w:line="360" w:lineRule="auto"/>
              <w:rPr>
                <w:rFonts w:ascii="Times New Roman" w:hAnsi="Times New Roman" w:cs="Times New Roman"/>
                <w:sz w:val="18"/>
                <w:szCs w:val="18"/>
              </w:rPr>
            </w:pPr>
            <w:r w:rsidRPr="00C03CC6">
              <w:rPr>
                <w:rFonts w:ascii="Times New Roman" w:hAnsi="Times New Roman" w:cs="Times New Roman"/>
                <w:sz w:val="18"/>
                <w:szCs w:val="18"/>
              </w:rPr>
              <w:t xml:space="preserve">6.12 </w:t>
            </w:r>
            <w:r w:rsidRPr="00C03CC6">
              <w:rPr>
                <w:rFonts w:ascii="Times New Roman" w:eastAsia="Times New Roman" w:hAnsi="Times New Roman" w:cs="Times New Roman"/>
                <w:sz w:val="18"/>
                <w:szCs w:val="18"/>
              </w:rPr>
              <w:t>± 1.25</w:t>
            </w:r>
          </w:p>
        </w:tc>
      </w:tr>
    </w:tbl>
    <w:p w14:paraId="793D876E" w14:textId="77777777" w:rsidR="00C12166" w:rsidRPr="004D3D2B" w:rsidRDefault="00C12166" w:rsidP="00C12166">
      <w:pPr>
        <w:pStyle w:val="ListParagraph"/>
        <w:tabs>
          <w:tab w:val="left" w:pos="720"/>
          <w:tab w:val="left" w:pos="990"/>
        </w:tabs>
        <w:spacing w:after="0" w:line="360" w:lineRule="auto"/>
        <w:ind w:left="0" w:right="-90"/>
        <w:jc w:val="center"/>
        <w:rPr>
          <w:rFonts w:ascii="Times New Roman" w:hAnsi="Times New Roman" w:cs="Times New Roman"/>
          <w:i/>
          <w:iCs/>
          <w:sz w:val="20"/>
          <w:szCs w:val="20"/>
        </w:rPr>
      </w:pPr>
      <w:r>
        <w:rPr>
          <w:rFonts w:ascii="Times New Roman" w:hAnsi="Times New Roman" w:cs="Times New Roman"/>
          <w:sz w:val="20"/>
          <w:szCs w:val="20"/>
        </w:rPr>
        <w:t>Abbr</w:t>
      </w:r>
      <w:r w:rsidRPr="00C03CC6">
        <w:rPr>
          <w:rFonts w:ascii="Times New Roman" w:hAnsi="Times New Roman" w:cs="Times New Roman"/>
          <w:sz w:val="20"/>
          <w:szCs w:val="20"/>
        </w:rPr>
        <w:t>. TNBS: TNBS treated rats, ASA: Amino salicylic acid, BL</w:t>
      </w:r>
      <w:r w:rsidRPr="00C03CC6">
        <w:rPr>
          <w:rFonts w:ascii="Times New Roman" w:hAnsi="Times New Roman" w:cs="Times New Roman"/>
          <w:i/>
          <w:iCs/>
          <w:sz w:val="20"/>
          <w:szCs w:val="20"/>
        </w:rPr>
        <w:t xml:space="preserve">: B. licheniformis, </w:t>
      </w:r>
      <w:r w:rsidRPr="00C03CC6">
        <w:rPr>
          <w:rFonts w:ascii="Times New Roman" w:hAnsi="Times New Roman" w:cs="Times New Roman"/>
          <w:sz w:val="20"/>
          <w:szCs w:val="20"/>
        </w:rPr>
        <w:t>BB</w:t>
      </w:r>
      <w:r w:rsidRPr="00C03CC6">
        <w:rPr>
          <w:rFonts w:ascii="Times New Roman" w:hAnsi="Times New Roman" w:cs="Times New Roman"/>
          <w:i/>
          <w:iCs/>
          <w:sz w:val="20"/>
          <w:szCs w:val="20"/>
        </w:rPr>
        <w:t xml:space="preserve">: Bf.  breve. </w:t>
      </w:r>
      <w:r w:rsidRPr="00C03CC6">
        <w:rPr>
          <w:rFonts w:ascii="Times New Roman" w:hAnsi="Times New Roman" w:cs="Times New Roman"/>
          <w:sz w:val="20"/>
          <w:szCs w:val="20"/>
        </w:rPr>
        <w:t>P-value = &lt;0.05</w:t>
      </w:r>
      <w:r w:rsidRPr="00C03CC6">
        <w:rPr>
          <w:rFonts w:ascii="Times New Roman" w:hAnsi="Times New Roman" w:cs="Times New Roman"/>
          <w:i/>
          <w:iCs/>
          <w:sz w:val="20"/>
          <w:szCs w:val="20"/>
        </w:rPr>
        <w:t>.</w:t>
      </w:r>
      <w:r>
        <w:rPr>
          <w:rFonts w:ascii="Times New Roman" w:hAnsi="Times New Roman" w:cs="Times New Roman"/>
          <w:i/>
          <w:iCs/>
          <w:sz w:val="20"/>
          <w:szCs w:val="20"/>
        </w:rPr>
        <w:t xml:space="preserve"> </w:t>
      </w:r>
      <w:r w:rsidRPr="004313D6">
        <w:rPr>
          <w:rFonts w:ascii="Times New Roman" w:hAnsi="Times New Roman" w:cs="Times New Roman"/>
          <w:iCs/>
          <w:sz w:val="20"/>
          <w:szCs w:val="20"/>
        </w:rPr>
        <w:t>P</w:t>
      </w:r>
      <w:r>
        <w:rPr>
          <w:rFonts w:ascii="Times New Roman" w:hAnsi="Times New Roman" w:cs="Times New Roman"/>
          <w:iCs/>
          <w:sz w:val="20"/>
          <w:szCs w:val="20"/>
        </w:rPr>
        <w:t xml:space="preserve"> value = &lt;0.05 (</w:t>
      </w:r>
      <w:r w:rsidRPr="004313D6">
        <w:rPr>
          <w:rFonts w:ascii="Times New Roman" w:hAnsi="Times New Roman" w:cs="Times New Roman"/>
          <w:iCs/>
          <w:sz w:val="28"/>
          <w:szCs w:val="20"/>
          <w:vertAlign w:val="superscript"/>
        </w:rPr>
        <w:t>a</w:t>
      </w:r>
      <w:r>
        <w:rPr>
          <w:rFonts w:ascii="Times New Roman" w:hAnsi="Times New Roman" w:cs="Times New Roman"/>
          <w:iCs/>
          <w:sz w:val="20"/>
          <w:szCs w:val="20"/>
        </w:rPr>
        <w:t xml:space="preserve">=0.01, </w:t>
      </w:r>
      <w:r w:rsidRPr="004313D6">
        <w:rPr>
          <w:rFonts w:ascii="Times New Roman" w:hAnsi="Times New Roman" w:cs="Times New Roman"/>
          <w:iCs/>
          <w:sz w:val="28"/>
          <w:szCs w:val="20"/>
          <w:vertAlign w:val="superscript"/>
        </w:rPr>
        <w:t>b</w:t>
      </w:r>
      <w:r>
        <w:rPr>
          <w:rFonts w:ascii="Times New Roman" w:hAnsi="Times New Roman" w:cs="Times New Roman"/>
          <w:iCs/>
          <w:sz w:val="20"/>
          <w:szCs w:val="20"/>
        </w:rPr>
        <w:t>=0.002</w:t>
      </w:r>
      <w:r w:rsidRPr="004313D6">
        <w:rPr>
          <w:rFonts w:ascii="Times New Roman" w:hAnsi="Times New Roman" w:cs="Times New Roman"/>
          <w:iCs/>
          <w:sz w:val="20"/>
          <w:szCs w:val="20"/>
        </w:rPr>
        <w:t xml:space="preserve">, </w:t>
      </w:r>
      <w:r w:rsidRPr="004313D6">
        <w:rPr>
          <w:rFonts w:ascii="Times New Roman" w:hAnsi="Times New Roman" w:cs="Times New Roman"/>
          <w:iCs/>
          <w:sz w:val="28"/>
          <w:szCs w:val="20"/>
          <w:vertAlign w:val="superscript"/>
        </w:rPr>
        <w:t>c</w:t>
      </w:r>
      <w:r w:rsidRPr="004313D6">
        <w:rPr>
          <w:rFonts w:ascii="Times New Roman" w:hAnsi="Times New Roman" w:cs="Times New Roman"/>
          <w:iCs/>
          <w:sz w:val="20"/>
          <w:szCs w:val="20"/>
        </w:rPr>
        <w:t xml:space="preserve">=0.0002, </w:t>
      </w:r>
      <w:r w:rsidRPr="004313D6">
        <w:rPr>
          <w:rFonts w:ascii="Times New Roman" w:hAnsi="Times New Roman" w:cs="Times New Roman"/>
          <w:iCs/>
          <w:sz w:val="24"/>
          <w:szCs w:val="20"/>
          <w:vertAlign w:val="superscript"/>
        </w:rPr>
        <w:t>d</w:t>
      </w:r>
      <w:r w:rsidRPr="004313D6">
        <w:rPr>
          <w:rFonts w:ascii="Times New Roman" w:hAnsi="Times New Roman" w:cs="Times New Roman"/>
          <w:iCs/>
          <w:sz w:val="20"/>
          <w:szCs w:val="20"/>
        </w:rPr>
        <w:t>= &lt;0.0001).</w:t>
      </w:r>
    </w:p>
    <w:p w14:paraId="488188A9" w14:textId="77777777" w:rsidR="00C12166" w:rsidRPr="004D3D2B" w:rsidRDefault="00C12166" w:rsidP="00C12166">
      <w:pPr>
        <w:spacing w:after="0" w:line="360" w:lineRule="auto"/>
        <w:rPr>
          <w:rFonts w:ascii="Times New Roman" w:hAnsi="Times New Roman" w:cs="Times New Roman"/>
          <w:sz w:val="20"/>
          <w:szCs w:val="20"/>
        </w:rPr>
      </w:pPr>
    </w:p>
    <w:p w14:paraId="2C64A56B" w14:textId="77777777" w:rsidR="00C12166" w:rsidRPr="00C03CC6" w:rsidRDefault="00C12166" w:rsidP="00C12166">
      <w:pPr>
        <w:spacing w:after="0" w:line="360" w:lineRule="auto"/>
        <w:rPr>
          <w:rFonts w:ascii="Times New Roman" w:hAnsi="Times New Roman" w:cs="Times New Roman"/>
        </w:rPr>
      </w:pPr>
    </w:p>
    <w:p w14:paraId="2C2AD489" w14:textId="77777777" w:rsidR="00C12166" w:rsidRDefault="00C12166" w:rsidP="00C12166">
      <w:pPr>
        <w:rPr>
          <w:rFonts w:ascii="Times New Roman" w:hAnsi="Times New Roman" w:cs="Times New Roman"/>
          <w:sz w:val="24"/>
          <w:szCs w:val="24"/>
        </w:rPr>
      </w:pPr>
    </w:p>
    <w:p w14:paraId="587B8E9F" w14:textId="77777777" w:rsidR="00C12166" w:rsidRDefault="00C12166"/>
    <w:sectPr w:rsidR="00C12166" w:rsidSect="00550DEE">
      <w:footerReference w:type="default" r:id="rId4"/>
      <w:pgSz w:w="12240" w:h="15840"/>
      <w:pgMar w:top="1080" w:right="1440" w:bottom="99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747364"/>
      <w:docPartObj>
        <w:docPartGallery w:val="Page Numbers (Bottom of Page)"/>
        <w:docPartUnique/>
      </w:docPartObj>
    </w:sdtPr>
    <w:sdtEndPr>
      <w:rPr>
        <w:noProof/>
      </w:rPr>
    </w:sdtEndPr>
    <w:sdtContent>
      <w:p w14:paraId="02285D5F" w14:textId="77777777" w:rsidR="003421E8" w:rsidRDefault="00C12166">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14:paraId="6192B191" w14:textId="77777777" w:rsidR="003421E8" w:rsidRDefault="00C1216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66"/>
    <w:rsid w:val="00C121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7297"/>
  <w15:chartTrackingRefBased/>
  <w15:docId w15:val="{469A1A5C-1079-4492-9C3D-BC747766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166"/>
    <w:rPr>
      <w:lang w:val="en-US"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166"/>
    <w:pPr>
      <w:ind w:left="720"/>
      <w:contextualSpacing/>
    </w:pPr>
  </w:style>
  <w:style w:type="table" w:styleId="TableGrid">
    <w:name w:val="Table Grid"/>
    <w:basedOn w:val="TableNormal"/>
    <w:uiPriority w:val="39"/>
    <w:rsid w:val="00C12166"/>
    <w:pPr>
      <w:spacing w:after="0" w:line="240" w:lineRule="auto"/>
    </w:pPr>
    <w:rPr>
      <w:lang w:val="en-US" w:bidi="k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1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166"/>
    <w:rPr>
      <w:lang w:val="en-US" w:bidi="kn-IN"/>
    </w:rPr>
  </w:style>
  <w:style w:type="character" w:styleId="LineNumber">
    <w:name w:val="line number"/>
    <w:basedOn w:val="DefaultParagraphFont"/>
    <w:uiPriority w:val="99"/>
    <w:semiHidden/>
    <w:unhideWhenUsed/>
    <w:rsid w:val="00C1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2493</Words>
  <Characters>14211</Characters>
  <Application>Microsoft Office Word</Application>
  <DocSecurity>0</DocSecurity>
  <Lines>118</Lines>
  <Paragraphs>33</Paragraphs>
  <ScaleCrop>false</ScaleCrop>
  <Company>Springer Nature</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2023-01-27T15:16:00Z</dcterms:created>
  <dcterms:modified xsi:type="dcterms:W3CDTF">2023-01-27T15:17:00Z</dcterms:modified>
</cp:coreProperties>
</file>