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2A8D1" w14:textId="2DE774A0" w:rsidR="005C118D" w:rsidRPr="005D53F8" w:rsidRDefault="007D3106">
      <w:pPr>
        <w:rPr>
          <w:rFonts w:asciiTheme="minorBidi" w:hAnsiTheme="minorBidi"/>
        </w:rPr>
      </w:pPr>
      <w:r w:rsidRPr="005D53F8">
        <w:rPr>
          <w:rFonts w:asciiTheme="minorBidi" w:hAnsiTheme="minorBidi"/>
        </w:rPr>
        <w:t>Supplementary material for paper “</w:t>
      </w:r>
      <w:r w:rsidR="0009583B" w:rsidRPr="005D53F8">
        <w:rPr>
          <w:rFonts w:asciiTheme="minorBidi" w:hAnsiTheme="minorBidi"/>
          <w:color w:val="000000" w:themeColor="text1"/>
        </w:rPr>
        <w:t>Innovative solid desiccant dehumidification using distributed microwaves</w:t>
      </w:r>
      <w:r w:rsidRPr="005D53F8">
        <w:rPr>
          <w:rFonts w:asciiTheme="minorBidi" w:hAnsiTheme="minorBidi"/>
        </w:rPr>
        <w:t>”</w:t>
      </w:r>
    </w:p>
    <w:p w14:paraId="6BA2DE2B" w14:textId="77777777" w:rsidR="00C75A5A" w:rsidRPr="00C75A5A" w:rsidRDefault="00C75A5A" w:rsidP="00C75A5A">
      <w:pPr>
        <w:rPr>
          <w:rFonts w:asciiTheme="minorBidi" w:hAnsiTheme="minorBidi"/>
          <w:b/>
          <w:sz w:val="16"/>
          <w:szCs w:val="16"/>
        </w:rPr>
      </w:pPr>
      <w:r w:rsidRPr="00C75A5A">
        <w:rPr>
          <w:rFonts w:asciiTheme="minorBidi" w:hAnsiTheme="minorBidi"/>
          <w:b/>
          <w:sz w:val="16"/>
          <w:szCs w:val="16"/>
        </w:rPr>
        <w:t>Doskhan Ybyraiymkul</w:t>
      </w:r>
      <w:r w:rsidRPr="00C75A5A">
        <w:rPr>
          <w:rFonts w:asciiTheme="minorBidi" w:hAnsiTheme="minorBidi"/>
          <w:bCs/>
          <w:sz w:val="16"/>
          <w:szCs w:val="16"/>
          <w:vertAlign w:val="superscript"/>
        </w:rPr>
        <w:t>1,*</w:t>
      </w:r>
      <w:r w:rsidRPr="00C75A5A">
        <w:rPr>
          <w:rFonts w:asciiTheme="minorBidi" w:hAnsiTheme="minorBidi"/>
          <w:b/>
          <w:sz w:val="16"/>
          <w:szCs w:val="16"/>
        </w:rPr>
        <w:t>, Qian Chen</w:t>
      </w:r>
      <w:r w:rsidRPr="00C75A5A">
        <w:rPr>
          <w:rFonts w:asciiTheme="minorBidi" w:hAnsiTheme="minorBidi"/>
          <w:bCs/>
          <w:sz w:val="16"/>
          <w:szCs w:val="16"/>
          <w:vertAlign w:val="superscript"/>
        </w:rPr>
        <w:t>2</w:t>
      </w:r>
      <w:r w:rsidRPr="00C75A5A">
        <w:rPr>
          <w:rFonts w:asciiTheme="minorBidi" w:hAnsiTheme="minorBidi"/>
          <w:b/>
          <w:sz w:val="16"/>
          <w:szCs w:val="16"/>
        </w:rPr>
        <w:t>, Muhammad Burhan</w:t>
      </w:r>
      <w:r w:rsidRPr="00C75A5A">
        <w:rPr>
          <w:rFonts w:asciiTheme="minorBidi" w:hAnsiTheme="minorBidi"/>
          <w:bCs/>
          <w:sz w:val="16"/>
          <w:szCs w:val="16"/>
          <w:vertAlign w:val="superscript"/>
        </w:rPr>
        <w:t>1</w:t>
      </w:r>
      <w:r w:rsidRPr="00C75A5A">
        <w:rPr>
          <w:rFonts w:asciiTheme="minorBidi" w:hAnsiTheme="minorBidi"/>
          <w:b/>
          <w:sz w:val="16"/>
          <w:szCs w:val="16"/>
        </w:rPr>
        <w:t>, Faheem Hassan Akhtar</w:t>
      </w:r>
      <w:r w:rsidRPr="00C75A5A">
        <w:rPr>
          <w:rFonts w:asciiTheme="minorBidi" w:hAnsiTheme="minorBidi"/>
          <w:bCs/>
          <w:sz w:val="16"/>
          <w:szCs w:val="16"/>
          <w:vertAlign w:val="superscript"/>
        </w:rPr>
        <w:t>3</w:t>
      </w:r>
      <w:r w:rsidRPr="00C75A5A">
        <w:rPr>
          <w:rFonts w:asciiTheme="minorBidi" w:hAnsiTheme="minorBidi"/>
          <w:b/>
          <w:sz w:val="16"/>
          <w:szCs w:val="16"/>
        </w:rPr>
        <w:t>, Raid AlRowais</w:t>
      </w:r>
      <w:r w:rsidRPr="00C75A5A">
        <w:rPr>
          <w:rFonts w:asciiTheme="minorBidi" w:hAnsiTheme="minorBidi"/>
          <w:bCs/>
          <w:sz w:val="16"/>
          <w:szCs w:val="16"/>
          <w:vertAlign w:val="superscript"/>
        </w:rPr>
        <w:t>4</w:t>
      </w:r>
      <w:r w:rsidRPr="00C75A5A">
        <w:rPr>
          <w:rFonts w:asciiTheme="minorBidi" w:hAnsiTheme="minorBidi"/>
          <w:b/>
          <w:sz w:val="16"/>
          <w:szCs w:val="16"/>
        </w:rPr>
        <w:t>, Muhammad Wakil Shahzad</w:t>
      </w:r>
      <w:r w:rsidRPr="00C75A5A">
        <w:rPr>
          <w:rFonts w:asciiTheme="minorBidi" w:hAnsiTheme="minorBidi"/>
          <w:bCs/>
          <w:sz w:val="16"/>
          <w:szCs w:val="16"/>
          <w:vertAlign w:val="superscript"/>
        </w:rPr>
        <w:t>5</w:t>
      </w:r>
      <w:r w:rsidRPr="00C75A5A">
        <w:rPr>
          <w:rFonts w:asciiTheme="minorBidi" w:hAnsiTheme="minorBidi"/>
          <w:b/>
          <w:sz w:val="16"/>
          <w:szCs w:val="16"/>
        </w:rPr>
        <w:t>, M Kum Ja</w:t>
      </w:r>
      <w:r w:rsidRPr="00C75A5A">
        <w:rPr>
          <w:rFonts w:asciiTheme="minorBidi" w:hAnsiTheme="minorBidi"/>
          <w:bCs/>
          <w:sz w:val="16"/>
          <w:szCs w:val="16"/>
          <w:vertAlign w:val="superscript"/>
        </w:rPr>
        <w:t>1</w:t>
      </w:r>
      <w:r w:rsidRPr="00C75A5A">
        <w:rPr>
          <w:rFonts w:asciiTheme="minorBidi" w:hAnsiTheme="minorBidi"/>
          <w:b/>
          <w:sz w:val="16"/>
          <w:szCs w:val="16"/>
        </w:rPr>
        <w:t>, and Kim Choon Ng</w:t>
      </w:r>
      <w:r w:rsidRPr="00C75A5A">
        <w:rPr>
          <w:rFonts w:asciiTheme="minorBidi" w:hAnsiTheme="minorBidi"/>
          <w:bCs/>
          <w:sz w:val="16"/>
          <w:szCs w:val="16"/>
          <w:vertAlign w:val="superscript"/>
        </w:rPr>
        <w:t>1,*</w:t>
      </w:r>
    </w:p>
    <w:p w14:paraId="62320D8E" w14:textId="77777777" w:rsidR="00C75A5A" w:rsidRPr="00C75A5A" w:rsidRDefault="00C75A5A" w:rsidP="00C75A5A">
      <w:pPr>
        <w:rPr>
          <w:rFonts w:asciiTheme="minorBidi" w:hAnsiTheme="minorBidi"/>
          <w:sz w:val="16"/>
          <w:szCs w:val="16"/>
        </w:rPr>
      </w:pPr>
      <w:r w:rsidRPr="00C75A5A">
        <w:rPr>
          <w:rFonts w:asciiTheme="minorBidi" w:hAnsiTheme="minorBidi"/>
          <w:sz w:val="16"/>
          <w:szCs w:val="16"/>
          <w:vertAlign w:val="superscript"/>
        </w:rPr>
        <w:t>1</w:t>
      </w:r>
      <w:r w:rsidRPr="00C75A5A">
        <w:rPr>
          <w:rFonts w:asciiTheme="minorBidi" w:hAnsiTheme="minorBidi"/>
          <w:sz w:val="16"/>
          <w:szCs w:val="16"/>
        </w:rPr>
        <w:t xml:space="preserve"> Water Desalination and Reuse Center, BESE Division, King Abdullah University of Science and Technology, </w:t>
      </w:r>
      <w:proofErr w:type="spellStart"/>
      <w:r w:rsidRPr="00C75A5A">
        <w:rPr>
          <w:rFonts w:asciiTheme="minorBidi" w:hAnsiTheme="minorBidi"/>
          <w:sz w:val="16"/>
          <w:szCs w:val="16"/>
        </w:rPr>
        <w:t>Thuwal</w:t>
      </w:r>
      <w:proofErr w:type="spellEnd"/>
      <w:r w:rsidRPr="00C75A5A">
        <w:rPr>
          <w:rFonts w:asciiTheme="minorBidi" w:hAnsiTheme="minorBidi"/>
          <w:sz w:val="16"/>
          <w:szCs w:val="16"/>
        </w:rPr>
        <w:t>, 23955, Saudi Arabia</w:t>
      </w:r>
    </w:p>
    <w:p w14:paraId="353EFD31" w14:textId="77777777" w:rsidR="00C75A5A" w:rsidRPr="00C75A5A" w:rsidRDefault="00C75A5A" w:rsidP="00C75A5A">
      <w:pPr>
        <w:rPr>
          <w:rFonts w:asciiTheme="minorBidi" w:hAnsiTheme="minorBidi"/>
          <w:sz w:val="16"/>
          <w:szCs w:val="16"/>
        </w:rPr>
      </w:pPr>
      <w:r w:rsidRPr="00C75A5A">
        <w:rPr>
          <w:rFonts w:asciiTheme="minorBidi" w:hAnsiTheme="minorBidi"/>
          <w:sz w:val="16"/>
          <w:szCs w:val="16"/>
          <w:vertAlign w:val="superscript"/>
        </w:rPr>
        <w:t>2</w:t>
      </w:r>
      <w:r w:rsidRPr="00C75A5A">
        <w:rPr>
          <w:rFonts w:asciiTheme="minorBidi" w:hAnsiTheme="minorBidi"/>
          <w:sz w:val="16"/>
          <w:szCs w:val="16"/>
        </w:rPr>
        <w:t>Institute of Ocean Engineering, Tsinghua University, Beijing, 100190, China</w:t>
      </w:r>
    </w:p>
    <w:p w14:paraId="4C841D43" w14:textId="77777777" w:rsidR="00C75A5A" w:rsidRPr="00C75A5A" w:rsidRDefault="00C75A5A" w:rsidP="00C75A5A">
      <w:pPr>
        <w:rPr>
          <w:rFonts w:asciiTheme="minorBidi" w:hAnsiTheme="minorBidi"/>
          <w:sz w:val="16"/>
          <w:szCs w:val="16"/>
        </w:rPr>
      </w:pPr>
      <w:r w:rsidRPr="00C75A5A">
        <w:rPr>
          <w:rFonts w:asciiTheme="minorBidi" w:hAnsiTheme="minorBidi"/>
          <w:sz w:val="16"/>
          <w:szCs w:val="16"/>
          <w:vertAlign w:val="superscript"/>
        </w:rPr>
        <w:t>3</w:t>
      </w:r>
      <w:r w:rsidRPr="00C75A5A">
        <w:rPr>
          <w:rFonts w:asciiTheme="minorBidi" w:hAnsiTheme="minorBidi"/>
          <w:sz w:val="16"/>
          <w:szCs w:val="16"/>
        </w:rPr>
        <w:t>Department of Chemistry &amp; Chemical Engineering, Lahore University of Management Sciences, Lahore, 54792, Pakistan</w:t>
      </w:r>
    </w:p>
    <w:p w14:paraId="036372BA" w14:textId="77777777" w:rsidR="00C75A5A" w:rsidRPr="00C75A5A" w:rsidRDefault="00C75A5A" w:rsidP="00C75A5A">
      <w:pPr>
        <w:rPr>
          <w:rFonts w:asciiTheme="minorBidi" w:hAnsiTheme="minorBidi"/>
          <w:sz w:val="16"/>
          <w:szCs w:val="16"/>
        </w:rPr>
      </w:pPr>
      <w:r w:rsidRPr="00C75A5A">
        <w:rPr>
          <w:rFonts w:asciiTheme="minorBidi" w:hAnsiTheme="minorBidi"/>
          <w:sz w:val="16"/>
          <w:szCs w:val="16"/>
          <w:vertAlign w:val="superscript"/>
        </w:rPr>
        <w:t>4</w:t>
      </w:r>
      <w:r w:rsidRPr="00C75A5A">
        <w:rPr>
          <w:rFonts w:asciiTheme="minorBidi" w:hAnsiTheme="minorBidi"/>
          <w:sz w:val="16"/>
          <w:szCs w:val="16"/>
        </w:rPr>
        <w:t>Civil Engineering Department, Jouf University, Jouf, 72388, Saudi Arabia</w:t>
      </w:r>
    </w:p>
    <w:p w14:paraId="193505D1" w14:textId="77777777" w:rsidR="00C75A5A" w:rsidRPr="00C75A5A" w:rsidRDefault="00C75A5A" w:rsidP="00C75A5A">
      <w:pPr>
        <w:rPr>
          <w:rFonts w:asciiTheme="minorBidi" w:hAnsiTheme="minorBidi"/>
          <w:sz w:val="16"/>
          <w:szCs w:val="16"/>
        </w:rPr>
      </w:pPr>
      <w:r w:rsidRPr="00C75A5A">
        <w:rPr>
          <w:rFonts w:asciiTheme="minorBidi" w:hAnsiTheme="minorBidi"/>
          <w:sz w:val="16"/>
          <w:szCs w:val="16"/>
          <w:vertAlign w:val="superscript"/>
        </w:rPr>
        <w:t>5</w:t>
      </w:r>
      <w:r w:rsidRPr="00C75A5A">
        <w:rPr>
          <w:rFonts w:asciiTheme="minorBidi" w:hAnsiTheme="minorBidi"/>
          <w:sz w:val="16"/>
          <w:szCs w:val="16"/>
        </w:rPr>
        <w:t xml:space="preserve">Mechanical &amp; Construction Engineering Department, Northumbria University, Newcastle </w:t>
      </w:r>
      <w:proofErr w:type="gramStart"/>
      <w:r w:rsidRPr="00C75A5A">
        <w:rPr>
          <w:rFonts w:asciiTheme="minorBidi" w:hAnsiTheme="minorBidi"/>
          <w:sz w:val="16"/>
          <w:szCs w:val="16"/>
        </w:rPr>
        <w:t>Upon</w:t>
      </w:r>
      <w:proofErr w:type="gramEnd"/>
      <w:r w:rsidRPr="00C75A5A">
        <w:rPr>
          <w:rFonts w:asciiTheme="minorBidi" w:hAnsiTheme="minorBidi"/>
          <w:sz w:val="16"/>
          <w:szCs w:val="16"/>
        </w:rPr>
        <w:t xml:space="preserve"> Tyne, NE7-7XA, UK</w:t>
      </w:r>
    </w:p>
    <w:p w14:paraId="222CD7E7" w14:textId="0AD45E66" w:rsidR="00C75A5A" w:rsidRDefault="00C75A5A" w:rsidP="00C75A5A">
      <w:pPr>
        <w:rPr>
          <w:rFonts w:asciiTheme="minorBidi" w:hAnsiTheme="minorBidi"/>
          <w:sz w:val="16"/>
          <w:szCs w:val="16"/>
        </w:rPr>
      </w:pPr>
      <w:hyperlink r:id="rId5" w:history="1">
        <w:r w:rsidRPr="005123F1">
          <w:rPr>
            <w:rStyle w:val="Hyperlink"/>
            <w:rFonts w:asciiTheme="minorBidi" w:hAnsiTheme="minorBidi"/>
            <w:sz w:val="16"/>
            <w:szCs w:val="16"/>
            <w:vertAlign w:val="superscript"/>
          </w:rPr>
          <w:t>*</w:t>
        </w:r>
        <w:r w:rsidRPr="005123F1">
          <w:rPr>
            <w:rStyle w:val="Hyperlink"/>
            <w:rFonts w:asciiTheme="minorBidi" w:hAnsiTheme="minorBidi"/>
            <w:sz w:val="16"/>
            <w:szCs w:val="16"/>
          </w:rPr>
          <w:t>doskhan.ybyraiymkul@kaust.edu.sa</w:t>
        </w:r>
      </w:hyperlink>
    </w:p>
    <w:p w14:paraId="2B6F905F" w14:textId="77777777" w:rsidR="00C75A5A" w:rsidRPr="00C75A5A" w:rsidRDefault="00C75A5A" w:rsidP="00C75A5A">
      <w:pPr>
        <w:rPr>
          <w:rFonts w:asciiTheme="minorBidi" w:hAnsiTheme="minorBidi"/>
          <w:sz w:val="16"/>
          <w:szCs w:val="16"/>
        </w:rPr>
      </w:pPr>
    </w:p>
    <w:p w14:paraId="61F2C210" w14:textId="2FB74738" w:rsidR="0009583B" w:rsidRPr="005D53F8" w:rsidRDefault="0009583B">
      <w:pPr>
        <w:rPr>
          <w:rFonts w:asciiTheme="minorBidi" w:hAnsiTheme="minorBidi"/>
          <w:i/>
          <w:iCs/>
        </w:rPr>
      </w:pPr>
      <w:r w:rsidRPr="005D53F8">
        <w:rPr>
          <w:rFonts w:asciiTheme="minorBidi" w:hAnsiTheme="minorBidi"/>
          <w:i/>
          <w:iCs/>
        </w:rPr>
        <w:t>Experimental setup</w:t>
      </w:r>
    </w:p>
    <w:p w14:paraId="3976E24B" w14:textId="77777777" w:rsidR="007D3106" w:rsidRPr="005D53F8" w:rsidRDefault="007D3106" w:rsidP="007D3106">
      <w:pPr>
        <w:ind w:firstLine="431"/>
        <w:jc w:val="both"/>
        <w:rPr>
          <w:rFonts w:asciiTheme="minorBidi" w:hAnsiTheme="minorBidi"/>
        </w:rPr>
      </w:pPr>
      <w:r w:rsidRPr="005D53F8">
        <w:rPr>
          <w:rFonts w:asciiTheme="minorBidi" w:hAnsiTheme="minorBidi"/>
        </w:rPr>
        <w:t xml:space="preserve">A microwave generator (Fricke und Mallah, Germany) with an efficiency value of 0.7 for converting alternative current (AC) electrical (9 kW) power to microwave power was used to generate the microwaves. Magnetron head (with a circulator and a directional coupler) was used to generate microwaves and measure forwarded and reflected microwave power. A three-stub tuner (Fricke und Mallah, Germany) was used to tune the microwave phase to perform impedance matching for maximizing energy transfer. Frame and equipment were grounded with protective grounding to prevent users from high voltage electrical hazards. </w:t>
      </w:r>
    </w:p>
    <w:p w14:paraId="20D439A1" w14:textId="7AAABA8C" w:rsidR="007D3106" w:rsidRPr="005D53F8" w:rsidRDefault="007D3106" w:rsidP="007D3106">
      <w:pPr>
        <w:ind w:firstLine="431"/>
        <w:jc w:val="both"/>
        <w:rPr>
          <w:rFonts w:asciiTheme="minorBidi" w:hAnsiTheme="minorBidi"/>
        </w:rPr>
      </w:pPr>
      <w:r w:rsidRPr="005D53F8">
        <w:rPr>
          <w:rFonts w:asciiTheme="minorBidi" w:hAnsiTheme="minorBidi"/>
        </w:rPr>
        <w:t xml:space="preserve">A specially made double Faraday cage (KAUST, Saudi Arabia) was used in order to avoid microwave leakage to the surrounding area. The first cage is a multi-mode chamber where a desiccant wheel was placed, and its geometry was built based on numerically optimized results (more detailed information about numerical optimization is provided in sections 4 and 5). The first cage was placed in the second cage, and both cages are made of a 3 mm thick aluminum sheet. Aluminum has low resistance and high microwave reflective characteristics. An electrical motor (DKM motors, Korea) was used to rotate a desiccant wheel with preset speed to control the microwave process. A three-phase electrical power meter PowerLogic PM5110 (Schneider Electric, UK) with measuring rang of 3-30 kW and with </w:t>
      </w:r>
      <w:r w:rsidR="005D53F8">
        <w:rPr>
          <w:rFonts w:asciiTheme="minorBidi" w:hAnsiTheme="minorBidi"/>
        </w:rPr>
        <w:t>(</w:t>
      </w:r>
      <w:r w:rsidRPr="005D53F8">
        <w:rPr>
          <w:rFonts w:asciiTheme="minorBidi" w:hAnsiTheme="minorBidi"/>
        </w:rPr>
        <w:t xml:space="preserve">0.5% </w:t>
      </w:r>
      <w:r w:rsidR="005D53F8">
        <w:rPr>
          <w:rFonts w:asciiTheme="minorBidi" w:hAnsiTheme="minorBidi"/>
        </w:rPr>
        <w:t xml:space="preserve">FS) </w:t>
      </w:r>
      <w:r w:rsidR="005D53F8" w:rsidRPr="005D53F8">
        <w:rPr>
          <w:rFonts w:asciiTheme="minorBidi" w:hAnsiTheme="minorBidi"/>
        </w:rPr>
        <w:t>accuracy</w:t>
      </w:r>
      <w:r w:rsidRPr="005D53F8">
        <w:rPr>
          <w:rFonts w:asciiTheme="minorBidi" w:hAnsiTheme="minorBidi"/>
        </w:rPr>
        <w:t xml:space="preserve">. </w:t>
      </w:r>
      <w:proofErr w:type="gramStart"/>
      <w:r w:rsidRPr="005D53F8">
        <w:rPr>
          <w:rFonts w:asciiTheme="minorBidi" w:hAnsiTheme="minorBidi"/>
        </w:rPr>
        <w:t>was</w:t>
      </w:r>
      <w:proofErr w:type="gramEnd"/>
      <w:r w:rsidRPr="005D53F8">
        <w:rPr>
          <w:rFonts w:asciiTheme="minorBidi" w:hAnsiTheme="minorBidi"/>
        </w:rPr>
        <w:t xml:space="preserve"> used to measure electrical power. A calibrated aluminum nozzle was used for airflow measurements that were made according to the ISO/ANSI standards with high accuracy (RecoV, Italy).</w:t>
      </w:r>
    </w:p>
    <w:p w14:paraId="762CF882" w14:textId="24132CBE" w:rsidR="005D53F8" w:rsidRDefault="007D3106" w:rsidP="005D53F8">
      <w:pPr>
        <w:ind w:firstLine="431"/>
        <w:jc w:val="both"/>
        <w:rPr>
          <w:rFonts w:asciiTheme="minorBidi" w:hAnsiTheme="minorBidi"/>
        </w:rPr>
      </w:pPr>
      <w:r w:rsidRPr="005D53F8">
        <w:rPr>
          <w:rFonts w:asciiTheme="minorBidi" w:hAnsiTheme="minorBidi"/>
        </w:rPr>
        <w:t>A differential pressure sensor Model 264 (Setra, USA) with high (±0.25% FS) accuracy and with range of 0-250 Pa was used to measure differential pressure across the nozzle. Pt100 RTD temperature sensors (Omega, UK) were used to measure dry and wet bulb temperatures with an accuracy of ±0.1 °C and with range of -20~350 °C. An infrared temperature sensor OS-MINIUSB (Omega, UK) with accuracy of 1 °C was used to measure a rotating desiccant wheel temperature, that can measure at the range of 0~250 °C. An automated data logging system was created by authors on software LabVIEW that logs data from Agilent 34970A. An air heat exchanger was used to recover energy from outlet air, and air flowing channels, ducts, and microwaving chamber were thermally insulated with foam rubber. A microwave leak detector was running all the time for safety reasons. Measuring devices and thei</w:t>
      </w:r>
      <w:r w:rsidR="00DB3664">
        <w:rPr>
          <w:rFonts w:asciiTheme="minorBidi" w:hAnsiTheme="minorBidi"/>
        </w:rPr>
        <w:t>r accuracy are listed in Table 1</w:t>
      </w:r>
      <w:r w:rsidRPr="005D53F8">
        <w:rPr>
          <w:rFonts w:asciiTheme="minorBidi" w:hAnsiTheme="minorBidi"/>
        </w:rPr>
        <w:t>. Uncertainties of the logged data were analyzed according to guidance</w:t>
      </w:r>
      <w:r w:rsidR="005D53F8">
        <w:rPr>
          <w:rFonts w:asciiTheme="minorBidi" w:hAnsiTheme="minorBidi"/>
        </w:rPr>
        <w:t xml:space="preserve"> [1]</w:t>
      </w:r>
      <w:r w:rsidR="0009583B" w:rsidRPr="005D53F8">
        <w:rPr>
          <w:rFonts w:asciiTheme="minorBidi" w:hAnsiTheme="minorBidi"/>
        </w:rPr>
        <w:t>.</w:t>
      </w:r>
      <w:bookmarkStart w:id="0" w:name="_ug9lyubsit9m" w:colFirst="0" w:colLast="0"/>
      <w:bookmarkEnd w:id="0"/>
    </w:p>
    <w:p w14:paraId="693758C0" w14:textId="77777777" w:rsidR="005D53F8" w:rsidRPr="005D53F8" w:rsidRDefault="005D53F8" w:rsidP="005D53F8">
      <w:pPr>
        <w:ind w:firstLine="431"/>
        <w:jc w:val="both"/>
        <w:rPr>
          <w:rFonts w:asciiTheme="minorBidi" w:hAnsiTheme="minorBidi"/>
        </w:rPr>
      </w:pPr>
    </w:p>
    <w:p w14:paraId="36468A5D" w14:textId="173D977E" w:rsidR="005D53F8" w:rsidRPr="005D53F8" w:rsidRDefault="00DB3664" w:rsidP="005D53F8">
      <w:pPr>
        <w:ind w:firstLine="431"/>
        <w:jc w:val="both"/>
        <w:rPr>
          <w:rFonts w:asciiTheme="minorBidi" w:hAnsiTheme="minorBidi"/>
        </w:rPr>
      </w:pPr>
      <w:r>
        <w:rPr>
          <w:rFonts w:asciiTheme="minorBidi" w:hAnsiTheme="minorBidi"/>
        </w:rPr>
        <w:t>Table 1</w:t>
      </w:r>
      <w:r w:rsidR="005D53F8" w:rsidRPr="005D53F8">
        <w:rPr>
          <w:rFonts w:asciiTheme="minorBidi" w:hAnsiTheme="minorBidi"/>
        </w:rPr>
        <w:t>. Sensors and their accuracy</w:t>
      </w:r>
    </w:p>
    <w:tbl>
      <w:tblPr>
        <w:tblW w:w="9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2835"/>
        <w:gridCol w:w="1530"/>
        <w:gridCol w:w="1446"/>
        <w:gridCol w:w="1440"/>
      </w:tblGrid>
      <w:tr w:rsidR="005D53F8" w:rsidRPr="005D53F8" w14:paraId="74A4981D" w14:textId="77777777" w:rsidTr="005D53F8">
        <w:tc>
          <w:tcPr>
            <w:tcW w:w="2117" w:type="dxa"/>
            <w:shd w:val="clear" w:color="auto" w:fill="auto"/>
            <w:tcMar>
              <w:top w:w="100" w:type="dxa"/>
              <w:left w:w="100" w:type="dxa"/>
              <w:bottom w:w="100" w:type="dxa"/>
              <w:right w:w="100" w:type="dxa"/>
            </w:tcMar>
          </w:tcPr>
          <w:p w14:paraId="4B36E46E"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Parameter</w:t>
            </w:r>
          </w:p>
        </w:tc>
        <w:tc>
          <w:tcPr>
            <w:tcW w:w="2835" w:type="dxa"/>
            <w:shd w:val="clear" w:color="auto" w:fill="auto"/>
            <w:tcMar>
              <w:top w:w="100" w:type="dxa"/>
              <w:left w:w="100" w:type="dxa"/>
              <w:bottom w:w="100" w:type="dxa"/>
              <w:right w:w="100" w:type="dxa"/>
            </w:tcMar>
          </w:tcPr>
          <w:p w14:paraId="13E63737"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Measuring device</w:t>
            </w:r>
          </w:p>
        </w:tc>
        <w:tc>
          <w:tcPr>
            <w:tcW w:w="1530" w:type="dxa"/>
          </w:tcPr>
          <w:p w14:paraId="01E0F800"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Manufacturer</w:t>
            </w:r>
          </w:p>
        </w:tc>
        <w:tc>
          <w:tcPr>
            <w:tcW w:w="1446" w:type="dxa"/>
            <w:shd w:val="clear" w:color="auto" w:fill="auto"/>
            <w:tcMar>
              <w:top w:w="100" w:type="dxa"/>
              <w:left w:w="100" w:type="dxa"/>
              <w:bottom w:w="100" w:type="dxa"/>
              <w:right w:w="100" w:type="dxa"/>
            </w:tcMar>
          </w:tcPr>
          <w:p w14:paraId="2E96C243"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Range</w:t>
            </w:r>
          </w:p>
        </w:tc>
        <w:tc>
          <w:tcPr>
            <w:tcW w:w="1440" w:type="dxa"/>
            <w:shd w:val="clear" w:color="auto" w:fill="auto"/>
            <w:tcMar>
              <w:top w:w="100" w:type="dxa"/>
              <w:left w:w="100" w:type="dxa"/>
              <w:bottom w:w="100" w:type="dxa"/>
              <w:right w:w="100" w:type="dxa"/>
            </w:tcMar>
          </w:tcPr>
          <w:p w14:paraId="68A748E6"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Error</w:t>
            </w:r>
          </w:p>
        </w:tc>
      </w:tr>
      <w:tr w:rsidR="005D53F8" w:rsidRPr="005D53F8" w14:paraId="60F2EE9F" w14:textId="77777777" w:rsidTr="005D53F8">
        <w:tc>
          <w:tcPr>
            <w:tcW w:w="2117" w:type="dxa"/>
            <w:shd w:val="clear" w:color="auto" w:fill="auto"/>
            <w:tcMar>
              <w:top w:w="100" w:type="dxa"/>
              <w:left w:w="100" w:type="dxa"/>
              <w:bottom w:w="100" w:type="dxa"/>
              <w:right w:w="100" w:type="dxa"/>
            </w:tcMar>
          </w:tcPr>
          <w:p w14:paraId="696C7456"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 xml:space="preserve">Differential pressure </w:t>
            </w:r>
          </w:p>
        </w:tc>
        <w:tc>
          <w:tcPr>
            <w:tcW w:w="2835" w:type="dxa"/>
            <w:shd w:val="clear" w:color="auto" w:fill="auto"/>
            <w:tcMar>
              <w:top w:w="100" w:type="dxa"/>
              <w:left w:w="100" w:type="dxa"/>
              <w:bottom w:w="100" w:type="dxa"/>
              <w:right w:w="100" w:type="dxa"/>
            </w:tcMar>
          </w:tcPr>
          <w:p w14:paraId="00B8055A"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 xml:space="preserve">Differential pressure transducer Model 264 </w:t>
            </w:r>
          </w:p>
        </w:tc>
        <w:tc>
          <w:tcPr>
            <w:tcW w:w="1530" w:type="dxa"/>
          </w:tcPr>
          <w:p w14:paraId="2EB1F5B5"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Setra</w:t>
            </w:r>
          </w:p>
        </w:tc>
        <w:tc>
          <w:tcPr>
            <w:tcW w:w="1446" w:type="dxa"/>
            <w:shd w:val="clear" w:color="auto" w:fill="auto"/>
            <w:tcMar>
              <w:top w:w="100" w:type="dxa"/>
              <w:left w:w="100" w:type="dxa"/>
              <w:bottom w:w="100" w:type="dxa"/>
              <w:right w:w="100" w:type="dxa"/>
            </w:tcMar>
          </w:tcPr>
          <w:p w14:paraId="7C2BFA71"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0-250 Pa</w:t>
            </w:r>
          </w:p>
        </w:tc>
        <w:tc>
          <w:tcPr>
            <w:tcW w:w="1440" w:type="dxa"/>
            <w:shd w:val="clear" w:color="auto" w:fill="auto"/>
            <w:tcMar>
              <w:top w:w="100" w:type="dxa"/>
              <w:left w:w="100" w:type="dxa"/>
              <w:bottom w:w="100" w:type="dxa"/>
              <w:right w:w="100" w:type="dxa"/>
            </w:tcMar>
          </w:tcPr>
          <w:p w14:paraId="3E33B6A7"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±0.25% FS</w:t>
            </w:r>
          </w:p>
        </w:tc>
      </w:tr>
      <w:tr w:rsidR="005D53F8" w:rsidRPr="005D53F8" w14:paraId="76B26231" w14:textId="77777777" w:rsidTr="005D53F8">
        <w:tc>
          <w:tcPr>
            <w:tcW w:w="2117" w:type="dxa"/>
            <w:shd w:val="clear" w:color="auto" w:fill="auto"/>
            <w:tcMar>
              <w:top w:w="100" w:type="dxa"/>
              <w:left w:w="100" w:type="dxa"/>
              <w:bottom w:w="100" w:type="dxa"/>
              <w:right w:w="100" w:type="dxa"/>
            </w:tcMar>
          </w:tcPr>
          <w:p w14:paraId="62B92E50"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Air temperatures</w:t>
            </w:r>
          </w:p>
        </w:tc>
        <w:tc>
          <w:tcPr>
            <w:tcW w:w="2835" w:type="dxa"/>
            <w:shd w:val="clear" w:color="auto" w:fill="auto"/>
            <w:tcMar>
              <w:top w:w="100" w:type="dxa"/>
              <w:left w:w="100" w:type="dxa"/>
              <w:bottom w:w="100" w:type="dxa"/>
              <w:right w:w="100" w:type="dxa"/>
            </w:tcMar>
          </w:tcPr>
          <w:p w14:paraId="7532AA1F"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 xml:space="preserve">Pt100 RTD </w:t>
            </w:r>
          </w:p>
        </w:tc>
        <w:tc>
          <w:tcPr>
            <w:tcW w:w="1530" w:type="dxa"/>
          </w:tcPr>
          <w:p w14:paraId="33B55927" w14:textId="77777777" w:rsidR="005D53F8" w:rsidRPr="005D53F8" w:rsidRDefault="005D53F8" w:rsidP="005D53F8">
            <w:pPr>
              <w:widowControl w:val="0"/>
              <w:spacing w:after="0" w:line="240" w:lineRule="auto"/>
              <w:jc w:val="both"/>
              <w:rPr>
                <w:rFonts w:asciiTheme="minorBidi" w:hAnsiTheme="minorBidi"/>
              </w:rPr>
            </w:pPr>
            <w:r w:rsidRPr="005D53F8">
              <w:rPr>
                <w:rFonts w:asciiTheme="minorBidi" w:hAnsiTheme="minorBidi"/>
              </w:rPr>
              <w:t>Omega</w:t>
            </w:r>
          </w:p>
        </w:tc>
        <w:tc>
          <w:tcPr>
            <w:tcW w:w="1446" w:type="dxa"/>
            <w:shd w:val="clear" w:color="auto" w:fill="auto"/>
            <w:tcMar>
              <w:top w:w="100" w:type="dxa"/>
              <w:left w:w="100" w:type="dxa"/>
              <w:bottom w:w="100" w:type="dxa"/>
              <w:right w:w="100" w:type="dxa"/>
            </w:tcMar>
          </w:tcPr>
          <w:p w14:paraId="4F2A0A9A" w14:textId="77777777" w:rsidR="005D53F8" w:rsidRPr="005D53F8" w:rsidRDefault="005D53F8" w:rsidP="005D53F8">
            <w:pPr>
              <w:widowControl w:val="0"/>
              <w:spacing w:after="0" w:line="240" w:lineRule="auto"/>
              <w:jc w:val="both"/>
              <w:rPr>
                <w:rFonts w:asciiTheme="minorBidi" w:hAnsiTheme="minorBidi"/>
              </w:rPr>
            </w:pPr>
            <w:r w:rsidRPr="005D53F8">
              <w:rPr>
                <w:rFonts w:asciiTheme="minorBidi" w:hAnsiTheme="minorBidi"/>
              </w:rPr>
              <w:t>-20~350 °C</w:t>
            </w:r>
          </w:p>
        </w:tc>
        <w:tc>
          <w:tcPr>
            <w:tcW w:w="1440" w:type="dxa"/>
            <w:shd w:val="clear" w:color="auto" w:fill="auto"/>
            <w:tcMar>
              <w:top w:w="100" w:type="dxa"/>
              <w:left w:w="100" w:type="dxa"/>
              <w:bottom w:w="100" w:type="dxa"/>
              <w:right w:w="100" w:type="dxa"/>
            </w:tcMar>
          </w:tcPr>
          <w:p w14:paraId="1AE5A331" w14:textId="77777777" w:rsidR="005D53F8" w:rsidRPr="005D53F8" w:rsidRDefault="005D53F8" w:rsidP="005D53F8">
            <w:pPr>
              <w:widowControl w:val="0"/>
              <w:spacing w:after="0" w:line="240" w:lineRule="auto"/>
              <w:jc w:val="both"/>
              <w:rPr>
                <w:rFonts w:asciiTheme="minorBidi" w:hAnsiTheme="minorBidi"/>
              </w:rPr>
            </w:pPr>
            <w:r w:rsidRPr="005D53F8">
              <w:rPr>
                <w:rFonts w:asciiTheme="minorBidi" w:hAnsiTheme="minorBidi"/>
              </w:rPr>
              <w:t>±0.1 °C</w:t>
            </w:r>
          </w:p>
        </w:tc>
      </w:tr>
      <w:tr w:rsidR="005D53F8" w:rsidRPr="005D53F8" w14:paraId="490CC6C2" w14:textId="77777777" w:rsidTr="005D53F8">
        <w:tc>
          <w:tcPr>
            <w:tcW w:w="2117" w:type="dxa"/>
            <w:shd w:val="clear" w:color="auto" w:fill="auto"/>
            <w:tcMar>
              <w:top w:w="100" w:type="dxa"/>
              <w:left w:w="100" w:type="dxa"/>
              <w:bottom w:w="100" w:type="dxa"/>
              <w:right w:w="100" w:type="dxa"/>
            </w:tcMar>
          </w:tcPr>
          <w:p w14:paraId="346DF85F"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Desiccant temperature</w:t>
            </w:r>
          </w:p>
        </w:tc>
        <w:tc>
          <w:tcPr>
            <w:tcW w:w="2835" w:type="dxa"/>
            <w:shd w:val="clear" w:color="auto" w:fill="auto"/>
            <w:tcMar>
              <w:top w:w="100" w:type="dxa"/>
              <w:left w:w="100" w:type="dxa"/>
              <w:bottom w:w="100" w:type="dxa"/>
              <w:right w:w="100" w:type="dxa"/>
            </w:tcMar>
          </w:tcPr>
          <w:p w14:paraId="79DE370A"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Infrared temperature sensor OS-MINIUSB</w:t>
            </w:r>
          </w:p>
        </w:tc>
        <w:tc>
          <w:tcPr>
            <w:tcW w:w="1530" w:type="dxa"/>
          </w:tcPr>
          <w:p w14:paraId="5CF2755D" w14:textId="77777777" w:rsidR="005D53F8" w:rsidRPr="005D53F8" w:rsidRDefault="005D53F8" w:rsidP="005D53F8">
            <w:pPr>
              <w:widowControl w:val="0"/>
              <w:spacing w:after="0" w:line="240" w:lineRule="auto"/>
              <w:jc w:val="both"/>
              <w:rPr>
                <w:rFonts w:asciiTheme="minorBidi" w:hAnsiTheme="minorBidi"/>
              </w:rPr>
            </w:pPr>
            <w:r w:rsidRPr="005D53F8">
              <w:rPr>
                <w:rFonts w:asciiTheme="minorBidi" w:hAnsiTheme="minorBidi"/>
              </w:rPr>
              <w:t>Omega</w:t>
            </w:r>
          </w:p>
        </w:tc>
        <w:tc>
          <w:tcPr>
            <w:tcW w:w="1446" w:type="dxa"/>
            <w:shd w:val="clear" w:color="auto" w:fill="auto"/>
            <w:tcMar>
              <w:top w:w="100" w:type="dxa"/>
              <w:left w:w="100" w:type="dxa"/>
              <w:bottom w:w="100" w:type="dxa"/>
              <w:right w:w="100" w:type="dxa"/>
            </w:tcMar>
          </w:tcPr>
          <w:p w14:paraId="5C8D5F01" w14:textId="77777777" w:rsidR="005D53F8" w:rsidRPr="005D53F8" w:rsidRDefault="005D53F8" w:rsidP="005D53F8">
            <w:pPr>
              <w:widowControl w:val="0"/>
              <w:spacing w:after="0" w:line="240" w:lineRule="auto"/>
              <w:jc w:val="both"/>
              <w:rPr>
                <w:rFonts w:asciiTheme="minorBidi" w:hAnsiTheme="minorBidi"/>
              </w:rPr>
            </w:pPr>
            <w:r w:rsidRPr="005D53F8">
              <w:rPr>
                <w:rFonts w:asciiTheme="minorBidi" w:hAnsiTheme="minorBidi"/>
              </w:rPr>
              <w:t>0~250 °C</w:t>
            </w:r>
          </w:p>
        </w:tc>
        <w:tc>
          <w:tcPr>
            <w:tcW w:w="1440" w:type="dxa"/>
            <w:shd w:val="clear" w:color="auto" w:fill="auto"/>
            <w:tcMar>
              <w:top w:w="100" w:type="dxa"/>
              <w:left w:w="100" w:type="dxa"/>
              <w:bottom w:w="100" w:type="dxa"/>
              <w:right w:w="100" w:type="dxa"/>
            </w:tcMar>
          </w:tcPr>
          <w:p w14:paraId="36828A9F" w14:textId="77777777" w:rsidR="005D53F8" w:rsidRPr="005D53F8" w:rsidRDefault="005D53F8" w:rsidP="005D53F8">
            <w:pPr>
              <w:widowControl w:val="0"/>
              <w:spacing w:after="0" w:line="240" w:lineRule="auto"/>
              <w:jc w:val="both"/>
              <w:rPr>
                <w:rFonts w:asciiTheme="minorBidi" w:hAnsiTheme="minorBidi"/>
              </w:rPr>
            </w:pPr>
            <w:r w:rsidRPr="005D53F8">
              <w:rPr>
                <w:rFonts w:asciiTheme="minorBidi" w:hAnsiTheme="minorBidi"/>
              </w:rPr>
              <w:t>±1 °C</w:t>
            </w:r>
          </w:p>
        </w:tc>
      </w:tr>
      <w:tr w:rsidR="005D53F8" w:rsidRPr="005D53F8" w14:paraId="0E31DC10" w14:textId="77777777" w:rsidTr="005D53F8">
        <w:tc>
          <w:tcPr>
            <w:tcW w:w="2117" w:type="dxa"/>
            <w:shd w:val="clear" w:color="auto" w:fill="auto"/>
            <w:tcMar>
              <w:top w:w="100" w:type="dxa"/>
              <w:left w:w="100" w:type="dxa"/>
              <w:bottom w:w="100" w:type="dxa"/>
              <w:right w:w="100" w:type="dxa"/>
            </w:tcMar>
          </w:tcPr>
          <w:p w14:paraId="0A31E7E2" w14:textId="77777777" w:rsidR="005D53F8" w:rsidRPr="005D53F8" w:rsidRDefault="005D53F8" w:rsidP="005D53F8">
            <w:pPr>
              <w:widowControl w:val="0"/>
              <w:spacing w:after="0" w:line="240" w:lineRule="auto"/>
              <w:jc w:val="both"/>
              <w:rPr>
                <w:rFonts w:asciiTheme="minorBidi" w:hAnsiTheme="minorBidi"/>
              </w:rPr>
            </w:pPr>
            <w:r w:rsidRPr="005D53F8">
              <w:rPr>
                <w:rFonts w:asciiTheme="minorBidi" w:hAnsiTheme="minorBidi"/>
              </w:rPr>
              <w:t>Electrical power</w:t>
            </w:r>
          </w:p>
        </w:tc>
        <w:tc>
          <w:tcPr>
            <w:tcW w:w="2835" w:type="dxa"/>
            <w:shd w:val="clear" w:color="auto" w:fill="auto"/>
            <w:tcMar>
              <w:top w:w="100" w:type="dxa"/>
              <w:left w:w="100" w:type="dxa"/>
              <w:bottom w:w="100" w:type="dxa"/>
              <w:right w:w="100" w:type="dxa"/>
            </w:tcMar>
          </w:tcPr>
          <w:p w14:paraId="37996FB1" w14:textId="77777777" w:rsidR="005D53F8" w:rsidRPr="005D53F8" w:rsidRDefault="005D53F8" w:rsidP="005D53F8">
            <w:pPr>
              <w:spacing w:after="0" w:line="240" w:lineRule="auto"/>
              <w:jc w:val="both"/>
              <w:rPr>
                <w:rFonts w:asciiTheme="minorBidi" w:hAnsiTheme="minorBidi"/>
              </w:rPr>
            </w:pPr>
            <w:r w:rsidRPr="005D53F8">
              <w:rPr>
                <w:rFonts w:asciiTheme="minorBidi" w:hAnsiTheme="minorBidi"/>
              </w:rPr>
              <w:t>Power meter PowerLogic PM5110</w:t>
            </w:r>
          </w:p>
        </w:tc>
        <w:tc>
          <w:tcPr>
            <w:tcW w:w="1530" w:type="dxa"/>
          </w:tcPr>
          <w:p w14:paraId="145EA1AF"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Schneider Electric</w:t>
            </w:r>
          </w:p>
        </w:tc>
        <w:tc>
          <w:tcPr>
            <w:tcW w:w="1446" w:type="dxa"/>
            <w:shd w:val="clear" w:color="auto" w:fill="auto"/>
            <w:tcMar>
              <w:top w:w="100" w:type="dxa"/>
              <w:left w:w="100" w:type="dxa"/>
              <w:bottom w:w="100" w:type="dxa"/>
              <w:right w:w="100" w:type="dxa"/>
            </w:tcMar>
          </w:tcPr>
          <w:p w14:paraId="0D6D7BE3"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3-30 kW</w:t>
            </w:r>
          </w:p>
        </w:tc>
        <w:tc>
          <w:tcPr>
            <w:tcW w:w="1440" w:type="dxa"/>
            <w:shd w:val="clear" w:color="auto" w:fill="auto"/>
            <w:tcMar>
              <w:top w:w="100" w:type="dxa"/>
              <w:left w:w="100" w:type="dxa"/>
              <w:bottom w:w="100" w:type="dxa"/>
              <w:right w:w="100" w:type="dxa"/>
            </w:tcMar>
          </w:tcPr>
          <w:p w14:paraId="3C36679E" w14:textId="77777777" w:rsidR="005D53F8" w:rsidRPr="005D53F8" w:rsidRDefault="005D53F8" w:rsidP="005D53F8">
            <w:pPr>
              <w:widowControl w:val="0"/>
              <w:pBdr>
                <w:top w:val="nil"/>
                <w:left w:val="nil"/>
                <w:bottom w:val="nil"/>
                <w:right w:val="nil"/>
                <w:between w:val="nil"/>
              </w:pBdr>
              <w:spacing w:after="0" w:line="240" w:lineRule="auto"/>
              <w:jc w:val="both"/>
              <w:rPr>
                <w:rFonts w:asciiTheme="minorBidi" w:hAnsiTheme="minorBidi"/>
              </w:rPr>
            </w:pPr>
            <w:r w:rsidRPr="005D53F8">
              <w:rPr>
                <w:rFonts w:asciiTheme="minorBidi" w:hAnsiTheme="minorBidi"/>
              </w:rPr>
              <w:t>± 0.5%</w:t>
            </w:r>
          </w:p>
        </w:tc>
      </w:tr>
    </w:tbl>
    <w:p w14:paraId="036C8B69" w14:textId="77777777" w:rsidR="005D53F8" w:rsidRPr="005D53F8" w:rsidRDefault="005D53F8" w:rsidP="0009583B">
      <w:pPr>
        <w:ind w:firstLine="431"/>
        <w:jc w:val="both"/>
        <w:rPr>
          <w:rFonts w:asciiTheme="minorBidi" w:hAnsiTheme="minorBidi"/>
        </w:rPr>
      </w:pPr>
    </w:p>
    <w:p w14:paraId="75BDD782" w14:textId="77777777" w:rsidR="0009583B" w:rsidRPr="005D53F8" w:rsidRDefault="0009583B" w:rsidP="0009583B">
      <w:pPr>
        <w:ind w:firstLine="431"/>
        <w:jc w:val="both"/>
        <w:rPr>
          <w:rFonts w:asciiTheme="minorBidi" w:hAnsiTheme="minorBidi"/>
        </w:rPr>
      </w:pPr>
    </w:p>
    <w:p w14:paraId="6D717CAE" w14:textId="639C1426" w:rsidR="007D3106" w:rsidRPr="005D53F8" w:rsidRDefault="007D3106" w:rsidP="0009583B">
      <w:pPr>
        <w:ind w:firstLine="431"/>
        <w:jc w:val="both"/>
        <w:rPr>
          <w:rFonts w:asciiTheme="minorBidi" w:hAnsiTheme="minorBidi"/>
          <w:i/>
          <w:iCs/>
        </w:rPr>
      </w:pPr>
      <w:r w:rsidRPr="005D53F8">
        <w:rPr>
          <w:rFonts w:asciiTheme="minorBidi" w:hAnsiTheme="minorBidi"/>
          <w:i/>
          <w:iCs/>
        </w:rPr>
        <w:t xml:space="preserve">Experimental procedure </w:t>
      </w:r>
    </w:p>
    <w:p w14:paraId="35C91825" w14:textId="2961C482" w:rsidR="007D3106" w:rsidRPr="005D53F8" w:rsidRDefault="007D3106" w:rsidP="007D3106">
      <w:pPr>
        <w:ind w:firstLine="431"/>
        <w:jc w:val="both"/>
        <w:rPr>
          <w:rFonts w:asciiTheme="minorBidi" w:hAnsiTheme="minorBidi"/>
        </w:rPr>
      </w:pPr>
      <w:r w:rsidRPr="005D53F8">
        <w:rPr>
          <w:rFonts w:asciiTheme="minorBidi" w:hAnsiTheme="minorBidi"/>
        </w:rPr>
        <w:t xml:space="preserve">Two cases were considered: the case without heat recovering and the case with heat recovering from outlet air. Temperatures and differential pressure readings were logged continuously by software Labview and Agilent 34970A for both cases. Desiccant wheel rotating motor speed was set to the desired value, and it was running only during desorption. </w:t>
      </w:r>
      <w:r w:rsidRPr="00DB3664">
        <w:rPr>
          <w:rFonts w:asciiTheme="minorBidi" w:hAnsiTheme="minorBidi"/>
          <w:bCs/>
        </w:rPr>
        <w:t>Fig</w:t>
      </w:r>
      <w:r w:rsidR="00DB3664" w:rsidRPr="00DB3664">
        <w:rPr>
          <w:rFonts w:asciiTheme="minorBidi" w:hAnsiTheme="minorBidi"/>
          <w:bCs/>
        </w:rPr>
        <w:t>ure</w:t>
      </w:r>
      <w:r w:rsidRPr="00DB3664">
        <w:rPr>
          <w:rFonts w:asciiTheme="minorBidi" w:hAnsiTheme="minorBidi"/>
          <w:bCs/>
        </w:rPr>
        <w:t xml:space="preserve"> </w:t>
      </w:r>
      <w:r w:rsidR="005D53F8" w:rsidRPr="00DB3664">
        <w:rPr>
          <w:rFonts w:asciiTheme="minorBidi" w:hAnsiTheme="minorBidi"/>
          <w:bCs/>
        </w:rPr>
        <w:t>1</w:t>
      </w:r>
      <w:r w:rsidRPr="005D53F8">
        <w:rPr>
          <w:rFonts w:asciiTheme="minorBidi" w:hAnsiTheme="minorBidi"/>
          <w:b/>
        </w:rPr>
        <w:t xml:space="preserve"> </w:t>
      </w:r>
      <w:r w:rsidRPr="005D53F8">
        <w:rPr>
          <w:rFonts w:asciiTheme="minorBidi" w:hAnsiTheme="minorBidi"/>
        </w:rPr>
        <w:t>shows procedure</w:t>
      </w:r>
      <w:r w:rsidR="005D53F8">
        <w:rPr>
          <w:rFonts w:asciiTheme="minorBidi" w:hAnsiTheme="minorBidi"/>
        </w:rPr>
        <w:t xml:space="preserve"> that</w:t>
      </w:r>
      <w:r w:rsidRPr="005D53F8">
        <w:rPr>
          <w:rFonts w:asciiTheme="minorBidi" w:hAnsiTheme="minorBidi"/>
        </w:rPr>
        <w:t xml:space="preserve"> was performed in the study without heat recovery:</w:t>
      </w:r>
    </w:p>
    <w:p w14:paraId="7EB023DF" w14:textId="77777777" w:rsidR="007D3106" w:rsidRPr="005D53F8" w:rsidRDefault="007D3106" w:rsidP="007D3106">
      <w:pPr>
        <w:numPr>
          <w:ilvl w:val="0"/>
          <w:numId w:val="1"/>
        </w:numPr>
        <w:spacing w:after="0" w:line="276" w:lineRule="auto"/>
        <w:ind w:left="0" w:firstLine="431"/>
        <w:jc w:val="both"/>
        <w:rPr>
          <w:rFonts w:asciiTheme="minorBidi" w:hAnsiTheme="minorBidi"/>
        </w:rPr>
      </w:pPr>
      <w:r w:rsidRPr="005D53F8">
        <w:rPr>
          <w:rFonts w:asciiTheme="minorBidi" w:hAnsiTheme="minorBidi"/>
        </w:rPr>
        <w:t xml:space="preserve">Air damper-1, air damper-3 were opened, and air damper-2, air damper-4 were closed, letting the air bypass the heat recovering device. </w:t>
      </w:r>
    </w:p>
    <w:p w14:paraId="465D1973" w14:textId="77777777" w:rsidR="007D3106" w:rsidRPr="005D53F8" w:rsidRDefault="007D3106" w:rsidP="007D3106">
      <w:pPr>
        <w:numPr>
          <w:ilvl w:val="0"/>
          <w:numId w:val="1"/>
        </w:numPr>
        <w:spacing w:after="0" w:line="276" w:lineRule="auto"/>
        <w:ind w:left="0" w:firstLine="431"/>
        <w:jc w:val="both"/>
        <w:rPr>
          <w:rFonts w:asciiTheme="minorBidi" w:hAnsiTheme="minorBidi"/>
        </w:rPr>
      </w:pPr>
      <w:r w:rsidRPr="005D53F8">
        <w:rPr>
          <w:rFonts w:asciiTheme="minorBidi" w:hAnsiTheme="minorBidi"/>
        </w:rPr>
        <w:t>Honeycomb structured desiccant wheel was saturated with moisture at constant relative humidity and temperature at a regular airflow rate until the inlet and outlet temperatures were the same. The same temperature and humidity show equilibrium conditions.</w:t>
      </w:r>
    </w:p>
    <w:p w14:paraId="7CA618EE" w14:textId="77777777" w:rsidR="007D3106" w:rsidRPr="005D53F8" w:rsidRDefault="007D3106" w:rsidP="007D3106">
      <w:pPr>
        <w:numPr>
          <w:ilvl w:val="0"/>
          <w:numId w:val="1"/>
        </w:numPr>
        <w:spacing w:after="0" w:line="276" w:lineRule="auto"/>
        <w:ind w:left="0" w:firstLine="431"/>
        <w:jc w:val="both"/>
        <w:rPr>
          <w:rFonts w:asciiTheme="minorBidi" w:hAnsiTheme="minorBidi"/>
        </w:rPr>
      </w:pPr>
      <w:r w:rsidRPr="005D53F8">
        <w:rPr>
          <w:rFonts w:asciiTheme="minorBidi" w:hAnsiTheme="minorBidi"/>
        </w:rPr>
        <w:t>Microwaves were switched on for the preset time and preset power from the control panel;</w:t>
      </w:r>
    </w:p>
    <w:p w14:paraId="0B175F98" w14:textId="77777777" w:rsidR="007D3106" w:rsidRPr="005D53F8" w:rsidRDefault="007D3106" w:rsidP="007D3106">
      <w:pPr>
        <w:numPr>
          <w:ilvl w:val="0"/>
          <w:numId w:val="1"/>
        </w:numPr>
        <w:spacing w:after="0" w:line="276" w:lineRule="auto"/>
        <w:ind w:left="0" w:firstLine="431"/>
        <w:jc w:val="both"/>
        <w:rPr>
          <w:rFonts w:asciiTheme="minorBidi" w:hAnsiTheme="minorBidi"/>
        </w:rPr>
      </w:pPr>
      <w:proofErr w:type="gramStart"/>
      <w:r w:rsidRPr="005D53F8">
        <w:rPr>
          <w:rFonts w:asciiTheme="minorBidi" w:hAnsiTheme="minorBidi"/>
        </w:rPr>
        <w:t>The desorption</w:t>
      </w:r>
      <w:proofErr w:type="gramEnd"/>
      <w:r w:rsidRPr="005D53F8">
        <w:rPr>
          <w:rFonts w:asciiTheme="minorBidi" w:hAnsiTheme="minorBidi"/>
        </w:rPr>
        <w:t xml:space="preserve"> process finishes when the outlet humidity ratio becomes lower than the inlet humidity ratio.</w:t>
      </w:r>
    </w:p>
    <w:p w14:paraId="1ABB0AE2" w14:textId="77777777" w:rsidR="007D3106" w:rsidRPr="005D53F8" w:rsidRDefault="007D3106" w:rsidP="007D3106">
      <w:pPr>
        <w:numPr>
          <w:ilvl w:val="0"/>
          <w:numId w:val="1"/>
        </w:numPr>
        <w:spacing w:after="0" w:line="276" w:lineRule="auto"/>
        <w:ind w:left="0" w:firstLine="431"/>
        <w:jc w:val="both"/>
        <w:rPr>
          <w:rFonts w:asciiTheme="minorBidi" w:hAnsiTheme="minorBidi"/>
        </w:rPr>
      </w:pPr>
      <w:r w:rsidRPr="005D53F8">
        <w:rPr>
          <w:rFonts w:asciiTheme="minorBidi" w:hAnsiTheme="minorBidi"/>
        </w:rPr>
        <w:t>The Absorption process goes for a preset time.</w:t>
      </w:r>
    </w:p>
    <w:p w14:paraId="149D5094" w14:textId="77777777" w:rsidR="007D3106" w:rsidRPr="005D53F8" w:rsidRDefault="007D3106" w:rsidP="007D3106">
      <w:pPr>
        <w:ind w:firstLine="431"/>
        <w:jc w:val="both"/>
        <w:rPr>
          <w:rFonts w:asciiTheme="minorBidi" w:hAnsiTheme="minorBidi"/>
        </w:rPr>
      </w:pPr>
      <w:r w:rsidRPr="005D53F8">
        <w:rPr>
          <w:rFonts w:asciiTheme="minorBidi" w:hAnsiTheme="minorBidi"/>
        </w:rPr>
        <w:t>Case with heat recovery is similar to case without heat recovery; only the second point is different. When the inlet and outlet temperatures became the same, air damper-1, air damper-3 were closed, and air damper-2, air damper-4 were opened to recover heat from outlet air.</w:t>
      </w:r>
    </w:p>
    <w:p w14:paraId="56D374BF" w14:textId="77777777" w:rsidR="005D53F8" w:rsidRDefault="005D53F8" w:rsidP="005D53F8">
      <w:pPr>
        <w:jc w:val="center"/>
      </w:pPr>
      <w:r>
        <w:object w:dxaOrig="13050" w:dyaOrig="10570" w14:anchorId="6D4DA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5in" o:ole="">
            <v:imagedata r:id="rId6" o:title=""/>
          </v:shape>
          <o:OLEObject Type="Embed" ProgID="Visio.Drawing.15" ShapeID="_x0000_i1025" DrawAspect="Content" ObjectID="_1735715868" r:id="rId7"/>
        </w:object>
      </w:r>
    </w:p>
    <w:p w14:paraId="09329B6E" w14:textId="0C6BF02A" w:rsidR="005D53F8" w:rsidRDefault="005D53F8" w:rsidP="005D53F8">
      <w:pPr>
        <w:ind w:firstLine="431"/>
        <w:jc w:val="center"/>
      </w:pPr>
      <w:r w:rsidRPr="00FF3688">
        <w:rPr>
          <w:b/>
        </w:rPr>
        <w:t>Fig</w:t>
      </w:r>
      <w:r w:rsidR="00DB3664">
        <w:rPr>
          <w:b/>
        </w:rPr>
        <w:t>ure</w:t>
      </w:r>
      <w:bookmarkStart w:id="1" w:name="_GoBack"/>
      <w:bookmarkEnd w:id="1"/>
      <w:r w:rsidRPr="00FF3688">
        <w:rPr>
          <w:b/>
        </w:rPr>
        <w:t xml:space="preserve"> </w:t>
      </w:r>
      <w:r>
        <w:rPr>
          <w:b/>
        </w:rPr>
        <w:t>1</w:t>
      </w:r>
      <w:r w:rsidRPr="00FF3688">
        <w:rPr>
          <w:b/>
        </w:rPr>
        <w:t>.</w:t>
      </w:r>
      <w:r>
        <w:t xml:space="preserve"> Operation procedure of the experiments.</w:t>
      </w:r>
    </w:p>
    <w:p w14:paraId="06D508EE" w14:textId="77777777" w:rsidR="008C13C0" w:rsidRPr="005D53F8" w:rsidRDefault="008C13C0" w:rsidP="007D3106">
      <w:pPr>
        <w:jc w:val="both"/>
        <w:rPr>
          <w:rFonts w:asciiTheme="minorBidi" w:hAnsiTheme="minorBidi"/>
        </w:rPr>
      </w:pPr>
    </w:p>
    <w:p w14:paraId="7228F463" w14:textId="2522722C" w:rsidR="007D3106" w:rsidRPr="005D53F8" w:rsidRDefault="008C13C0" w:rsidP="007D3106">
      <w:pPr>
        <w:jc w:val="both"/>
        <w:rPr>
          <w:rFonts w:asciiTheme="minorBidi" w:hAnsiTheme="minorBidi"/>
          <w:i/>
          <w:iCs/>
        </w:rPr>
      </w:pPr>
      <w:r w:rsidRPr="005D53F8">
        <w:rPr>
          <w:rFonts w:asciiTheme="minorBidi" w:hAnsiTheme="minorBidi"/>
          <w:i/>
          <w:iCs/>
        </w:rPr>
        <w:t>Complex permittivity calculation for wheel</w:t>
      </w:r>
    </w:p>
    <w:p w14:paraId="283463C4" w14:textId="15E3B300" w:rsidR="007D3106" w:rsidRPr="005D53F8" w:rsidRDefault="007D3106" w:rsidP="007D3106">
      <w:pPr>
        <w:jc w:val="both"/>
        <w:rPr>
          <w:rFonts w:asciiTheme="minorBidi" w:hAnsiTheme="minorBidi"/>
        </w:rPr>
      </w:pPr>
      <w:r w:rsidRPr="005D53F8">
        <w:rPr>
          <w:rFonts w:asciiTheme="minorBidi" w:hAnsiTheme="minorBidi"/>
        </w:rPr>
        <w:t>Complex permittivity is compounded of real and imaginary parts:</w:t>
      </w:r>
    </w:p>
    <w:p w14:paraId="7CE41BF5" w14:textId="77777777" w:rsidR="007D3106" w:rsidRPr="005D53F8" w:rsidRDefault="007D3106" w:rsidP="007D3106">
      <w:pPr>
        <w:jc w:val="both"/>
        <w:rPr>
          <w:rFonts w:asciiTheme="minorBidi" w:hAnsiTheme="minorBidi"/>
        </w:rPr>
      </w:pPr>
    </w:p>
    <w:p w14:paraId="56118A54" w14:textId="0D449897" w:rsidR="007D3106" w:rsidRPr="005D53F8" w:rsidRDefault="00DB3664" w:rsidP="007D3106">
      <w:pPr>
        <w:ind w:left="450"/>
        <w:jc w:val="center"/>
        <w:rPr>
          <w:rFonts w:asciiTheme="minorBidi" w:hAnsiTheme="minorBidi"/>
        </w:rPr>
      </w:pPr>
      <m:oMath>
        <m:sSubSup>
          <m:sSubSupPr>
            <m:ctrlPr>
              <w:rPr>
                <w:rFonts w:ascii="Cambria Math" w:hAnsi="Cambria Math"/>
              </w:rPr>
            </m:ctrlPr>
          </m:sSubSupPr>
          <m:e>
            <m:r>
              <w:rPr>
                <w:rFonts w:ascii="Cambria Math" w:hAnsi="Cambria Math"/>
              </w:rPr>
              <m:t>ε'</m:t>
            </m:r>
          </m:e>
          <m:sub>
            <m:r>
              <w:rPr>
                <w:rFonts w:ascii="Cambria Math" w:hAnsi="Cambria Math"/>
              </w:rPr>
              <m:t>r,eff</m:t>
            </m:r>
          </m:sub>
          <m:sup>
            <m:r>
              <w:rPr>
                <w:rFonts w:ascii="Cambria Math" w:hAnsi="Cambria Math"/>
              </w:rPr>
              <m:t xml:space="preserve"> </m:t>
            </m:r>
          </m:sup>
        </m:sSubSup>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op</m:t>
            </m:r>
          </m:sub>
        </m:sSub>
        <m:sSubSup>
          <m:sSubSupPr>
            <m:ctrlPr>
              <w:rPr>
                <w:rFonts w:ascii="Cambria Math" w:hAnsi="Cambria Math"/>
              </w:rPr>
            </m:ctrlPr>
          </m:sSubSupPr>
          <m:e>
            <m:sSup>
              <m:sSupPr>
                <m:ctrlPr>
                  <w:rPr>
                    <w:rFonts w:ascii="Cambria Math" w:hAnsi="Cambria Math"/>
                    <w:i/>
                  </w:rPr>
                </m:ctrlPr>
              </m:sSupPr>
              <m:e>
                <m:r>
                  <w:rPr>
                    <w:rFonts w:ascii="Cambria Math" w:hAnsi="Cambria Math"/>
                  </w:rPr>
                  <m:t>ε</m:t>
                </m:r>
              </m:e>
              <m:sup>
                <m:r>
                  <w:rPr>
                    <w:rFonts w:ascii="Cambria Math" w:hAnsi="Cambria Math"/>
                  </w:rPr>
                  <m:t>'</m:t>
                </m:r>
              </m:sup>
            </m:sSup>
          </m:e>
          <m:sub>
            <m:r>
              <w:rPr>
                <w:rFonts w:ascii="Cambria Math" w:hAnsi="Cambria Math"/>
              </w:rPr>
              <m:t>r,air</m:t>
            </m:r>
          </m:sub>
          <m:sup>
            <m:r>
              <w:rPr>
                <w:rFonts w:ascii="Cambria Math" w:hAnsi="Cambria Math"/>
              </w:rPr>
              <m:t xml:space="preserve"> </m:t>
            </m:r>
          </m:sup>
        </m:sSubSup>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cd</m:t>
            </m:r>
          </m:sub>
        </m:sSub>
        <m:sSubSup>
          <m:sSubSupPr>
            <m:ctrlPr>
              <w:rPr>
                <w:rFonts w:ascii="Cambria Math" w:hAnsi="Cambria Math"/>
              </w:rPr>
            </m:ctrlPr>
          </m:sSubSupPr>
          <m:e>
            <m:sSup>
              <m:sSupPr>
                <m:ctrlPr>
                  <w:rPr>
                    <w:rFonts w:ascii="Cambria Math" w:hAnsi="Cambria Math"/>
                    <w:i/>
                  </w:rPr>
                </m:ctrlPr>
              </m:sSupPr>
              <m:e>
                <m:r>
                  <w:rPr>
                    <w:rFonts w:ascii="Cambria Math" w:hAnsi="Cambria Math"/>
                  </w:rPr>
                  <m:t>ε</m:t>
                </m:r>
              </m:e>
              <m:sup>
                <m:r>
                  <w:rPr>
                    <w:rFonts w:ascii="Cambria Math" w:hAnsi="Cambria Math"/>
                  </w:rPr>
                  <m:t>'</m:t>
                </m:r>
              </m:sup>
            </m:sSup>
          </m:e>
          <m:sub>
            <m:r>
              <w:rPr>
                <w:rFonts w:ascii="Cambria Math" w:hAnsi="Cambria Math"/>
              </w:rPr>
              <m:t>r,cd</m:t>
            </m:r>
          </m:sub>
          <m:sup>
            <m:r>
              <w:rPr>
                <w:rFonts w:ascii="Cambria Math" w:hAnsi="Cambria Math"/>
              </w:rPr>
              <m:t xml:space="preserve"> </m:t>
            </m:r>
          </m:sup>
        </m:sSubSup>
      </m:oMath>
      <w:r w:rsidR="007D3106" w:rsidRPr="005D53F8">
        <w:rPr>
          <w:rFonts w:asciiTheme="minorBidi" w:hAnsiTheme="minorBidi"/>
        </w:rPr>
        <w:t xml:space="preserve">            (</w:t>
      </w:r>
      <w:r w:rsidR="008C13C0" w:rsidRPr="005D53F8">
        <w:rPr>
          <w:rFonts w:asciiTheme="minorBidi" w:hAnsiTheme="minorBidi"/>
        </w:rPr>
        <w:t>1</w:t>
      </w:r>
      <w:r w:rsidR="007D3106" w:rsidRPr="005D53F8">
        <w:rPr>
          <w:rFonts w:asciiTheme="minorBidi" w:hAnsiTheme="minorBidi"/>
        </w:rPr>
        <w:t>)</w:t>
      </w:r>
    </w:p>
    <w:p w14:paraId="79F489F6" w14:textId="74CCEE96" w:rsidR="007D3106" w:rsidRPr="005D53F8" w:rsidRDefault="00DB3664" w:rsidP="007D3106">
      <w:pPr>
        <w:ind w:left="450"/>
        <w:jc w:val="center"/>
        <w:rPr>
          <w:rFonts w:asciiTheme="minorBidi" w:hAnsiTheme="minorBidi"/>
        </w:rPr>
      </w:pPr>
      <m:oMath>
        <m:sSubSup>
          <m:sSubSupPr>
            <m:ctrlPr>
              <w:rPr>
                <w:rFonts w:ascii="Cambria Math" w:hAnsi="Cambria Math"/>
              </w:rPr>
            </m:ctrlPr>
          </m:sSubSupPr>
          <m:e>
            <m:r>
              <w:rPr>
                <w:rFonts w:ascii="Cambria Math" w:hAnsi="Cambria Math"/>
              </w:rPr>
              <m:t xml:space="preserve"> ε"</m:t>
            </m:r>
          </m:e>
          <m:sub>
            <m:r>
              <w:rPr>
                <w:rFonts w:ascii="Cambria Math" w:hAnsi="Cambria Math"/>
              </w:rPr>
              <m:t>r,eff</m:t>
            </m:r>
          </m:sub>
          <m:sup>
            <m:r>
              <w:rPr>
                <w:rFonts w:ascii="Cambria Math" w:hAnsi="Cambria Math"/>
              </w:rPr>
              <m:t xml:space="preserve"> </m:t>
            </m:r>
          </m:sup>
        </m:sSubSup>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cd</m:t>
            </m:r>
          </m:sub>
        </m:sSub>
        <m:sSubSup>
          <m:sSubSupPr>
            <m:ctrlPr>
              <w:rPr>
                <w:rFonts w:ascii="Cambria Math" w:hAnsi="Cambria Math"/>
              </w:rPr>
            </m:ctrlPr>
          </m:sSubSupPr>
          <m:e>
            <m:r>
              <w:rPr>
                <w:rFonts w:ascii="Cambria Math" w:hAnsi="Cambria Math"/>
              </w:rPr>
              <m:t xml:space="preserve"> ε"</m:t>
            </m:r>
          </m:e>
          <m:sub>
            <m:r>
              <w:rPr>
                <w:rFonts w:ascii="Cambria Math" w:hAnsi="Cambria Math"/>
              </w:rPr>
              <m:t>r,cd</m:t>
            </m:r>
          </m:sub>
          <m:sup>
            <m:r>
              <w:rPr>
                <w:rFonts w:ascii="Cambria Math" w:hAnsi="Cambria Math"/>
              </w:rPr>
              <m:t xml:space="preserve"> </m:t>
            </m:r>
          </m:sup>
        </m:sSubSup>
      </m:oMath>
      <w:r w:rsidR="007D3106" w:rsidRPr="005D53F8">
        <w:rPr>
          <w:rFonts w:asciiTheme="minorBidi" w:hAnsiTheme="minorBidi"/>
        </w:rPr>
        <w:t xml:space="preserve">                             (</w:t>
      </w:r>
      <w:r w:rsidR="008C13C0" w:rsidRPr="005D53F8">
        <w:rPr>
          <w:rFonts w:asciiTheme="minorBidi" w:hAnsiTheme="minorBidi"/>
        </w:rPr>
        <w:t>2</w:t>
      </w:r>
      <w:r w:rsidR="007D3106" w:rsidRPr="005D53F8">
        <w:rPr>
          <w:rFonts w:asciiTheme="minorBidi" w:hAnsiTheme="minorBidi"/>
        </w:rPr>
        <w:t>)</w:t>
      </w:r>
    </w:p>
    <w:p w14:paraId="355D8D37" w14:textId="77777777" w:rsidR="007D3106" w:rsidRPr="005D53F8" w:rsidRDefault="007D3106" w:rsidP="007D3106">
      <w:pPr>
        <w:ind w:left="450"/>
        <w:jc w:val="both"/>
        <w:rPr>
          <w:rFonts w:asciiTheme="minorBidi" w:hAnsiTheme="minorBidi"/>
        </w:rPr>
      </w:pPr>
    </w:p>
    <w:p w14:paraId="60FF51B8" w14:textId="045D2AA1" w:rsidR="007D3106" w:rsidRDefault="007D3106" w:rsidP="007D3106">
      <w:pPr>
        <w:rPr>
          <w:rFonts w:asciiTheme="minorBidi" w:hAnsiTheme="minorBidi"/>
        </w:rPr>
      </w:pPr>
      <w:r w:rsidRPr="005D53F8">
        <w:rPr>
          <w:rFonts w:asciiTheme="minorBidi" w:hAnsiTheme="minorBidi"/>
        </w:rPr>
        <w:t xml:space="preserve"> Microwave energy penetration and its consumption strongly depend on the effective complex permittivity of the desiccant wheel. Effective complex permittivity depends on adsorption uptake (water vapor loading), so it must be obtained for different uptake values.</w:t>
      </w:r>
    </w:p>
    <w:p w14:paraId="053910CC" w14:textId="79461F53" w:rsidR="005D53F8" w:rsidRDefault="005D53F8" w:rsidP="007D3106">
      <w:pPr>
        <w:rPr>
          <w:rFonts w:asciiTheme="minorBidi" w:hAnsiTheme="minorBidi"/>
        </w:rPr>
      </w:pPr>
    </w:p>
    <w:p w14:paraId="122C9C5B" w14:textId="7E1A3902" w:rsidR="005D53F8" w:rsidRPr="005D53F8" w:rsidRDefault="005D53F8" w:rsidP="007D3106">
      <w:pPr>
        <w:rPr>
          <w:rFonts w:asciiTheme="minorBidi" w:hAnsiTheme="minorBidi"/>
          <w:i/>
          <w:iCs/>
        </w:rPr>
      </w:pPr>
      <w:r w:rsidRPr="005D53F8">
        <w:rPr>
          <w:rFonts w:asciiTheme="minorBidi" w:hAnsiTheme="minorBidi"/>
          <w:i/>
          <w:iCs/>
        </w:rPr>
        <w:t>References</w:t>
      </w:r>
    </w:p>
    <w:p w14:paraId="4E40B5E6" w14:textId="58BBAC3A" w:rsidR="005D53F8" w:rsidRDefault="005D53F8" w:rsidP="005D53F8">
      <w:pPr>
        <w:widowControl w:val="0"/>
        <w:pBdr>
          <w:top w:val="nil"/>
          <w:left w:val="nil"/>
          <w:bottom w:val="nil"/>
          <w:right w:val="nil"/>
          <w:between w:val="nil"/>
        </w:pBdr>
        <w:spacing w:line="240" w:lineRule="auto"/>
        <w:ind w:left="384" w:hanging="384"/>
        <w:jc w:val="both"/>
      </w:pPr>
      <w:r>
        <w:lastRenderedPageBreak/>
        <w:t>[1]</w:t>
      </w:r>
      <w:r>
        <w:tab/>
        <w:t>“Evaluation of measurement data — Guide to the expression of uncertainty in measurement.” JCGM, 2008. [Online]. Available: https://www.bipm.org/documents/20126/2071204/JCGM_100_2008_E.pdf/cb0ef43f-baa5-11cf-3f85-4dcd86f77bd6</w:t>
      </w:r>
    </w:p>
    <w:p w14:paraId="4F0A03CD" w14:textId="77777777" w:rsidR="005D53F8" w:rsidRPr="005D53F8" w:rsidRDefault="005D53F8" w:rsidP="007D3106">
      <w:pPr>
        <w:rPr>
          <w:rFonts w:asciiTheme="minorBidi" w:hAnsiTheme="minorBidi"/>
        </w:rPr>
      </w:pPr>
    </w:p>
    <w:sectPr w:rsidR="005D53F8" w:rsidRPr="005D5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14D67"/>
    <w:multiLevelType w:val="multilevel"/>
    <w:tmpl w:val="35D0F4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LQwNjczNLc0tzQ0MDFT0lEKTi0uzszPAykwqQUAY85HnSwAAAA="/>
  </w:docVars>
  <w:rsids>
    <w:rsidRoot w:val="007D3106"/>
    <w:rsid w:val="0009583B"/>
    <w:rsid w:val="005C118D"/>
    <w:rsid w:val="005D53F8"/>
    <w:rsid w:val="007D3106"/>
    <w:rsid w:val="008C13C0"/>
    <w:rsid w:val="00C75A5A"/>
    <w:rsid w:val="00DB36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10273"/>
  <w15:chartTrackingRefBased/>
  <w15:docId w15:val="{7B313A56-BBCB-4AF6-A4CB-3C4A72A1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5A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rsid w:val="007D3106"/>
    <w:pPr>
      <w:keepNext/>
      <w:keepLines/>
      <w:spacing w:after="0" w:line="276" w:lineRule="auto"/>
      <w:ind w:firstLine="630"/>
      <w:jc w:val="both"/>
      <w:outlineLvl w:val="2"/>
    </w:pPr>
    <w:rPr>
      <w:rFonts w:ascii="Arial" w:eastAsia="Arial" w:hAnsi="Arial" w:cs="Arial"/>
      <w:i/>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D3106"/>
    <w:rPr>
      <w:rFonts w:ascii="Arial" w:eastAsia="Arial" w:hAnsi="Arial" w:cs="Arial"/>
      <w:i/>
      <w:lang w:val="en"/>
    </w:rPr>
  </w:style>
  <w:style w:type="character" w:customStyle="1" w:styleId="Heading1Char">
    <w:name w:val="Heading 1 Char"/>
    <w:basedOn w:val="DefaultParagraphFont"/>
    <w:link w:val="Heading1"/>
    <w:uiPriority w:val="9"/>
    <w:rsid w:val="00C75A5A"/>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75A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Visio_Drawing.vs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doskhan.ybyraiymkul@kaust.edu.s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KAUST</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Doskhan Ybyraiymkul</dc:creator>
  <cp:keywords/>
  <dc:description/>
  <cp:lastModifiedBy>KITS</cp:lastModifiedBy>
  <cp:revision>5</cp:revision>
  <dcterms:created xsi:type="dcterms:W3CDTF">2022-02-20T13:33:00Z</dcterms:created>
  <dcterms:modified xsi:type="dcterms:W3CDTF">2023-01-20T07:31:00Z</dcterms:modified>
</cp:coreProperties>
</file>