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2FD5A" w14:textId="45D26391" w:rsidR="00AD457B" w:rsidRPr="009215A1" w:rsidRDefault="009156AE" w:rsidP="00AD457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</w:t>
      </w:r>
      <w:r w:rsidR="00AD457B" w:rsidRPr="009215A1">
        <w:rPr>
          <w:rFonts w:ascii="Times New Roman" w:hAnsi="Times New Roman" w:cs="Times New Roman"/>
          <w:sz w:val="24"/>
          <w:szCs w:val="24"/>
        </w:rPr>
        <w:t xml:space="preserve"> 1</w:t>
      </w:r>
      <w:r w:rsidR="004D681D" w:rsidRPr="009215A1">
        <w:rPr>
          <w:rFonts w:ascii="Times New Roman" w:hAnsi="Times New Roman" w:cs="Times New Roman"/>
          <w:sz w:val="24"/>
          <w:szCs w:val="24"/>
        </w:rPr>
        <w:t>.</w:t>
      </w:r>
      <w:r w:rsidR="00AD457B" w:rsidRPr="009215A1">
        <w:rPr>
          <w:rFonts w:ascii="Times New Roman" w:hAnsi="Times New Roman" w:cs="Times New Roman"/>
          <w:sz w:val="24"/>
          <w:szCs w:val="24"/>
        </w:rPr>
        <w:t xml:space="preserve"> Predictive value of coagulation markers in laryngeal squamous cell carcinoma</w:t>
      </w:r>
    </w:p>
    <w:tbl>
      <w:tblPr>
        <w:tblW w:w="10644" w:type="dxa"/>
        <w:tblLook w:val="04A0" w:firstRow="1" w:lastRow="0" w:firstColumn="1" w:lastColumn="0" w:noHBand="0" w:noVBand="1"/>
      </w:tblPr>
      <w:tblGrid>
        <w:gridCol w:w="1610"/>
        <w:gridCol w:w="833"/>
        <w:gridCol w:w="1259"/>
        <w:gridCol w:w="1448"/>
        <w:gridCol w:w="71"/>
        <w:gridCol w:w="1217"/>
        <w:gridCol w:w="1127"/>
        <w:gridCol w:w="1543"/>
        <w:gridCol w:w="1536"/>
      </w:tblGrid>
      <w:tr w:rsidR="00AD457B" w:rsidRPr="00CF1C24" w14:paraId="00852997" w14:textId="77777777" w:rsidTr="00EF5CBA">
        <w:trPr>
          <w:trHeight w:val="455"/>
        </w:trPr>
        <w:tc>
          <w:tcPr>
            <w:tcW w:w="1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4F2FD"/>
            <w:vAlign w:val="center"/>
          </w:tcPr>
          <w:p w14:paraId="087E3220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b/>
                <w:bCs/>
                <w:kern w:val="0"/>
                <w:sz w:val="24"/>
                <w:szCs w:val="24"/>
              </w:rPr>
              <w:t>Parameters</w:t>
            </w:r>
            <w:r w:rsidRPr="00CF1C24">
              <w:rPr>
                <w:rFonts w:ascii="Times New Roman" w:eastAsia="微软雅黑" w:hAnsi="Times New Roman" w:cs="Times New Roman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4F2FD"/>
            <w:vAlign w:val="center"/>
          </w:tcPr>
          <w:p w14:paraId="6C55B397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  <w:t>AUC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4F2FD"/>
            <w:vAlign w:val="center"/>
          </w:tcPr>
          <w:p w14:paraId="2ED78A03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  <w:t>p-value</w:t>
            </w:r>
          </w:p>
        </w:tc>
        <w:tc>
          <w:tcPr>
            <w:tcW w:w="15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4F2FD"/>
            <w:vAlign w:val="center"/>
          </w:tcPr>
          <w:p w14:paraId="1DD66D22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  <w:t>95%CI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4F2FD"/>
            <w:vAlign w:val="center"/>
          </w:tcPr>
          <w:p w14:paraId="4625753D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  <w:t>Youden Index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4F2FD"/>
            <w:vAlign w:val="center"/>
          </w:tcPr>
          <w:p w14:paraId="260F6E5E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  <w:t xml:space="preserve">cut-off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4F2FD"/>
            <w:vAlign w:val="center"/>
          </w:tcPr>
          <w:p w14:paraId="3909D162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  <w:t>Sensitivity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4F2FD"/>
            <w:vAlign w:val="center"/>
          </w:tcPr>
          <w:p w14:paraId="48B27025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  <w:t>Specificity</w:t>
            </w:r>
          </w:p>
        </w:tc>
        <w:bookmarkStart w:id="0" w:name="_GoBack"/>
        <w:bookmarkEnd w:id="0"/>
      </w:tr>
      <w:tr w:rsidR="00AD457B" w:rsidRPr="00CF1C24" w14:paraId="1B22B9B2" w14:textId="77777777" w:rsidTr="00EF5CBA">
        <w:trPr>
          <w:trHeight w:val="455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939C9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  <w:t>PT(S)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A82C8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7D875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&lt;0.001*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7DFA0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0.561-0.64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ADA7D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0.135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CAD53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12.65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220AB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0.274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C1FF5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0.861</w:t>
            </w:r>
          </w:p>
        </w:tc>
      </w:tr>
      <w:tr w:rsidR="00AD457B" w:rsidRPr="00CF1C24" w14:paraId="4D8A5A39" w14:textId="77777777" w:rsidTr="00EF5CBA">
        <w:trPr>
          <w:trHeight w:val="455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1E3AA447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  <w:t>APTT(S)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4ABCFDA0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0.568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4F5AC80E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0.001*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68B98E43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0.527-0.609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31937DA0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0.111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02474270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29.15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02CC77F7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0.518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7922F7D3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0.593</w:t>
            </w:r>
          </w:p>
        </w:tc>
      </w:tr>
      <w:tr w:rsidR="00AD457B" w:rsidRPr="00CF1C24" w14:paraId="0571B280" w14:textId="77777777" w:rsidTr="00EF5CBA">
        <w:trPr>
          <w:trHeight w:val="455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429BA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  <w:t>Fib(g/L)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1A96C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0.761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D80CE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&lt;0.001*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3403F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0.726-0.796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46974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0.416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E8CAA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2.975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7239C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0.703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DE6F2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0.416</w:t>
            </w:r>
          </w:p>
        </w:tc>
      </w:tr>
      <w:tr w:rsidR="00AD457B" w:rsidRPr="00CF1C24" w14:paraId="1971E528" w14:textId="77777777" w:rsidTr="00EF5CBA">
        <w:trPr>
          <w:trHeight w:val="455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75D99125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  <w:t>PC(10</w:t>
            </w:r>
            <w:r w:rsidRPr="00CF1C24">
              <w:rPr>
                <w:rFonts w:ascii="Times New Roman" w:eastAsia="微软雅黑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⁹/L)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36A21E92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0.499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047B90B3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0.975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136AC559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0.458-0.541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0221A228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0.044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5F567C32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266.5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13E775B1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0.389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319AC485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0.655</w:t>
            </w:r>
          </w:p>
        </w:tc>
      </w:tr>
      <w:tr w:rsidR="00AD457B" w:rsidRPr="00CF1C24" w14:paraId="239FFE42" w14:textId="77777777" w:rsidTr="00EF5CBA">
        <w:trPr>
          <w:trHeight w:val="455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0E3E8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  <w:t>PCT(%)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413D9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0.465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A3A22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0.089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4FD13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0.424-0.506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D89C2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0.017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AB8BD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0.47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DD54C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0.017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C85A5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1</w:t>
            </w:r>
          </w:p>
        </w:tc>
      </w:tr>
      <w:tr w:rsidR="00AD457B" w:rsidRPr="00CF1C24" w14:paraId="158B5BF9" w14:textId="77777777" w:rsidTr="00EF5CBA">
        <w:trPr>
          <w:trHeight w:val="455"/>
        </w:trPr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4BE9F25B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  <w:t>MPV(fL)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690378BA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0.413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453B7872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&lt;0.001*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15889771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0.374-0.452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34267E5A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0.002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43CA144B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8.15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3A7953AB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0.987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000000" w:fill="F4F2FD"/>
            <w:vAlign w:val="center"/>
          </w:tcPr>
          <w:p w14:paraId="5B8B9977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0.015</w:t>
            </w:r>
          </w:p>
        </w:tc>
      </w:tr>
      <w:tr w:rsidR="00AD457B" w:rsidRPr="00CF1C24" w14:paraId="0EB3241E" w14:textId="77777777" w:rsidTr="00EF5CBA">
        <w:trPr>
          <w:trHeight w:val="455"/>
        </w:trPr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542EF5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b/>
                <w:bCs/>
                <w:color w:val="010205"/>
                <w:kern w:val="0"/>
                <w:sz w:val="24"/>
                <w:szCs w:val="24"/>
              </w:rPr>
              <w:t>PDW(fL)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9A3C21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0.467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0190A3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0.108</w:t>
            </w:r>
          </w:p>
        </w:tc>
        <w:tc>
          <w:tcPr>
            <w:tcW w:w="15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167E1A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0.425-0.508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F090D3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0.029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F0BF48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15.15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BE6CB5B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0.29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141D41" w14:textId="77777777" w:rsidR="00AD457B" w:rsidRPr="00CF1C24" w:rsidRDefault="00AD457B" w:rsidP="00EF5CBA">
            <w:pPr>
              <w:widowControl/>
              <w:spacing w:line="480" w:lineRule="auto"/>
              <w:jc w:val="center"/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</w:pPr>
            <w:r w:rsidRPr="00CF1C24">
              <w:rPr>
                <w:rFonts w:ascii="Times New Roman" w:eastAsia="微软雅黑" w:hAnsi="Times New Roman" w:cs="Times New Roman"/>
                <w:color w:val="010205"/>
                <w:kern w:val="0"/>
                <w:sz w:val="24"/>
                <w:szCs w:val="24"/>
              </w:rPr>
              <w:t>0.739</w:t>
            </w:r>
          </w:p>
        </w:tc>
      </w:tr>
    </w:tbl>
    <w:p w14:paraId="73683369" w14:textId="5259D9E8" w:rsidR="004D681D" w:rsidRDefault="00C377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AUC: area under the curve, CI: confidence interval, </w:t>
      </w:r>
      <w:r w:rsidR="00AD457B" w:rsidRPr="00CF1C24">
        <w:rPr>
          <w:rFonts w:ascii="Times New Roman" w:hAnsi="Times New Roman" w:cs="Times New Roman"/>
          <w:sz w:val="24"/>
          <w:szCs w:val="24"/>
        </w:rPr>
        <w:t>PT: prothrombin time, APTT: activated partial thromboplastin time, Fib: fibrinogen, PC: platelet count, PCT: plateletcrit, MPV: mean platelet volume, PDW: platelet distribution width.</w:t>
      </w:r>
    </w:p>
    <w:p w14:paraId="6A314167" w14:textId="5C9FFE6C" w:rsidR="00522835" w:rsidRDefault="00AD457B">
      <w:pPr>
        <w:rPr>
          <w:rFonts w:ascii="Times New Roman" w:hAnsi="Times New Roman" w:cs="Times New Roman"/>
          <w:sz w:val="24"/>
          <w:szCs w:val="24"/>
        </w:rPr>
      </w:pPr>
      <w:r w:rsidRPr="00CF1C24">
        <w:rPr>
          <w:rFonts w:ascii="Times New Roman" w:hAnsi="Times New Roman" w:cs="Times New Roman"/>
          <w:sz w:val="24"/>
          <w:szCs w:val="24"/>
        </w:rPr>
        <w:t>* indicates that the difference is statistically significant.</w:t>
      </w:r>
    </w:p>
    <w:p w14:paraId="6D854773" w14:textId="49B52ADA" w:rsidR="009156AE" w:rsidRDefault="009156AE">
      <w:pPr>
        <w:widowControl/>
        <w:spacing w:after="160" w:line="259" w:lineRule="auto"/>
        <w:jc w:val="left"/>
      </w:pPr>
      <w:r>
        <w:br w:type="page"/>
      </w:r>
    </w:p>
    <w:p w14:paraId="4DE1910C" w14:textId="77777777" w:rsidR="009156AE" w:rsidRDefault="009156AE">
      <w:pPr>
        <w:sectPr w:rsidR="009156AE" w:rsidSect="00AD457B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1AC0F51" w14:textId="63732269" w:rsidR="009156AE" w:rsidRPr="000F7067" w:rsidRDefault="009156AE" w:rsidP="009156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Pr="000F7067">
        <w:rPr>
          <w:rFonts w:ascii="Times New Roman" w:hAnsi="Times New Roman" w:cs="Times New Roman"/>
          <w:sz w:val="24"/>
          <w:szCs w:val="24"/>
        </w:rPr>
        <w:t>2. Potential predictive performance of coagulation markers for postoperative pathology</w:t>
      </w:r>
    </w:p>
    <w:tbl>
      <w:tblPr>
        <w:tblpPr w:leftFromText="181" w:rightFromText="181" w:vertAnchor="text" w:horzAnchor="margin" w:tblpY="30"/>
        <w:tblOverlap w:val="never"/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239"/>
        <w:gridCol w:w="774"/>
        <w:gridCol w:w="1083"/>
        <w:gridCol w:w="1359"/>
        <w:gridCol w:w="1116"/>
        <w:gridCol w:w="928"/>
        <w:gridCol w:w="1238"/>
        <w:gridCol w:w="1289"/>
      </w:tblGrid>
      <w:tr w:rsidR="009156AE" w:rsidRPr="006119E6" w14:paraId="29EBC340" w14:textId="77777777" w:rsidTr="009156AE">
        <w:trPr>
          <w:trHeight w:val="384"/>
        </w:trPr>
        <w:tc>
          <w:tcPr>
            <w:tcW w:w="686" w:type="pct"/>
            <w:shd w:val="clear" w:color="auto" w:fill="DDEBF7"/>
            <w:vAlign w:val="center"/>
          </w:tcPr>
          <w:p w14:paraId="0E4DAD60" w14:textId="77777777" w:rsidR="009156AE" w:rsidRPr="006119E6" w:rsidRDefault="009156AE" w:rsidP="004275E1">
            <w:pPr>
              <w:widowControl/>
              <w:jc w:val="left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Variables</w:t>
            </w:r>
          </w:p>
        </w:tc>
        <w:tc>
          <w:tcPr>
            <w:tcW w:w="429" w:type="pct"/>
            <w:shd w:val="clear" w:color="auto" w:fill="DDEBF7"/>
            <w:vAlign w:val="center"/>
          </w:tcPr>
          <w:p w14:paraId="55010514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AUC</w:t>
            </w:r>
          </w:p>
        </w:tc>
        <w:tc>
          <w:tcPr>
            <w:tcW w:w="600" w:type="pct"/>
            <w:shd w:val="clear" w:color="auto" w:fill="DDEBF7"/>
            <w:vAlign w:val="center"/>
          </w:tcPr>
          <w:p w14:paraId="232CBBD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p-value</w:t>
            </w:r>
          </w:p>
        </w:tc>
        <w:tc>
          <w:tcPr>
            <w:tcW w:w="753" w:type="pct"/>
            <w:shd w:val="clear" w:color="auto" w:fill="DDEBF7"/>
            <w:vAlign w:val="center"/>
          </w:tcPr>
          <w:p w14:paraId="062FE0D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95%CI</w:t>
            </w:r>
          </w:p>
        </w:tc>
        <w:tc>
          <w:tcPr>
            <w:tcW w:w="618" w:type="pct"/>
            <w:shd w:val="clear" w:color="auto" w:fill="DDEBF7"/>
            <w:vAlign w:val="center"/>
          </w:tcPr>
          <w:p w14:paraId="75D1132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Youden Index</w:t>
            </w:r>
          </w:p>
        </w:tc>
        <w:tc>
          <w:tcPr>
            <w:tcW w:w="514" w:type="pct"/>
            <w:shd w:val="clear" w:color="auto" w:fill="DDEBF7"/>
            <w:vAlign w:val="center"/>
          </w:tcPr>
          <w:p w14:paraId="70D8E62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cut-off</w:t>
            </w:r>
          </w:p>
        </w:tc>
        <w:tc>
          <w:tcPr>
            <w:tcW w:w="686" w:type="pct"/>
            <w:shd w:val="clear" w:color="auto" w:fill="DDEBF7"/>
            <w:vAlign w:val="center"/>
          </w:tcPr>
          <w:p w14:paraId="4C036E44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714" w:type="pct"/>
            <w:shd w:val="clear" w:color="auto" w:fill="DDEBF7"/>
            <w:vAlign w:val="center"/>
          </w:tcPr>
          <w:p w14:paraId="3AAA14C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Specificity</w:t>
            </w:r>
          </w:p>
        </w:tc>
      </w:tr>
      <w:tr w:rsidR="009156AE" w:rsidRPr="006119E6" w14:paraId="52915481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54AE477D" w14:textId="77777777" w:rsidR="009156AE" w:rsidRPr="006119E6" w:rsidRDefault="009156AE" w:rsidP="004275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pT stage</w:t>
            </w: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3CF96D10" w14:textId="77777777" w:rsidR="009156AE" w:rsidRPr="006119E6" w:rsidRDefault="009156AE" w:rsidP="004275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47D9D2C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0A791A6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62F7AF8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53157F0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7AB7C141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767DC8E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9156AE" w:rsidRPr="006119E6" w14:paraId="3F7E1AC3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2C63CC2E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PT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0B9CC91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0.625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18DB630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3372DE0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0.555-0.695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58BDA91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7F0D71D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12.45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41D4F057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0.505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21150C1B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0.745</w:t>
            </w:r>
          </w:p>
        </w:tc>
      </w:tr>
      <w:tr w:rsidR="009156AE" w:rsidRPr="006119E6" w14:paraId="77C567FD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63D57218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APTT</w:t>
            </w: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0E86F8F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0.556</w:t>
            </w: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6B099A9B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0.121</w:t>
            </w: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6A7D10B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0.485-0.626</w:t>
            </w: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5AF6FF3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-</w:t>
            </w: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50AAC14B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 w:themeFill="background1"/>
              </w:rPr>
              <w:t>-</w:t>
            </w: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41C636E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 w:themeFill="background1"/>
              </w:rPr>
              <w:t>-</w:t>
            </w: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6C363CB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  <w:shd w:val="clear" w:color="auto" w:fill="FFFFFF" w:themeFill="background1"/>
              </w:rPr>
              <w:t>-</w:t>
            </w:r>
          </w:p>
        </w:tc>
      </w:tr>
      <w:tr w:rsidR="009156AE" w:rsidRPr="006119E6" w14:paraId="06FB8068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6B3357CF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Fib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2BBC86A1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0.676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7A858DA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70981E3A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0.606-0.746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16CC79E7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0.315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3D6D5CD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3.71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2790BB91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0.632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76787A5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0.683</w:t>
            </w:r>
          </w:p>
        </w:tc>
      </w:tr>
      <w:tr w:rsidR="009156AE" w:rsidRPr="006119E6" w14:paraId="1644EDBE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7979CCDA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PC</w:t>
            </w: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50B4B471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0.603</w:t>
            </w: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3F7B2699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0.004</w:t>
            </w: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7284835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0.531-0.676</w:t>
            </w: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60B0611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0.214</w:t>
            </w: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6988EB1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257</w:t>
            </w: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44AFE5B7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0.579</w:t>
            </w: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2B0C69D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0.635</w:t>
            </w:r>
          </w:p>
        </w:tc>
      </w:tr>
      <w:tr w:rsidR="009156AE" w:rsidRPr="006119E6" w14:paraId="40987C5D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6D6151EF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PCT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49913BB4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0.595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63AC4839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635B98C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0.523-0.667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4C003373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0.208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3EC2AEF9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0.285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4DBF6B63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43878224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0.808</w:t>
            </w:r>
          </w:p>
        </w:tc>
      </w:tr>
      <w:tr w:rsidR="009156AE" w:rsidRPr="006119E6" w14:paraId="099B829F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34E7DB18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MPV</w:t>
            </w: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3DCD035B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0.412</w:t>
            </w: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7D069984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0.014</w:t>
            </w: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013C468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0.343-0.481</w:t>
            </w: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006A8057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0.005</w:t>
            </w: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10CA2E2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7.3</w:t>
            </w: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375A2589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1</w:t>
            </w: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185ED84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0.005</w:t>
            </w:r>
          </w:p>
        </w:tc>
      </w:tr>
      <w:tr w:rsidR="009156AE" w:rsidRPr="006119E6" w14:paraId="4FA46706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2DEEC00A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3B4A14E7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2410B08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2F50A68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4412269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075F77FA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748A74BA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7EAD0BA3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9156AE" w:rsidRPr="006119E6" w14:paraId="7654B0CC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71111FED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PDW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3902C3A1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0.442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3A17CD2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0.104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3E255C6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0.371-0.512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3A57C1F3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53B866E3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644FE39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67DBCD0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9156AE" w:rsidRPr="006119E6" w14:paraId="3CA322D3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2A0F719B" w14:textId="77777777" w:rsidR="009156AE" w:rsidRPr="006119E6" w:rsidRDefault="009156AE" w:rsidP="004275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pN stage</w:t>
            </w: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2D860593" w14:textId="77777777" w:rsidR="009156AE" w:rsidRPr="006119E6" w:rsidRDefault="009156AE" w:rsidP="004275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0990B01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0EBF69F3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605046B9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02B610E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1DB45F9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2BC4EC1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9156AE" w:rsidRPr="006119E6" w14:paraId="7A58D656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597BD004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PT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7DE821B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0.603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4D623169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0.034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4B0E715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0.506-0.7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04201664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0.219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5E07BBB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12.65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69BA3173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0.463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2708094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0.756</w:t>
            </w:r>
          </w:p>
        </w:tc>
      </w:tr>
      <w:tr w:rsidR="009156AE" w:rsidRPr="006119E6" w14:paraId="2FFE02F9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3D239083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APTT</w:t>
            </w: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186BC164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0.603</w:t>
            </w: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78E6DDF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0.035</w:t>
            </w: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4BDE0EE4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0.521-0.684</w:t>
            </w: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20EE29A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0.24</w:t>
            </w: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6BC0C9E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29</w:t>
            </w: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5E0F7644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0.732</w:t>
            </w: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1239019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shd w:val="clear" w:color="auto" w:fill="FFFFFF" w:themeFill="background1"/>
              </w:rPr>
              <w:t>0.508</w:t>
            </w:r>
          </w:p>
        </w:tc>
      </w:tr>
      <w:tr w:rsidR="009156AE" w:rsidRPr="006119E6" w14:paraId="6F3CBCE6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3EC4E87E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Fib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2318020B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0.717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6B13126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55B69C70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0.628-0.807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599C616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0.381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5F51C220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4.54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5E911C51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0.488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7FF82F5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0.893</w:t>
            </w:r>
          </w:p>
        </w:tc>
      </w:tr>
      <w:tr w:rsidR="009156AE" w:rsidRPr="006119E6" w14:paraId="607005C2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0827A87D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PC</w:t>
            </w: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74776A4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0.724</w:t>
            </w: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2435C9D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3E8DFEA0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0.636-0.812</w:t>
            </w: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686E03B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5F9130C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275.5</w:t>
            </w: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600A7147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0.683</w:t>
            </w: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0BA8A93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0.737</w:t>
            </w:r>
          </w:p>
        </w:tc>
      </w:tr>
      <w:tr w:rsidR="009156AE" w:rsidRPr="006119E6" w14:paraId="3861C7CA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4499C376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PCT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59EC537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0.702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5A4BE981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2D49E6C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0.609-0.796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07287117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0.351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3587235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0.351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1C62E1D3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0.561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187E17B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</w:t>
            </w:r>
          </w:p>
        </w:tc>
      </w:tr>
      <w:tr w:rsidR="009156AE" w:rsidRPr="006119E6" w14:paraId="2DA337F8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1A3A5C36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MPV</w:t>
            </w: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4BF05690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0.364</w:t>
            </w: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5E35AF1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4C8A40C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0.263-0.465</w:t>
            </w: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6EE4A43A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0.067</w:t>
            </w: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547D484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11.65</w:t>
            </w: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654A5B00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0.098</w:t>
            </w: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70920A54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0.969</w:t>
            </w:r>
          </w:p>
        </w:tc>
      </w:tr>
      <w:tr w:rsidR="009156AE" w:rsidRPr="006119E6" w14:paraId="3E2644A0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69A6FDE2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PDW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4666AA4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0.473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6BA05F0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0.576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026B8B6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0.362-0.584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72D0D1C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500D935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33D98649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3B015BA9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9156AE" w:rsidRPr="006119E6" w14:paraId="00F6A34D" w14:textId="77777777" w:rsidTr="009156AE">
        <w:trPr>
          <w:trHeight w:val="295"/>
        </w:trPr>
        <w:tc>
          <w:tcPr>
            <w:tcW w:w="1115" w:type="pct"/>
            <w:gridSpan w:val="2"/>
            <w:shd w:val="clear" w:color="auto" w:fill="FFFFFF" w:themeFill="background1"/>
            <w:noWrap/>
            <w:vAlign w:val="center"/>
          </w:tcPr>
          <w:p w14:paraId="5D238CFC" w14:textId="77777777" w:rsidR="009156AE" w:rsidRPr="006119E6" w:rsidRDefault="009156AE" w:rsidP="004275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Tumor stage</w:t>
            </w: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37E477B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52D25F7B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6BA5D90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54830E1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42BFBB8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508B097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156AE" w:rsidRPr="006119E6" w14:paraId="1AB79AD4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10E373A1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PT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00D792E1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0.615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692A60D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19D323C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0.546-0.684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540FEE3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0233AAC7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16.7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132B3723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7BEEFEF3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156AE" w:rsidRPr="006119E6" w14:paraId="35E22F1C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10BB75E2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APTT</w:t>
            </w: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02A621CB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0.574</w:t>
            </w: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3A6B0F2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0.035</w:t>
            </w: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38325EE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0.505-0.642</w:t>
            </w: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7F6EE8A7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0.176</w:t>
            </w: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5CE045BA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29.75</w:t>
            </w: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22DFE28A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0.558</w:t>
            </w: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0202862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0.618</w:t>
            </w:r>
          </w:p>
        </w:tc>
      </w:tr>
      <w:tr w:rsidR="009156AE" w:rsidRPr="006119E6" w14:paraId="0EB17715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413618F2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Fib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5367C93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0.665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4FA0146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4B3ACAAB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0.597-0.734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297DDE8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5CCDF9A4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0.08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64EEEF4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3D5F5E4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9156AE" w:rsidRPr="006119E6" w14:paraId="5E8D5EC2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49322291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PC</w:t>
            </w: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2364E88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0.61</w:t>
            </w: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713919F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36A62F43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0.541-0.679</w:t>
            </w: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206FF409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0.209</w:t>
            </w: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01F1B6D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272.5</w:t>
            </w: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30FF369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0.49</w:t>
            </w: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49DDD6F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0.719</w:t>
            </w:r>
          </w:p>
        </w:tc>
      </w:tr>
      <w:tr w:rsidR="009156AE" w:rsidRPr="006119E6" w14:paraId="561A70A0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707910D0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PCT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6F8701A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0.613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295875C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41AC5AF1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0.544-0.682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0C29BA1A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0.223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37D53629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0.285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098B9E03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0.404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4C3987C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0.819</w:t>
            </w:r>
          </w:p>
        </w:tc>
      </w:tr>
      <w:tr w:rsidR="009156AE" w:rsidRPr="006119E6" w14:paraId="1439A51F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4F5F7EB8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MPV</w:t>
            </w: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1D8D357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0.435</w:t>
            </w: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4D48907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0.065</w:t>
            </w: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73DAD93A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0.366-0.505</w:t>
            </w: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2DCC888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1A9E394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4308F06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48FC5AF1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9156AE" w:rsidRPr="006119E6" w14:paraId="37D71FAF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02805A60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PDW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1117CCA0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0.458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5911CEF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0.225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1B3EF850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0.388-0.527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59C8C93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06DC06A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41F79C3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5331C81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9156AE" w:rsidRPr="006119E6" w14:paraId="1F01C94F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52E74EEB" w14:textId="77777777" w:rsidR="009156AE" w:rsidRPr="006119E6" w:rsidRDefault="009156AE" w:rsidP="004275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LVI/PNI</w:t>
            </w: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0ECB7F1E" w14:textId="77777777" w:rsidR="009156AE" w:rsidRPr="006119E6" w:rsidRDefault="009156AE" w:rsidP="004275E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2FD84B09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17C3676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3E62605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5F16AA7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0397892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67756DCA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156AE" w:rsidRPr="006119E6" w14:paraId="0F57655E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229496E5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PT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396D95B3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0.585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3C14CAF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0.134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04BA745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0.471-0.698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000EF47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58C47907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0463E38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071D6FD1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9156AE" w:rsidRPr="006119E6" w14:paraId="4C77D537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26D882B8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APTT</w:t>
            </w: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5B1B8FD4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0.612</w:t>
            </w: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4B69A0B1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0.047</w:t>
            </w: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2E4676A0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0.507-0.717</w:t>
            </w: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6041A72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0.266</w:t>
            </w: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51B7350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29.15</w:t>
            </w: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7C7A128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0.759</w:t>
            </w: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72269039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0.057</w:t>
            </w:r>
          </w:p>
        </w:tc>
      </w:tr>
      <w:tr w:rsidR="009156AE" w:rsidRPr="006119E6" w14:paraId="0F9E79A6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2C3B7839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Fib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007FE300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0.651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453424A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7C6E2614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0.542-0.761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28B7C0A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0.291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2C66BC6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4.215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7C55BCC9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0.517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00386C4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0.774</w:t>
            </w:r>
          </w:p>
        </w:tc>
      </w:tr>
      <w:tr w:rsidR="009156AE" w:rsidRPr="006119E6" w14:paraId="2E205106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4DAD7BF8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PC</w:t>
            </w: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1379B6D0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0.654</w:t>
            </w: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3F670DD3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6F8A1D5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0.551-0.757</w:t>
            </w: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2094433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0.268</w:t>
            </w: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72E42A4A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261.5</w:t>
            </w: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36373C63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0.655</w:t>
            </w: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00148433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0.613</w:t>
            </w:r>
          </w:p>
        </w:tc>
      </w:tr>
      <w:tr w:rsidR="009156AE" w:rsidRPr="006119E6" w14:paraId="2551BC5D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28D12B60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PCT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7B79BAF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0.646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0806A5A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020E686B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0.54-0.752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7DC8756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0E4E15B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0.275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64A4F283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0.483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26F87949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0.737</w:t>
            </w:r>
          </w:p>
        </w:tc>
      </w:tr>
      <w:tr w:rsidR="009156AE" w:rsidRPr="006119E6" w14:paraId="16E448F4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4BB40344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MPV</w:t>
            </w: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53EE2C7B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</w:t>
            </w: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732D5049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0.597</w:t>
            </w: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2C6DE60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0.35-0.59</w:t>
            </w: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0F1F38F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3BDA51E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4185A8EB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3FAE2593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9156AE" w:rsidRPr="006119E6" w14:paraId="13224200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4ECF763B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PDW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07F79B1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0.453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41066DAB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0.408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2EAA1390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0.341-0.566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4DBD3801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6F1A5D2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61744C0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45957E7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9156AE" w:rsidRPr="006119E6" w14:paraId="61324636" w14:textId="77777777" w:rsidTr="009156AE">
        <w:trPr>
          <w:trHeight w:val="295"/>
        </w:trPr>
        <w:tc>
          <w:tcPr>
            <w:tcW w:w="1115" w:type="pct"/>
            <w:gridSpan w:val="2"/>
            <w:shd w:val="clear" w:color="auto" w:fill="FFFFFF" w:themeFill="background1"/>
            <w:noWrap/>
            <w:vAlign w:val="center"/>
          </w:tcPr>
          <w:p w14:paraId="244AC382" w14:textId="77777777" w:rsidR="009156AE" w:rsidRPr="006119E6" w:rsidRDefault="009156AE" w:rsidP="004275E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Histological grade</w:t>
            </w: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633B0CF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6B6D6F84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605C0A9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460F5BE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5646BD2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72D49A59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156AE" w:rsidRPr="006119E6" w14:paraId="2CC534C8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60BC6573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PT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368CD2D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0.511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5380F7F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0.76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15B6911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0.444-0.577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17E99DB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785528D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760C770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573F26E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9156AE" w:rsidRPr="006119E6" w14:paraId="6B1B88F6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2486989A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APTT</w:t>
            </w: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5A990B69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0.534</w:t>
            </w: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3C578F37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0.323</w:t>
            </w: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061E032E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0.468-0.601</w:t>
            </w: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486CB927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0E07E4EA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5FE58D0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045FD28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9156AE" w:rsidRPr="006119E6" w14:paraId="4554E465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1A622700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Fib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427EF88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0.579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1C1212F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0.022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7C6F3E9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0.513-0.646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52C1EA8B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744FCAB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1.77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34207764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0.991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5C91180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</w:tr>
      <w:tr w:rsidR="009156AE" w:rsidRPr="006119E6" w14:paraId="0C6B2331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64CAD493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PC</w:t>
            </w: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5449FC1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0.489</w:t>
            </w: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355905C0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0.753</w:t>
            </w: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333E7935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0.422-0.557</w:t>
            </w: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7EBCB3A7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2844FFD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7A186DD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163BBA6A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9156AE" w:rsidRPr="006119E6" w14:paraId="380F5C4C" w14:textId="77777777" w:rsidTr="009156AE">
        <w:trPr>
          <w:trHeight w:val="295"/>
        </w:trPr>
        <w:tc>
          <w:tcPr>
            <w:tcW w:w="686" w:type="pct"/>
            <w:shd w:val="clear" w:color="auto" w:fill="DDEBF7"/>
            <w:noWrap/>
            <w:vAlign w:val="center"/>
          </w:tcPr>
          <w:p w14:paraId="0531C880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PCT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61E584BB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0.499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3D21D68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0.983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56307FD1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0.432-0.567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1DA44F4B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4382A5F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0625FE01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7A8E16D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9156AE" w:rsidRPr="006119E6" w14:paraId="727A61BF" w14:textId="77777777" w:rsidTr="009156AE">
        <w:trPr>
          <w:trHeight w:val="295"/>
        </w:trPr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4054A4F4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MPV</w:t>
            </w:r>
          </w:p>
        </w:tc>
        <w:tc>
          <w:tcPr>
            <w:tcW w:w="429" w:type="pct"/>
            <w:shd w:val="clear" w:color="auto" w:fill="FFFFFF" w:themeFill="background1"/>
            <w:noWrap/>
            <w:vAlign w:val="center"/>
          </w:tcPr>
          <w:p w14:paraId="0A48FA3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0.485</w:t>
            </w:r>
          </w:p>
        </w:tc>
        <w:tc>
          <w:tcPr>
            <w:tcW w:w="600" w:type="pct"/>
            <w:shd w:val="clear" w:color="auto" w:fill="FFFFFF" w:themeFill="background1"/>
            <w:noWrap/>
            <w:vAlign w:val="center"/>
          </w:tcPr>
          <w:p w14:paraId="2CB3ADBA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0.675</w:t>
            </w:r>
          </w:p>
        </w:tc>
        <w:tc>
          <w:tcPr>
            <w:tcW w:w="753" w:type="pct"/>
            <w:shd w:val="clear" w:color="auto" w:fill="FFFFFF" w:themeFill="background1"/>
            <w:noWrap/>
            <w:vAlign w:val="center"/>
          </w:tcPr>
          <w:p w14:paraId="041C96AF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0.419-0.552</w:t>
            </w:r>
          </w:p>
        </w:tc>
        <w:tc>
          <w:tcPr>
            <w:tcW w:w="618" w:type="pct"/>
            <w:shd w:val="clear" w:color="auto" w:fill="FFFFFF" w:themeFill="background1"/>
            <w:noWrap/>
            <w:vAlign w:val="center"/>
          </w:tcPr>
          <w:p w14:paraId="57CD7072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4" w:type="pct"/>
            <w:shd w:val="clear" w:color="auto" w:fill="FFFFFF" w:themeFill="background1"/>
            <w:noWrap/>
            <w:vAlign w:val="center"/>
          </w:tcPr>
          <w:p w14:paraId="7F5F9A14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686" w:type="pct"/>
            <w:shd w:val="clear" w:color="auto" w:fill="FFFFFF" w:themeFill="background1"/>
            <w:noWrap/>
            <w:vAlign w:val="center"/>
          </w:tcPr>
          <w:p w14:paraId="11A6FB36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14" w:type="pct"/>
            <w:shd w:val="clear" w:color="auto" w:fill="FFFFFF" w:themeFill="background1"/>
            <w:noWrap/>
            <w:vAlign w:val="center"/>
          </w:tcPr>
          <w:p w14:paraId="4E000987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9156AE" w:rsidRPr="006119E6" w14:paraId="51A6F2DE" w14:textId="77777777" w:rsidTr="009156AE">
        <w:trPr>
          <w:trHeight w:val="310"/>
        </w:trPr>
        <w:tc>
          <w:tcPr>
            <w:tcW w:w="686" w:type="pct"/>
            <w:shd w:val="clear" w:color="auto" w:fill="DDEBF7"/>
            <w:noWrap/>
            <w:vAlign w:val="center"/>
          </w:tcPr>
          <w:p w14:paraId="5C04D731" w14:textId="77777777" w:rsidR="009156AE" w:rsidRPr="006119E6" w:rsidRDefault="009156AE" w:rsidP="004275E1">
            <w:pPr>
              <w:jc w:val="left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color w:val="264A60"/>
                <w:sz w:val="20"/>
                <w:szCs w:val="20"/>
              </w:rPr>
              <w:t>PDW</w:t>
            </w:r>
          </w:p>
        </w:tc>
        <w:tc>
          <w:tcPr>
            <w:tcW w:w="429" w:type="pct"/>
            <w:shd w:val="clear" w:color="auto" w:fill="DDEBF7"/>
            <w:noWrap/>
            <w:vAlign w:val="center"/>
          </w:tcPr>
          <w:p w14:paraId="40C067EA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0.514</w:t>
            </w:r>
          </w:p>
        </w:tc>
        <w:tc>
          <w:tcPr>
            <w:tcW w:w="600" w:type="pct"/>
            <w:shd w:val="clear" w:color="auto" w:fill="DDEBF7"/>
            <w:noWrap/>
            <w:vAlign w:val="center"/>
          </w:tcPr>
          <w:p w14:paraId="305F522D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0.694</w:t>
            </w:r>
          </w:p>
        </w:tc>
        <w:tc>
          <w:tcPr>
            <w:tcW w:w="753" w:type="pct"/>
            <w:shd w:val="clear" w:color="auto" w:fill="DDEBF7"/>
            <w:noWrap/>
            <w:vAlign w:val="center"/>
          </w:tcPr>
          <w:p w14:paraId="53E05DD7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0.455-0.582</w:t>
            </w:r>
          </w:p>
        </w:tc>
        <w:tc>
          <w:tcPr>
            <w:tcW w:w="618" w:type="pct"/>
            <w:shd w:val="clear" w:color="auto" w:fill="DDEBF7"/>
            <w:noWrap/>
            <w:vAlign w:val="center"/>
          </w:tcPr>
          <w:p w14:paraId="617CE49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119E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514" w:type="pct"/>
            <w:shd w:val="clear" w:color="auto" w:fill="DDEBF7"/>
            <w:noWrap/>
            <w:vAlign w:val="center"/>
          </w:tcPr>
          <w:p w14:paraId="0F5B16E8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686" w:type="pct"/>
            <w:shd w:val="clear" w:color="auto" w:fill="DDEBF7"/>
            <w:noWrap/>
            <w:vAlign w:val="center"/>
          </w:tcPr>
          <w:p w14:paraId="348A7AC7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714" w:type="pct"/>
            <w:shd w:val="clear" w:color="auto" w:fill="DDEBF7"/>
            <w:noWrap/>
            <w:vAlign w:val="center"/>
          </w:tcPr>
          <w:p w14:paraId="3F94FC7C" w14:textId="77777777" w:rsidR="009156AE" w:rsidRPr="006119E6" w:rsidRDefault="009156AE" w:rsidP="004275E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119E6"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</w:tbl>
    <w:p w14:paraId="3F74D405" w14:textId="77777777" w:rsidR="009156AE" w:rsidRDefault="009156AE" w:rsidP="009156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F1C24">
        <w:rPr>
          <w:rFonts w:ascii="Times New Roman" w:hAnsi="Times New Roman" w:cs="Times New Roman"/>
          <w:sz w:val="24"/>
          <w:szCs w:val="24"/>
        </w:rPr>
        <w:lastRenderedPageBreak/>
        <w:t>PT: prothrombin time, APTT: activated partial thromboplastin time, Fib: fibrinogen, PC: platelet count, PCT: plateletcrit, MPV: mean platelet volume, PDW: platelet distribution width, AUC: area under</w:t>
      </w:r>
      <w:r>
        <w:rPr>
          <w:rFonts w:ascii="Times New Roman" w:hAnsi="Times New Roman" w:cs="Times New Roman"/>
          <w:sz w:val="24"/>
          <w:szCs w:val="24"/>
        </w:rPr>
        <w:t xml:space="preserve"> receiver operating curve, CI: confidence interval,</w:t>
      </w:r>
      <w:r w:rsidRPr="00A75279">
        <w:rPr>
          <w:rFonts w:ascii="Times New Roman" w:hAnsi="Times New Roman" w:cs="Times New Roman"/>
          <w:sz w:val="24"/>
          <w:szCs w:val="24"/>
        </w:rPr>
        <w:t xml:space="preserve"> </w:t>
      </w:r>
      <w:r w:rsidRPr="009F60E2">
        <w:rPr>
          <w:rFonts w:ascii="Times New Roman" w:hAnsi="Times New Roman" w:cs="Times New Roman"/>
          <w:sz w:val="24"/>
          <w:szCs w:val="24"/>
        </w:rPr>
        <w:t xml:space="preserve">LVI: lymphovascular invasions, PNI, perineural invasions. </w:t>
      </w:r>
    </w:p>
    <w:p w14:paraId="7FF69064" w14:textId="77777777" w:rsidR="009156AE" w:rsidRPr="00CF1C24" w:rsidRDefault="009156AE" w:rsidP="009156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F1C24">
        <w:rPr>
          <w:rFonts w:ascii="Times New Roman" w:hAnsi="Times New Roman" w:cs="Times New Roman"/>
          <w:sz w:val="24"/>
          <w:szCs w:val="24"/>
        </w:rPr>
        <w:t>* indicates that the difference is statistically significant. - represents no further analysis when p &gt; 0.05.</w:t>
      </w:r>
    </w:p>
    <w:p w14:paraId="4639BFB1" w14:textId="2A9915AE" w:rsidR="009156AE" w:rsidRDefault="009156AE"/>
    <w:sectPr w:rsidR="009156AE" w:rsidSect="009156AE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CED87A" w14:textId="77777777" w:rsidR="00417918" w:rsidRDefault="00417918" w:rsidP="00AD457B">
      <w:r>
        <w:separator/>
      </w:r>
    </w:p>
  </w:endnote>
  <w:endnote w:type="continuationSeparator" w:id="0">
    <w:p w14:paraId="07CBB4EA" w14:textId="77777777" w:rsidR="00417918" w:rsidRDefault="00417918" w:rsidP="00AD4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09A05B" w14:textId="77777777" w:rsidR="00417918" w:rsidRDefault="00417918" w:rsidP="00AD457B">
      <w:r>
        <w:separator/>
      </w:r>
    </w:p>
  </w:footnote>
  <w:footnote w:type="continuationSeparator" w:id="0">
    <w:p w14:paraId="10776320" w14:textId="77777777" w:rsidR="00417918" w:rsidRDefault="00417918" w:rsidP="00AD4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8D1"/>
    <w:rsid w:val="00350992"/>
    <w:rsid w:val="00417918"/>
    <w:rsid w:val="004D681D"/>
    <w:rsid w:val="00522835"/>
    <w:rsid w:val="007C7469"/>
    <w:rsid w:val="008779FB"/>
    <w:rsid w:val="009156AE"/>
    <w:rsid w:val="009215A1"/>
    <w:rsid w:val="00A668D1"/>
    <w:rsid w:val="00A66A8F"/>
    <w:rsid w:val="00AD457B"/>
    <w:rsid w:val="00BA5AF4"/>
    <w:rsid w:val="00C3777E"/>
    <w:rsid w:val="00D83981"/>
    <w:rsid w:val="00EB260A"/>
    <w:rsid w:val="00FD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A0246"/>
  <w15:chartTrackingRefBased/>
  <w15:docId w15:val="{0DCC04A7-508A-414E-A652-B4E76E5A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57B"/>
    <w:pPr>
      <w:widowControl w:val="0"/>
      <w:spacing w:after="0" w:line="240" w:lineRule="auto"/>
      <w:jc w:val="both"/>
    </w:pPr>
    <w:rPr>
      <w:kern w:val="2"/>
      <w:sz w:val="21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457B"/>
    <w:pPr>
      <w:widowControl/>
      <w:tabs>
        <w:tab w:val="center" w:pos="4513"/>
        <w:tab w:val="right" w:pos="9026"/>
      </w:tabs>
      <w:jc w:val="left"/>
    </w:pPr>
    <w:rPr>
      <w:rFonts w:eastAsiaTheme="minorHAnsi"/>
      <w:kern w:val="0"/>
      <w:sz w:val="22"/>
      <w:lang w:eastAsia="en-US"/>
    </w:rPr>
  </w:style>
  <w:style w:type="character" w:customStyle="1" w:styleId="Char">
    <w:name w:val="页眉 Char"/>
    <w:basedOn w:val="a0"/>
    <w:link w:val="a3"/>
    <w:uiPriority w:val="99"/>
    <w:rsid w:val="00AD457B"/>
    <w:rPr>
      <w:lang w:val="en-US"/>
    </w:rPr>
  </w:style>
  <w:style w:type="paragraph" w:styleId="a4">
    <w:name w:val="footer"/>
    <w:basedOn w:val="a"/>
    <w:link w:val="Char0"/>
    <w:uiPriority w:val="99"/>
    <w:unhideWhenUsed/>
    <w:rsid w:val="00AD457B"/>
    <w:pPr>
      <w:widowControl/>
      <w:tabs>
        <w:tab w:val="center" w:pos="4513"/>
        <w:tab w:val="right" w:pos="9026"/>
      </w:tabs>
      <w:jc w:val="left"/>
    </w:pPr>
    <w:rPr>
      <w:rFonts w:eastAsiaTheme="minorHAnsi"/>
      <w:kern w:val="0"/>
      <w:sz w:val="22"/>
      <w:lang w:eastAsia="en-US"/>
    </w:rPr>
  </w:style>
  <w:style w:type="character" w:customStyle="1" w:styleId="Char0">
    <w:name w:val="页脚 Char"/>
    <w:basedOn w:val="a0"/>
    <w:link w:val="a4"/>
    <w:uiPriority w:val="99"/>
    <w:rsid w:val="00AD457B"/>
    <w:rPr>
      <w:lang w:val="en-US"/>
    </w:rPr>
  </w:style>
  <w:style w:type="paragraph" w:styleId="a5">
    <w:name w:val="Revision"/>
    <w:hidden/>
    <w:uiPriority w:val="99"/>
    <w:semiHidden/>
    <w:rsid w:val="004D681D"/>
    <w:pPr>
      <w:spacing w:after="0" w:line="240" w:lineRule="auto"/>
    </w:pPr>
    <w:rPr>
      <w:kern w:val="2"/>
      <w:sz w:val="21"/>
      <w:lang w:val="en-US" w:eastAsia="zh-CN"/>
    </w:rPr>
  </w:style>
  <w:style w:type="paragraph" w:styleId="a6">
    <w:name w:val="Balloon Text"/>
    <w:basedOn w:val="a"/>
    <w:link w:val="Char1"/>
    <w:uiPriority w:val="99"/>
    <w:semiHidden/>
    <w:unhideWhenUsed/>
    <w:rsid w:val="009215A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215A1"/>
    <w:rPr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470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黄琼玲</cp:lastModifiedBy>
  <cp:revision>8</cp:revision>
  <dcterms:created xsi:type="dcterms:W3CDTF">2023-01-10T12:29:00Z</dcterms:created>
  <dcterms:modified xsi:type="dcterms:W3CDTF">2023-01-31T12:30:00Z</dcterms:modified>
</cp:coreProperties>
</file>