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0B554E4" w14:textId="77777777" w:rsidR="0044198B" w:rsidRDefault="0044198B" w:rsidP="0044198B">
      <w:pPr>
        <w:spacing w:line="480" w:lineRule="auto"/>
        <w:jc w:val="both"/>
        <w:rPr>
          <w:rFonts w:ascii="Arial" w:hAnsi="Arial" w:cs="Arial"/>
          <w:color w:val="000000" w:themeColor="text1"/>
        </w:rPr>
      </w:pPr>
      <w:r>
        <w:rPr>
          <w:rFonts w:ascii="Arial" w:hAnsi="Arial" w:cs="Arial"/>
          <w:b/>
          <w:bCs/>
          <w:color w:val="000000" w:themeColor="text1"/>
        </w:rPr>
        <w:t>Supplementary Figure legends</w:t>
      </w:r>
    </w:p>
    <w:p w14:paraId="37868346" w14:textId="77777777" w:rsidR="0044198B" w:rsidRDefault="0044198B" w:rsidP="0044198B">
      <w:pPr>
        <w:spacing w:line="480" w:lineRule="auto"/>
        <w:jc w:val="both"/>
        <w:rPr>
          <w:rFonts w:ascii="Arial" w:hAnsi="Arial" w:cs="Arial"/>
          <w:b/>
          <w:bCs/>
          <w:color w:val="000000" w:themeColor="text1"/>
        </w:rPr>
      </w:pPr>
      <w:r>
        <w:rPr>
          <w:rFonts w:ascii="Arial" w:hAnsi="Arial" w:cs="Arial"/>
          <w:b/>
          <w:bCs/>
          <w:color w:val="000000" w:themeColor="text1"/>
        </w:rPr>
        <w:t xml:space="preserve">Supplementary Figure 1. </w:t>
      </w:r>
      <w:r>
        <w:rPr>
          <w:rFonts w:ascii="Arial" w:hAnsi="Arial" w:cs="Arial"/>
          <w:color w:val="000000" w:themeColor="text1"/>
        </w:rPr>
        <w:t xml:space="preserve"> </w:t>
      </w:r>
      <w:r>
        <w:rPr>
          <w:rFonts w:ascii="Arial" w:hAnsi="Arial" w:cs="Arial"/>
          <w:b/>
          <w:bCs/>
          <w:color w:val="000000" w:themeColor="text1"/>
        </w:rPr>
        <w:t>HIF-1α is expressed in the epicardium at different stages of heart development.</w:t>
      </w:r>
      <w:r>
        <w:rPr>
          <w:rFonts w:ascii="Arial" w:hAnsi="Arial" w:cs="Arial"/>
          <w:color w:val="000000" w:themeColor="text1"/>
        </w:rPr>
        <w:t xml:space="preserve"> Representative images of immunostaining for DAPI (cyan), HIF-1α (green) and WT1 (magenta) on apical regions of foetal hearts at E12.5 (a), E14.5 (b), E16.5 (c) and E18.5 (d). White arrowheads indicate HIF-1α expression in epicardial WT1-expressing cells. Yellow arrowheads indicate WT1-expressing cells lacking HIF-1α expression in the myocardial compartment. n=4 hearts per stage. Scale bar, 50μm.</w:t>
      </w:r>
    </w:p>
    <w:p w14:paraId="3E66E31B" w14:textId="77777777" w:rsidR="0044198B" w:rsidRDefault="0044198B" w:rsidP="0044198B">
      <w:pPr>
        <w:spacing w:line="480" w:lineRule="auto"/>
        <w:jc w:val="both"/>
        <w:rPr>
          <w:rFonts w:ascii="Arial" w:hAnsi="Arial" w:cs="Arial"/>
          <w:b/>
          <w:bCs/>
          <w:color w:val="000000" w:themeColor="text1"/>
        </w:rPr>
      </w:pPr>
    </w:p>
    <w:p w14:paraId="0C235203" w14:textId="77777777" w:rsidR="0044198B" w:rsidRDefault="0044198B" w:rsidP="0044198B">
      <w:pPr>
        <w:spacing w:line="480" w:lineRule="auto"/>
        <w:jc w:val="both"/>
        <w:rPr>
          <w:rFonts w:ascii="Arial" w:hAnsi="Arial" w:cs="Arial"/>
          <w:color w:val="000000" w:themeColor="text1"/>
        </w:rPr>
      </w:pPr>
      <w:r>
        <w:rPr>
          <w:rFonts w:ascii="Arial" w:hAnsi="Arial" w:cs="Arial"/>
          <w:b/>
          <w:bCs/>
          <w:color w:val="000000" w:themeColor="text1"/>
        </w:rPr>
        <w:t xml:space="preserve">Supplementary Figure 2. </w:t>
      </w:r>
      <w:r>
        <w:rPr>
          <w:rFonts w:ascii="Arial" w:hAnsi="Arial" w:cs="Arial"/>
          <w:color w:val="000000" w:themeColor="text1"/>
        </w:rPr>
        <w:t xml:space="preserve"> </w:t>
      </w:r>
      <w:r>
        <w:rPr>
          <w:rFonts w:ascii="Arial" w:hAnsi="Arial" w:cs="Arial"/>
          <w:b/>
          <w:bCs/>
          <w:color w:val="000000" w:themeColor="text1"/>
        </w:rPr>
        <w:t>HIF-2α is expressed in the myocardium at different stages of heart development.</w:t>
      </w:r>
      <w:r>
        <w:rPr>
          <w:rFonts w:ascii="Arial" w:hAnsi="Arial" w:cs="Arial"/>
          <w:color w:val="000000" w:themeColor="text1"/>
        </w:rPr>
        <w:t xml:space="preserve"> Representative images of immunostaining for DAPI (magenta), HIF-2α (green) and MF20 (cyan) on cryosections of foetal hearts at E12.5 (a), E14.5 (b), E16.5 (c) and E18.5 (d). White arrowheads indicate HIF-2α expression in cardiomyocytes. Yellow arrowheads indicate HIF-2α expression in non-cardiomyocytes cells. n=4 hearts per stage. Scale bar, 50μm.</w:t>
      </w:r>
    </w:p>
    <w:p w14:paraId="420DF057" w14:textId="77777777" w:rsidR="0044198B" w:rsidRDefault="0044198B" w:rsidP="0044198B">
      <w:pPr>
        <w:spacing w:line="480" w:lineRule="auto"/>
        <w:jc w:val="both"/>
        <w:rPr>
          <w:rFonts w:ascii="Arial" w:hAnsi="Arial" w:cs="Arial"/>
          <w:color w:val="000000" w:themeColor="text1"/>
        </w:rPr>
      </w:pPr>
    </w:p>
    <w:p w14:paraId="2BCA1CBD" w14:textId="77777777" w:rsidR="0044198B" w:rsidRDefault="0044198B" w:rsidP="0044198B">
      <w:pPr>
        <w:spacing w:after="160" w:line="480" w:lineRule="auto"/>
        <w:jc w:val="both"/>
        <w:rPr>
          <w:rFonts w:ascii="Arial" w:eastAsia="Calibri" w:hAnsi="Arial" w:cs="Arial"/>
          <w:color w:val="000000" w:themeColor="text1"/>
        </w:rPr>
      </w:pPr>
      <w:r>
        <w:rPr>
          <w:rFonts w:ascii="Arial" w:eastAsia="Calibri" w:hAnsi="Arial" w:cs="Arial"/>
          <w:b/>
          <w:bCs/>
          <w:color w:val="000000" w:themeColor="text1"/>
        </w:rPr>
        <w:t xml:space="preserve">Supplementary Figure 3. </w:t>
      </w:r>
      <w:r>
        <w:rPr>
          <w:rFonts w:ascii="Arial" w:eastAsia="Calibri" w:hAnsi="Arial" w:cs="Arial"/>
          <w:b/>
          <w:bCs/>
          <w:color w:val="000000" w:themeColor="text1"/>
        </w:rPr>
        <w:softHyphen/>
      </w:r>
      <w:r>
        <w:rPr>
          <w:rFonts w:ascii="Calibri" w:eastAsia="Calibri" w:hAnsi="Calibri"/>
          <w:color w:val="000000" w:themeColor="text1"/>
          <w:sz w:val="22"/>
          <w:szCs w:val="22"/>
        </w:rPr>
        <w:t xml:space="preserve"> </w:t>
      </w:r>
      <w:r>
        <w:rPr>
          <w:rFonts w:ascii="Arial" w:eastAsia="Calibri" w:hAnsi="Arial" w:cs="Arial"/>
          <w:b/>
          <w:bCs/>
          <w:color w:val="000000" w:themeColor="text1"/>
        </w:rPr>
        <w:t>Epicardial deletion of HIF-1α does not alter HIF-2α</w:t>
      </w:r>
      <w:r>
        <w:rPr>
          <w:rFonts w:ascii="Arial" w:eastAsia="Calibri" w:hAnsi="Arial" w:cs="Arial"/>
          <w:color w:val="000000" w:themeColor="text1"/>
        </w:rPr>
        <w:t xml:space="preserve"> </w:t>
      </w:r>
      <w:r>
        <w:rPr>
          <w:rFonts w:ascii="Arial" w:eastAsia="Calibri" w:hAnsi="Arial" w:cs="Arial"/>
          <w:b/>
          <w:bCs/>
          <w:color w:val="000000" w:themeColor="text1"/>
        </w:rPr>
        <w:t>expression nor proliferation of WT1</w:t>
      </w:r>
      <w:r>
        <w:rPr>
          <w:rFonts w:ascii="Arial" w:eastAsia="Calibri" w:hAnsi="Arial" w:cs="Arial"/>
          <w:b/>
          <w:bCs/>
          <w:color w:val="000000" w:themeColor="text1"/>
          <w:vertAlign w:val="superscript"/>
        </w:rPr>
        <w:t>+</w:t>
      </w:r>
      <w:r>
        <w:rPr>
          <w:rFonts w:ascii="Arial" w:eastAsia="Calibri" w:hAnsi="Arial" w:cs="Arial"/>
          <w:b/>
          <w:bCs/>
          <w:color w:val="000000" w:themeColor="text1"/>
        </w:rPr>
        <w:t xml:space="preserve"> cells. </w:t>
      </w:r>
      <w:r>
        <w:rPr>
          <w:rFonts w:ascii="Arial" w:eastAsia="Calibri" w:hAnsi="Arial" w:cs="Arial"/>
          <w:color w:val="000000" w:themeColor="text1"/>
        </w:rPr>
        <w:t xml:space="preserve">(a) Representative images of co-immunostaining for WT1 (red) and </w:t>
      </w:r>
      <w:bookmarkStart w:id="0" w:name="_Hlk72138874"/>
      <w:r>
        <w:rPr>
          <w:rFonts w:ascii="Arial" w:eastAsia="Calibri" w:hAnsi="Arial" w:cs="Arial"/>
          <w:color w:val="000000" w:themeColor="text1"/>
        </w:rPr>
        <w:t xml:space="preserve">HIF-2α </w:t>
      </w:r>
      <w:bookmarkEnd w:id="0"/>
      <w:r>
        <w:rPr>
          <w:rFonts w:ascii="Arial" w:eastAsia="Calibri" w:hAnsi="Arial" w:cs="Arial"/>
          <w:color w:val="000000" w:themeColor="text1"/>
        </w:rPr>
        <w:t xml:space="preserve">(green) and DAPI nuclear stain (blue) on sections from </w:t>
      </w:r>
      <w:r>
        <w:rPr>
          <w:rFonts w:ascii="Arial" w:eastAsia="Calibri" w:hAnsi="Arial" w:cs="Arial"/>
          <w:i/>
          <w:iCs/>
          <w:color w:val="000000" w:themeColor="text1"/>
        </w:rPr>
        <w:t>Hif1a</w:t>
      </w:r>
      <w:r>
        <w:rPr>
          <w:rFonts w:ascii="Arial" w:eastAsia="Calibri" w:hAnsi="Arial" w:cs="Arial"/>
          <w:i/>
          <w:iCs/>
          <w:color w:val="000000" w:themeColor="text1"/>
          <w:vertAlign w:val="superscript"/>
        </w:rPr>
        <w:t>fl/fl</w:t>
      </w:r>
      <w:r>
        <w:rPr>
          <w:rFonts w:ascii="Arial" w:eastAsia="Calibri" w:hAnsi="Arial" w:cs="Arial"/>
          <w:i/>
          <w:iCs/>
          <w:color w:val="000000" w:themeColor="text1"/>
        </w:rPr>
        <w:t xml:space="preserve"> </w:t>
      </w:r>
      <w:r>
        <w:rPr>
          <w:rFonts w:ascii="Arial" w:eastAsia="Calibri" w:hAnsi="Arial" w:cs="Arial"/>
          <w:color w:val="000000" w:themeColor="text1"/>
        </w:rPr>
        <w:t>(CTR) and</w:t>
      </w:r>
      <w:r>
        <w:rPr>
          <w:rFonts w:ascii="Arial" w:eastAsia="Calibri" w:hAnsi="Arial" w:cs="Arial"/>
          <w:i/>
          <w:iCs/>
          <w:color w:val="000000" w:themeColor="text1"/>
        </w:rPr>
        <w:t xml:space="preserve"> Wt1</w:t>
      </w:r>
      <w:r>
        <w:rPr>
          <w:rFonts w:ascii="Arial" w:eastAsia="Calibri" w:hAnsi="Arial" w:cs="Arial"/>
          <w:i/>
          <w:iCs/>
          <w:color w:val="000000" w:themeColor="text1"/>
          <w:vertAlign w:val="superscript"/>
        </w:rPr>
        <w:t>CreERT2/+</w:t>
      </w:r>
      <w:r>
        <w:rPr>
          <w:rFonts w:ascii="Arial" w:eastAsia="Calibri" w:hAnsi="Arial" w:cs="Arial"/>
          <w:color w:val="000000" w:themeColor="text1"/>
        </w:rPr>
        <w:t>;</w:t>
      </w:r>
      <w:r>
        <w:rPr>
          <w:rFonts w:ascii="Arial" w:eastAsia="Calibri" w:hAnsi="Arial" w:cs="Arial"/>
          <w:i/>
          <w:iCs/>
          <w:color w:val="000000" w:themeColor="text1"/>
        </w:rPr>
        <w:t>Hif1a</w:t>
      </w:r>
      <w:r>
        <w:rPr>
          <w:rFonts w:ascii="Arial" w:eastAsia="Calibri" w:hAnsi="Arial" w:cs="Arial"/>
          <w:i/>
          <w:iCs/>
          <w:color w:val="000000" w:themeColor="text1"/>
          <w:vertAlign w:val="superscript"/>
        </w:rPr>
        <w:t>fl/fl</w:t>
      </w:r>
      <w:r>
        <w:rPr>
          <w:rFonts w:ascii="Arial" w:eastAsia="Calibri" w:hAnsi="Arial" w:cs="Arial"/>
          <w:i/>
          <w:iCs/>
          <w:color w:val="000000" w:themeColor="text1"/>
        </w:rPr>
        <w:t xml:space="preserve"> </w:t>
      </w:r>
      <w:r>
        <w:rPr>
          <w:rFonts w:ascii="Arial" w:eastAsia="Calibri" w:hAnsi="Arial" w:cs="Arial"/>
          <w:color w:val="000000" w:themeColor="text1"/>
        </w:rPr>
        <w:t>(KO) hearts harvested at E16.5 and (b) quantification of HIF-2α nuclear signal in WT1</w:t>
      </w:r>
      <w:r>
        <w:rPr>
          <w:rFonts w:ascii="Arial" w:eastAsia="Calibri" w:hAnsi="Arial" w:cs="Arial"/>
          <w:b/>
          <w:bCs/>
          <w:color w:val="000000" w:themeColor="text1"/>
          <w:vertAlign w:val="superscript"/>
        </w:rPr>
        <w:t xml:space="preserve">+ </w:t>
      </w:r>
      <w:r>
        <w:rPr>
          <w:rFonts w:ascii="Arial" w:eastAsia="Calibri" w:hAnsi="Arial" w:cs="Arial"/>
          <w:color w:val="000000" w:themeColor="text1"/>
        </w:rPr>
        <w:t>cells. CTR, n=3; KO, n=4. (c) Representative images of co-immunostaining for WT1 (red), Ki67 (green) and DAPI nuclear stain (blue) on section from CTR and</w:t>
      </w:r>
      <w:r>
        <w:rPr>
          <w:rFonts w:ascii="Arial" w:eastAsia="Calibri" w:hAnsi="Arial" w:cs="Arial"/>
          <w:i/>
          <w:iCs/>
          <w:color w:val="000000" w:themeColor="text1"/>
        </w:rPr>
        <w:t xml:space="preserve"> </w:t>
      </w:r>
      <w:r>
        <w:rPr>
          <w:rFonts w:ascii="Arial" w:eastAsia="Calibri" w:hAnsi="Arial" w:cs="Arial"/>
          <w:color w:val="000000" w:themeColor="text1"/>
        </w:rPr>
        <w:t>KO hearts harvested at E16.5 and (d) quantification of Ki67 nuclear signal in WT1</w:t>
      </w:r>
      <w:r>
        <w:rPr>
          <w:rFonts w:ascii="Arial" w:eastAsia="Calibri" w:hAnsi="Arial" w:cs="Arial"/>
          <w:b/>
          <w:bCs/>
          <w:color w:val="000000" w:themeColor="text1"/>
          <w:vertAlign w:val="superscript"/>
        </w:rPr>
        <w:t xml:space="preserve">+ </w:t>
      </w:r>
      <w:r>
        <w:rPr>
          <w:rFonts w:ascii="Arial" w:eastAsia="Calibri" w:hAnsi="Arial" w:cs="Arial"/>
          <w:color w:val="000000" w:themeColor="text1"/>
        </w:rPr>
        <w:t xml:space="preserve">cells. Whole heart scale bars, 200μm; high </w:t>
      </w:r>
      <w:r>
        <w:rPr>
          <w:rFonts w:ascii="Arial" w:eastAsia="Calibri" w:hAnsi="Arial" w:cs="Arial"/>
          <w:color w:val="000000" w:themeColor="text1"/>
        </w:rPr>
        <w:lastRenderedPageBreak/>
        <w:t>magnification scale bars, 100μm. IVS= interventricular septum, LV= left ventricle, RV= right ventricle. Arrowheads indicate co-expression of WT1 and (a) HIF-2α or (b) Ki67. n=3/group. Data presented as median, IQR and upper and lower limits. Data analysed with Student’s t-test.</w:t>
      </w:r>
    </w:p>
    <w:p w14:paraId="03BD3E0E" w14:textId="77777777" w:rsidR="0044198B" w:rsidRDefault="0044198B" w:rsidP="0044198B">
      <w:pPr>
        <w:spacing w:after="160" w:line="480" w:lineRule="auto"/>
        <w:jc w:val="both"/>
        <w:rPr>
          <w:rFonts w:ascii="Arial" w:eastAsia="Calibri" w:hAnsi="Arial" w:cs="Arial"/>
          <w:color w:val="000000" w:themeColor="text1"/>
        </w:rPr>
      </w:pPr>
    </w:p>
    <w:p w14:paraId="0E0245D4" w14:textId="77777777" w:rsidR="0044198B" w:rsidRDefault="0044198B" w:rsidP="0044198B">
      <w:pPr>
        <w:spacing w:after="160" w:line="480" w:lineRule="auto"/>
        <w:jc w:val="both"/>
        <w:rPr>
          <w:rFonts w:ascii="Arial" w:eastAsia="Calibri" w:hAnsi="Arial" w:cs="Arial"/>
          <w:color w:val="000000" w:themeColor="text1"/>
        </w:rPr>
      </w:pPr>
      <w:r>
        <w:rPr>
          <w:rFonts w:ascii="Arial" w:eastAsia="Calibri" w:hAnsi="Arial" w:cs="Arial"/>
          <w:b/>
          <w:bCs/>
          <w:color w:val="000000" w:themeColor="text1"/>
        </w:rPr>
        <w:t xml:space="preserve">Supplementary Figure 4. </w:t>
      </w:r>
      <w:r>
        <w:rPr>
          <w:rFonts w:ascii="Arial" w:eastAsia="Calibri" w:hAnsi="Arial" w:cs="Arial"/>
          <w:b/>
          <w:bCs/>
          <w:color w:val="000000" w:themeColor="text1"/>
        </w:rPr>
        <w:softHyphen/>
      </w:r>
      <w:r>
        <w:rPr>
          <w:rFonts w:ascii="Arial" w:eastAsia="Calibri" w:hAnsi="Arial" w:cs="Arial"/>
          <w:color w:val="000000" w:themeColor="text1"/>
        </w:rPr>
        <w:t xml:space="preserve"> </w:t>
      </w:r>
      <w:r>
        <w:rPr>
          <w:rFonts w:ascii="Arial" w:eastAsia="Calibri" w:hAnsi="Arial" w:cs="Arial"/>
          <w:b/>
          <w:bCs/>
          <w:color w:val="000000" w:themeColor="text1"/>
        </w:rPr>
        <w:t xml:space="preserve">Tamoxifen treatment of </w:t>
      </w:r>
      <w:bookmarkStart w:id="1" w:name="_Hlk73012858"/>
      <w:r>
        <w:rPr>
          <w:rFonts w:ascii="Arial" w:eastAsia="Calibri" w:hAnsi="Arial" w:cs="Arial"/>
          <w:b/>
          <w:bCs/>
          <w:i/>
          <w:iCs/>
          <w:color w:val="000000" w:themeColor="text1"/>
        </w:rPr>
        <w:t>Rosa26</w:t>
      </w:r>
      <w:r>
        <w:rPr>
          <w:rFonts w:ascii="Arial" w:eastAsia="Calibri" w:hAnsi="Arial" w:cs="Arial"/>
          <w:b/>
          <w:bCs/>
          <w:i/>
          <w:iCs/>
          <w:color w:val="000000" w:themeColor="text1"/>
          <w:vertAlign w:val="superscript"/>
        </w:rPr>
        <w:t>+/CreERT2</w:t>
      </w:r>
      <w:r>
        <w:rPr>
          <w:rFonts w:ascii="Arial" w:eastAsia="Calibri" w:hAnsi="Arial" w:cs="Arial"/>
          <w:b/>
          <w:bCs/>
          <w:color w:val="000000" w:themeColor="text1"/>
        </w:rPr>
        <w:t xml:space="preserve">; </w:t>
      </w:r>
      <w:r>
        <w:rPr>
          <w:rFonts w:ascii="Arial" w:eastAsia="Calibri" w:hAnsi="Arial" w:cs="Arial"/>
          <w:b/>
          <w:bCs/>
          <w:i/>
          <w:iCs/>
          <w:color w:val="000000" w:themeColor="text1"/>
        </w:rPr>
        <w:t>Hif1a</w:t>
      </w:r>
      <w:r>
        <w:rPr>
          <w:rFonts w:ascii="Arial" w:eastAsia="Calibri" w:hAnsi="Arial" w:cs="Arial"/>
          <w:b/>
          <w:bCs/>
          <w:i/>
          <w:iCs/>
          <w:color w:val="000000" w:themeColor="text1"/>
          <w:vertAlign w:val="superscript"/>
        </w:rPr>
        <w:t>fl/fl</w:t>
      </w:r>
      <w:r>
        <w:rPr>
          <w:rFonts w:ascii="Arial" w:eastAsia="Calibri" w:hAnsi="Arial" w:cs="Arial"/>
          <w:b/>
          <w:bCs/>
          <w:i/>
          <w:iCs/>
          <w:color w:val="000000" w:themeColor="text1"/>
        </w:rPr>
        <w:t xml:space="preserve"> </w:t>
      </w:r>
      <w:bookmarkEnd w:id="1"/>
      <w:r>
        <w:rPr>
          <w:rFonts w:ascii="Arial" w:eastAsia="Calibri" w:hAnsi="Arial" w:cs="Arial"/>
          <w:b/>
          <w:bCs/>
          <w:color w:val="000000" w:themeColor="text1"/>
        </w:rPr>
        <w:t xml:space="preserve">-derived epicardial explants reduces HIF-1α expression without affecting HIF-2α. </w:t>
      </w:r>
      <w:r>
        <w:rPr>
          <w:rFonts w:ascii="Arial" w:eastAsia="Calibri" w:hAnsi="Arial" w:cs="Arial"/>
          <w:color w:val="000000" w:themeColor="text1"/>
        </w:rPr>
        <w:t xml:space="preserve">(a) Representative images of co-immunostaining for HIF-1α (green), HIF-2α (red) and DAPI nuclear stain (blue) on epicardial explants derived from E11.5 hearts of </w:t>
      </w:r>
      <w:r>
        <w:rPr>
          <w:rFonts w:ascii="Arial" w:eastAsia="Calibri" w:hAnsi="Arial" w:cs="Arial"/>
          <w:i/>
          <w:iCs/>
          <w:color w:val="000000" w:themeColor="text1"/>
        </w:rPr>
        <w:t>Hif1a</w:t>
      </w:r>
      <w:r>
        <w:rPr>
          <w:rFonts w:ascii="Arial" w:eastAsia="Calibri" w:hAnsi="Arial" w:cs="Arial"/>
          <w:i/>
          <w:iCs/>
          <w:color w:val="000000" w:themeColor="text1"/>
          <w:vertAlign w:val="superscript"/>
        </w:rPr>
        <w:t>fl/fl</w:t>
      </w:r>
      <w:r>
        <w:rPr>
          <w:rFonts w:ascii="Arial" w:eastAsia="Calibri" w:hAnsi="Arial" w:cs="Arial"/>
          <w:i/>
          <w:iCs/>
          <w:color w:val="000000" w:themeColor="text1"/>
        </w:rPr>
        <w:t xml:space="preserve"> </w:t>
      </w:r>
      <w:r>
        <w:rPr>
          <w:rFonts w:ascii="Arial" w:eastAsia="Calibri" w:hAnsi="Arial" w:cs="Arial"/>
          <w:color w:val="000000" w:themeColor="text1"/>
        </w:rPr>
        <w:t>(CTR) and</w:t>
      </w:r>
      <w:r>
        <w:rPr>
          <w:rFonts w:ascii="Arial" w:eastAsia="Calibri" w:hAnsi="Arial" w:cs="Arial"/>
          <w:i/>
          <w:iCs/>
          <w:color w:val="000000" w:themeColor="text1"/>
        </w:rPr>
        <w:t xml:space="preserve"> Rosa26</w:t>
      </w:r>
      <w:r>
        <w:rPr>
          <w:rFonts w:ascii="Arial" w:eastAsia="Calibri" w:hAnsi="Arial" w:cs="Arial"/>
          <w:i/>
          <w:iCs/>
          <w:color w:val="000000" w:themeColor="text1"/>
          <w:vertAlign w:val="superscript"/>
        </w:rPr>
        <w:t>+/CreERT2</w:t>
      </w:r>
      <w:r>
        <w:rPr>
          <w:rFonts w:ascii="Arial" w:eastAsia="Calibri" w:hAnsi="Arial" w:cs="Arial"/>
          <w:color w:val="000000" w:themeColor="text1"/>
        </w:rPr>
        <w:t xml:space="preserve">; </w:t>
      </w:r>
      <w:r>
        <w:rPr>
          <w:rFonts w:ascii="Arial" w:eastAsia="Calibri" w:hAnsi="Arial" w:cs="Arial"/>
          <w:i/>
          <w:iCs/>
          <w:color w:val="000000" w:themeColor="text1"/>
        </w:rPr>
        <w:t>Hif1a</w:t>
      </w:r>
      <w:r>
        <w:rPr>
          <w:rFonts w:ascii="Arial" w:eastAsia="Calibri" w:hAnsi="Arial" w:cs="Arial"/>
          <w:i/>
          <w:iCs/>
          <w:color w:val="000000" w:themeColor="text1"/>
          <w:vertAlign w:val="superscript"/>
        </w:rPr>
        <w:t>fl/fl</w:t>
      </w:r>
      <w:r>
        <w:rPr>
          <w:rFonts w:ascii="Arial" w:eastAsia="Calibri" w:hAnsi="Arial" w:cs="Arial"/>
          <w:b/>
          <w:bCs/>
          <w:i/>
          <w:iCs/>
          <w:color w:val="000000" w:themeColor="text1"/>
        </w:rPr>
        <w:t xml:space="preserve"> </w:t>
      </w:r>
      <w:r>
        <w:rPr>
          <w:rFonts w:ascii="Arial" w:eastAsia="Calibri" w:hAnsi="Arial" w:cs="Arial"/>
          <w:color w:val="000000" w:themeColor="text1"/>
        </w:rPr>
        <w:t>(KO) embryos. Quantification of (b) HIF-1α and (c) HIF-2α nuclear signal. n=4/group. Scale bars, 100μm. Data presented as median, IQR and upper and lower limits. Data analysed with Student’s t-test, *p&lt;0.05.</w:t>
      </w:r>
    </w:p>
    <w:p w14:paraId="083D85F9" w14:textId="77777777" w:rsidR="0044198B" w:rsidRDefault="0044198B" w:rsidP="0044198B">
      <w:pPr>
        <w:spacing w:after="160" w:line="480" w:lineRule="auto"/>
        <w:jc w:val="both"/>
        <w:rPr>
          <w:rFonts w:ascii="Arial" w:eastAsia="Calibri" w:hAnsi="Arial" w:cs="Arial"/>
          <w:color w:val="000000" w:themeColor="text1"/>
        </w:rPr>
      </w:pPr>
    </w:p>
    <w:p w14:paraId="3B495E86" w14:textId="77777777" w:rsidR="0044198B" w:rsidRDefault="0044198B" w:rsidP="0044198B">
      <w:pPr>
        <w:spacing w:after="160" w:line="480" w:lineRule="auto"/>
        <w:jc w:val="both"/>
        <w:rPr>
          <w:rFonts w:ascii="Arial" w:eastAsia="Calibri" w:hAnsi="Arial" w:cs="Arial"/>
          <w:color w:val="000000" w:themeColor="text1"/>
        </w:rPr>
      </w:pPr>
      <w:r>
        <w:rPr>
          <w:rFonts w:ascii="Arial" w:eastAsia="Calibri" w:hAnsi="Arial" w:cs="Arial"/>
          <w:b/>
          <w:bCs/>
          <w:color w:val="000000" w:themeColor="text1"/>
        </w:rPr>
        <w:t>Supplementary Figure 5. HIF-1β subunit directly binds to the WT</w:t>
      </w:r>
      <w:r>
        <w:rPr>
          <w:rFonts w:ascii="Arial" w:eastAsia="Calibri" w:hAnsi="Arial" w:cs="Arial"/>
          <w:b/>
          <w:bCs/>
          <w:i/>
          <w:iCs/>
          <w:color w:val="000000" w:themeColor="text1"/>
        </w:rPr>
        <w:t>1</w:t>
      </w:r>
      <w:r>
        <w:rPr>
          <w:rFonts w:ascii="Arial" w:eastAsia="Calibri" w:hAnsi="Arial" w:cs="Arial"/>
          <w:b/>
          <w:bCs/>
          <w:color w:val="000000" w:themeColor="text1"/>
        </w:rPr>
        <w:t xml:space="preserve"> locus. </w:t>
      </w:r>
      <w:r>
        <w:rPr>
          <w:rFonts w:ascii="Arial" w:eastAsia="Calibri" w:hAnsi="Arial" w:cs="Arial"/>
          <w:color w:val="000000" w:themeColor="text1"/>
        </w:rPr>
        <w:t xml:space="preserve">HIF1β ChIP-sequencing analysis of </w:t>
      </w:r>
      <w:r>
        <w:rPr>
          <w:rFonts w:ascii="Arial" w:eastAsia="Calibri" w:hAnsi="Arial" w:cs="Arial"/>
          <w:i/>
          <w:iCs/>
          <w:color w:val="000000" w:themeColor="text1"/>
        </w:rPr>
        <w:t>NDRG1</w:t>
      </w:r>
      <w:r>
        <w:rPr>
          <w:rFonts w:ascii="Arial" w:eastAsia="Calibri" w:hAnsi="Arial" w:cs="Arial"/>
          <w:color w:val="000000" w:themeColor="text1"/>
        </w:rPr>
        <w:t xml:space="preserve"> (positive control), and </w:t>
      </w:r>
      <w:r>
        <w:rPr>
          <w:rFonts w:ascii="Arial" w:eastAsia="Calibri" w:hAnsi="Arial" w:cs="Arial"/>
          <w:i/>
          <w:iCs/>
          <w:color w:val="000000" w:themeColor="text1"/>
        </w:rPr>
        <w:t>WT1</w:t>
      </w:r>
      <w:r>
        <w:rPr>
          <w:rFonts w:ascii="Arial" w:eastAsia="Calibri" w:hAnsi="Arial" w:cs="Arial"/>
          <w:color w:val="000000" w:themeColor="text1"/>
        </w:rPr>
        <w:t xml:space="preserve"> loci, conducted on human clear cell renal cell carcinoma (ccRCC) line 786-O. Arrows highlight positive peaks. </w:t>
      </w:r>
    </w:p>
    <w:p w14:paraId="08BC15F2" w14:textId="77777777" w:rsidR="0044198B" w:rsidRDefault="0044198B" w:rsidP="0044198B">
      <w:pPr>
        <w:spacing w:after="160" w:line="480" w:lineRule="auto"/>
        <w:jc w:val="both"/>
        <w:rPr>
          <w:rFonts w:ascii="Arial" w:eastAsia="Calibri" w:hAnsi="Arial" w:cs="Arial"/>
          <w:b/>
          <w:bCs/>
          <w:color w:val="000000" w:themeColor="text1"/>
        </w:rPr>
      </w:pPr>
    </w:p>
    <w:p w14:paraId="32A2A188" w14:textId="77777777" w:rsidR="0044198B" w:rsidRDefault="0044198B" w:rsidP="0044198B">
      <w:pPr>
        <w:spacing w:after="160" w:line="480" w:lineRule="auto"/>
        <w:jc w:val="both"/>
        <w:rPr>
          <w:rFonts w:ascii="Arial" w:eastAsia="Calibri" w:hAnsi="Arial" w:cs="Arial"/>
          <w:color w:val="000000" w:themeColor="text1"/>
        </w:rPr>
      </w:pPr>
      <w:r>
        <w:rPr>
          <w:rFonts w:ascii="Arial" w:eastAsia="Calibri" w:hAnsi="Arial" w:cs="Arial"/>
          <w:b/>
          <w:bCs/>
          <w:color w:val="000000" w:themeColor="text1"/>
        </w:rPr>
        <w:t xml:space="preserve">Supplementary Figure 6. </w:t>
      </w:r>
      <w:r>
        <w:rPr>
          <w:rFonts w:ascii="Arial" w:eastAsia="Calibri" w:hAnsi="Arial" w:cs="Arial"/>
          <w:b/>
          <w:bCs/>
          <w:color w:val="000000" w:themeColor="text1"/>
        </w:rPr>
        <w:softHyphen/>
      </w:r>
      <w:r>
        <w:rPr>
          <w:rFonts w:ascii="Arial" w:eastAsia="Calibri" w:hAnsi="Arial" w:cs="Arial"/>
          <w:color w:val="000000" w:themeColor="text1"/>
        </w:rPr>
        <w:t xml:space="preserve"> </w:t>
      </w:r>
      <w:r>
        <w:rPr>
          <w:rFonts w:ascii="Arial" w:eastAsia="Calibri" w:hAnsi="Arial" w:cs="Arial"/>
          <w:b/>
          <w:bCs/>
          <w:color w:val="000000" w:themeColor="text1"/>
        </w:rPr>
        <w:t xml:space="preserve">Genetic and pharmacological stabilisation of HIF signaling induces both HIF-1α and HIF-2α expression in epicardial explants. </w:t>
      </w:r>
      <w:r>
        <w:rPr>
          <w:rFonts w:ascii="Arial" w:eastAsia="Calibri" w:hAnsi="Arial" w:cs="Arial"/>
          <w:color w:val="000000" w:themeColor="text1"/>
        </w:rPr>
        <w:t xml:space="preserve">(a) Representative images of co-immunostaining for HIF-1α (green), HIF-2α (red) and DAPI nuclear stain (blue) on epicardial explants derived from E11.5 hearts of </w:t>
      </w:r>
      <w:r>
        <w:rPr>
          <w:rFonts w:ascii="Arial" w:eastAsia="Calibri" w:hAnsi="Arial" w:cs="Arial"/>
          <w:i/>
          <w:iCs/>
          <w:color w:val="000000" w:themeColor="text1"/>
        </w:rPr>
        <w:t>Phd2</w:t>
      </w:r>
      <w:r>
        <w:rPr>
          <w:rFonts w:ascii="Arial" w:eastAsia="Calibri" w:hAnsi="Arial" w:cs="Arial"/>
          <w:i/>
          <w:iCs/>
          <w:color w:val="000000" w:themeColor="text1"/>
          <w:vertAlign w:val="superscript"/>
        </w:rPr>
        <w:t>fl/fl</w:t>
      </w:r>
      <w:r>
        <w:rPr>
          <w:rFonts w:ascii="Arial" w:eastAsia="Calibri" w:hAnsi="Arial" w:cs="Arial"/>
          <w:color w:val="000000" w:themeColor="text1"/>
        </w:rPr>
        <w:t xml:space="preserve"> (CTR) </w:t>
      </w:r>
      <w:r>
        <w:rPr>
          <w:rFonts w:ascii="Arial" w:eastAsia="Calibri" w:hAnsi="Arial" w:cs="Arial"/>
          <w:color w:val="000000" w:themeColor="text1"/>
        </w:rPr>
        <w:lastRenderedPageBreak/>
        <w:t>and</w:t>
      </w:r>
      <w:r>
        <w:rPr>
          <w:rFonts w:ascii="Arial" w:eastAsia="Calibri" w:hAnsi="Arial" w:cs="Arial"/>
          <w:i/>
          <w:iCs/>
          <w:color w:val="000000" w:themeColor="text1"/>
        </w:rPr>
        <w:t xml:space="preserve"> Rosa26</w:t>
      </w:r>
      <w:r>
        <w:rPr>
          <w:rFonts w:ascii="Arial" w:eastAsia="Calibri" w:hAnsi="Arial" w:cs="Arial"/>
          <w:i/>
          <w:iCs/>
          <w:color w:val="000000" w:themeColor="text1"/>
          <w:vertAlign w:val="superscript"/>
        </w:rPr>
        <w:t>+/CreERT2</w:t>
      </w:r>
      <w:r>
        <w:rPr>
          <w:rFonts w:ascii="Arial" w:eastAsia="Calibri" w:hAnsi="Arial" w:cs="Arial"/>
          <w:i/>
          <w:iCs/>
          <w:color w:val="000000" w:themeColor="text1"/>
        </w:rPr>
        <w:t>; Phd2</w:t>
      </w:r>
      <w:r>
        <w:rPr>
          <w:rFonts w:ascii="Arial" w:eastAsia="Calibri" w:hAnsi="Arial" w:cs="Arial"/>
          <w:i/>
          <w:iCs/>
          <w:color w:val="000000" w:themeColor="text1"/>
          <w:vertAlign w:val="superscript"/>
        </w:rPr>
        <w:t>fl/fl</w:t>
      </w:r>
      <w:r>
        <w:rPr>
          <w:rFonts w:ascii="Arial" w:eastAsia="Calibri" w:hAnsi="Arial" w:cs="Arial"/>
          <w:b/>
          <w:bCs/>
          <w:i/>
          <w:iCs/>
          <w:color w:val="000000" w:themeColor="text1"/>
        </w:rPr>
        <w:t xml:space="preserve"> </w:t>
      </w:r>
      <w:r>
        <w:rPr>
          <w:rFonts w:ascii="Arial" w:eastAsia="Calibri" w:hAnsi="Arial" w:cs="Arial"/>
          <w:color w:val="000000" w:themeColor="text1"/>
        </w:rPr>
        <w:t>(KO) embryos. Quantification of (c) HIF-1α and (d) HIF-2α nuclear signal. N=4/group.  (d,e) Representative images of co-immunostaining for HIF-1α (green), HIF-2α (red) and DAPI nuclear stain (blue) on epicardial explants derived from E11.5 hearts of wild type embryos treated with DMSO (Control), Roxadustat (FG-4592) or Molidustat (BAY 85-3934). Quantification of (f) HIF-1α and (g) HIF-2α nuclear signal. n=4/group Scale bars, 100μm. Data presented as median, IQR and upper and lower limits. Data analysed with Student’s t-test. *p&lt;0.05; **p&lt;0.01;</w:t>
      </w:r>
    </w:p>
    <w:p w14:paraId="241BB639" w14:textId="77777777" w:rsidR="0044198B" w:rsidRDefault="0044198B" w:rsidP="0044198B">
      <w:pPr>
        <w:spacing w:after="160" w:line="480" w:lineRule="auto"/>
        <w:jc w:val="both"/>
        <w:rPr>
          <w:rFonts w:ascii="Arial" w:eastAsia="Calibri" w:hAnsi="Arial" w:cs="Arial"/>
          <w:b/>
          <w:bCs/>
          <w:color w:val="000000" w:themeColor="text1"/>
        </w:rPr>
      </w:pPr>
    </w:p>
    <w:p w14:paraId="562A7E0D" w14:textId="77777777" w:rsidR="0044198B" w:rsidRDefault="0044198B" w:rsidP="0044198B">
      <w:pPr>
        <w:spacing w:after="160" w:line="480" w:lineRule="auto"/>
        <w:jc w:val="both"/>
        <w:rPr>
          <w:rFonts w:ascii="Arial" w:eastAsia="Calibri" w:hAnsi="Arial" w:cs="Arial"/>
          <w:color w:val="000000" w:themeColor="text1"/>
        </w:rPr>
      </w:pPr>
      <w:r>
        <w:rPr>
          <w:rFonts w:ascii="Arial" w:eastAsia="Calibri" w:hAnsi="Arial" w:cs="Arial"/>
          <w:b/>
          <w:bCs/>
          <w:color w:val="000000" w:themeColor="text1"/>
        </w:rPr>
        <w:t xml:space="preserve">Supplementary Figure 7. Differential activity of HIF signalling in the neonatal mouse. </w:t>
      </w:r>
      <w:r>
        <w:rPr>
          <w:rFonts w:ascii="Arial" w:eastAsia="Calibri" w:hAnsi="Arial" w:cs="Arial"/>
          <w:color w:val="000000" w:themeColor="text1"/>
        </w:rPr>
        <w:t xml:space="preserve">(a) Heatmap showing biological processes enriched in all cell populations at P1 and P7. (b) Stacked violin plots showing expression of canonical enriched genes for each cell cluster. (c) Heatmap showing biological processes enriched in the fibroblast cluster at P1 and P7. (d) Stacked violin plots showing expression of </w:t>
      </w:r>
      <w:r>
        <w:rPr>
          <w:rFonts w:ascii="Arial" w:eastAsia="Calibri" w:hAnsi="Arial" w:cs="Arial"/>
          <w:i/>
          <w:iCs/>
          <w:color w:val="000000" w:themeColor="text1"/>
        </w:rPr>
        <w:t>Hif1a</w:t>
      </w:r>
      <w:r>
        <w:rPr>
          <w:rFonts w:ascii="Arial" w:eastAsia="Calibri" w:hAnsi="Arial" w:cs="Arial"/>
          <w:color w:val="000000" w:themeColor="text1"/>
        </w:rPr>
        <w:t xml:space="preserve">, </w:t>
      </w:r>
      <w:r>
        <w:rPr>
          <w:rFonts w:ascii="Arial" w:eastAsia="Calibri" w:hAnsi="Arial" w:cs="Arial"/>
          <w:i/>
          <w:iCs/>
          <w:color w:val="000000" w:themeColor="text1"/>
        </w:rPr>
        <w:t>Epas1</w:t>
      </w:r>
      <w:r>
        <w:rPr>
          <w:rFonts w:ascii="Arial" w:eastAsia="Calibri" w:hAnsi="Arial" w:cs="Arial"/>
          <w:color w:val="000000" w:themeColor="text1"/>
        </w:rPr>
        <w:t xml:space="preserve"> or </w:t>
      </w:r>
      <w:r>
        <w:rPr>
          <w:rFonts w:ascii="Arial" w:eastAsia="Calibri" w:hAnsi="Arial" w:cs="Arial"/>
          <w:i/>
          <w:iCs/>
          <w:color w:val="000000" w:themeColor="text1"/>
        </w:rPr>
        <w:t>Hif2a</w:t>
      </w:r>
      <w:r>
        <w:rPr>
          <w:rFonts w:ascii="Arial" w:eastAsia="Calibri" w:hAnsi="Arial" w:cs="Arial"/>
          <w:color w:val="000000" w:themeColor="text1"/>
        </w:rPr>
        <w:t xml:space="preserve">, </w:t>
      </w:r>
      <w:r>
        <w:rPr>
          <w:rFonts w:ascii="Arial" w:eastAsia="Calibri" w:hAnsi="Arial" w:cs="Arial"/>
          <w:i/>
          <w:iCs/>
          <w:color w:val="000000" w:themeColor="text1"/>
        </w:rPr>
        <w:t>Wt1</w:t>
      </w:r>
      <w:r>
        <w:rPr>
          <w:rFonts w:ascii="Arial" w:eastAsia="Calibri" w:hAnsi="Arial" w:cs="Arial"/>
          <w:color w:val="000000" w:themeColor="text1"/>
        </w:rPr>
        <w:t xml:space="preserve"> and </w:t>
      </w:r>
      <w:r>
        <w:rPr>
          <w:rFonts w:ascii="Arial" w:eastAsia="Calibri" w:hAnsi="Arial" w:cs="Arial"/>
          <w:i/>
          <w:iCs/>
          <w:color w:val="000000" w:themeColor="text1"/>
        </w:rPr>
        <w:t>Egln1</w:t>
      </w:r>
      <w:r>
        <w:rPr>
          <w:rFonts w:ascii="Arial" w:eastAsia="Calibri" w:hAnsi="Arial" w:cs="Arial"/>
          <w:color w:val="000000" w:themeColor="text1"/>
        </w:rPr>
        <w:t xml:space="preserve"> or </w:t>
      </w:r>
      <w:r>
        <w:rPr>
          <w:rFonts w:ascii="Arial" w:eastAsia="Calibri" w:hAnsi="Arial" w:cs="Arial"/>
          <w:i/>
          <w:iCs/>
          <w:color w:val="000000" w:themeColor="text1"/>
        </w:rPr>
        <w:t>Phd2</w:t>
      </w:r>
      <w:r>
        <w:rPr>
          <w:rFonts w:ascii="Arial" w:eastAsia="Calibri" w:hAnsi="Arial" w:cs="Arial"/>
          <w:color w:val="000000" w:themeColor="text1"/>
        </w:rPr>
        <w:t xml:space="preserve"> genes for each cell cluster. Red violin represents P1 derived cells, green violin represents P7 derived cells.  EC, endothelial cells; FB, fibroblast; SMC, smooth muscle cells; CM, cardiomyocyte; Epi, epicardium; Mo, monocytes; Mac, macrophages; TC, T-cells; BC, B-cells.</w:t>
      </w:r>
    </w:p>
    <w:p w14:paraId="37328E4B" w14:textId="77777777" w:rsidR="0044198B" w:rsidRDefault="0044198B" w:rsidP="0044198B">
      <w:pPr>
        <w:spacing w:after="160" w:line="480" w:lineRule="auto"/>
        <w:jc w:val="both"/>
        <w:rPr>
          <w:rFonts w:ascii="Arial" w:eastAsia="Calibri" w:hAnsi="Arial" w:cs="Arial"/>
          <w:b/>
          <w:bCs/>
          <w:color w:val="000000" w:themeColor="text1"/>
        </w:rPr>
      </w:pPr>
    </w:p>
    <w:p w14:paraId="2989975C" w14:textId="77777777" w:rsidR="0044198B" w:rsidRDefault="0044198B" w:rsidP="0044198B">
      <w:pPr>
        <w:spacing w:after="160" w:line="480" w:lineRule="auto"/>
        <w:jc w:val="both"/>
        <w:rPr>
          <w:rFonts w:ascii="Arial" w:eastAsia="Calibri" w:hAnsi="Arial" w:cs="Arial"/>
          <w:color w:val="000000" w:themeColor="text1"/>
        </w:rPr>
      </w:pPr>
      <w:r>
        <w:rPr>
          <w:rFonts w:ascii="Arial" w:eastAsia="Calibri" w:hAnsi="Arial" w:cs="Arial"/>
          <w:b/>
          <w:bCs/>
          <w:color w:val="000000" w:themeColor="text1"/>
        </w:rPr>
        <w:t>Supplementary Figure 8. PHD2 expression increases in the neonatal heart from P1 to P7.</w:t>
      </w:r>
      <w:r>
        <w:rPr>
          <w:rFonts w:ascii="Arial" w:eastAsia="Calibri" w:hAnsi="Arial" w:cs="Arial"/>
          <w:color w:val="000000" w:themeColor="text1"/>
        </w:rPr>
        <w:t xml:space="preserve"> Representative images of immunostaining for PHD2 (green), WT1 (magenta), PDPN (grey) and DAPI (cyan) on cryosections of postnatal (right) ventricles of P1 (a) and </w:t>
      </w:r>
      <w:r>
        <w:rPr>
          <w:rFonts w:ascii="Arial" w:eastAsia="Calibri" w:hAnsi="Arial" w:cs="Arial"/>
          <w:color w:val="000000" w:themeColor="text1"/>
        </w:rPr>
        <w:lastRenderedPageBreak/>
        <w:t>P7 hearts (b). Arrowheads indicate PHD2 expression in WT1</w:t>
      </w:r>
      <w:r>
        <w:rPr>
          <w:rFonts w:ascii="Arial" w:eastAsia="Calibri" w:hAnsi="Arial" w:cs="Arial"/>
          <w:color w:val="000000" w:themeColor="text1"/>
          <w:vertAlign w:val="superscript"/>
        </w:rPr>
        <w:t>+</w:t>
      </w:r>
      <w:r>
        <w:rPr>
          <w:rFonts w:ascii="Arial" w:eastAsia="Calibri" w:hAnsi="Arial" w:cs="Arial"/>
          <w:color w:val="000000" w:themeColor="text1"/>
        </w:rPr>
        <w:t xml:space="preserve"> cells. n=3 hearts per stage. Scale bar, 50μm.</w:t>
      </w:r>
    </w:p>
    <w:p w14:paraId="1E805C2C" w14:textId="77777777" w:rsidR="0044198B" w:rsidRDefault="0044198B" w:rsidP="0044198B">
      <w:pPr>
        <w:spacing w:after="160" w:line="480" w:lineRule="auto"/>
        <w:jc w:val="both"/>
        <w:rPr>
          <w:rFonts w:ascii="Arial" w:eastAsia="Calibri" w:hAnsi="Arial" w:cs="Arial"/>
          <w:b/>
          <w:bCs/>
          <w:color w:val="000000" w:themeColor="text1"/>
        </w:rPr>
      </w:pPr>
    </w:p>
    <w:p w14:paraId="3D5CBCDB" w14:textId="77777777" w:rsidR="0044198B" w:rsidRDefault="0044198B" w:rsidP="0044198B">
      <w:pPr>
        <w:spacing w:after="160" w:line="480" w:lineRule="auto"/>
        <w:jc w:val="both"/>
        <w:rPr>
          <w:rFonts w:ascii="Arial" w:eastAsia="Calibri" w:hAnsi="Arial" w:cs="Arial"/>
          <w:color w:val="000000" w:themeColor="text1"/>
        </w:rPr>
      </w:pPr>
      <w:r>
        <w:rPr>
          <w:rFonts w:ascii="Arial" w:eastAsia="Calibri" w:hAnsi="Arial" w:cs="Arial"/>
          <w:b/>
          <w:bCs/>
          <w:color w:val="000000" w:themeColor="text1"/>
        </w:rPr>
        <w:t xml:space="preserve">Supplementary Figure 9. Tamoxifen administration at P2 leads to reduced </w:t>
      </w:r>
      <w:r>
        <w:rPr>
          <w:rFonts w:ascii="Arial" w:eastAsia="Calibri" w:hAnsi="Arial" w:cs="Arial"/>
          <w:b/>
          <w:bCs/>
          <w:i/>
          <w:iCs/>
          <w:color w:val="000000" w:themeColor="text1"/>
        </w:rPr>
        <w:t>Phd2</w:t>
      </w:r>
      <w:r>
        <w:rPr>
          <w:rFonts w:ascii="Arial" w:eastAsia="Calibri" w:hAnsi="Arial" w:cs="Arial"/>
          <w:b/>
          <w:bCs/>
          <w:color w:val="000000" w:themeColor="text1"/>
        </w:rPr>
        <w:t xml:space="preserve"> and increased </w:t>
      </w:r>
      <w:r>
        <w:rPr>
          <w:rFonts w:ascii="Arial" w:eastAsia="Calibri" w:hAnsi="Arial" w:cs="Arial"/>
          <w:b/>
          <w:bCs/>
          <w:i/>
          <w:iCs/>
          <w:color w:val="000000" w:themeColor="text1"/>
        </w:rPr>
        <w:t>Wt1</w:t>
      </w:r>
      <w:r>
        <w:rPr>
          <w:rFonts w:ascii="Arial" w:eastAsia="Calibri" w:hAnsi="Arial" w:cs="Arial"/>
          <w:b/>
          <w:bCs/>
          <w:color w:val="000000" w:themeColor="text1"/>
        </w:rPr>
        <w:t xml:space="preserve"> expression in</w:t>
      </w:r>
      <w:r>
        <w:rPr>
          <w:rFonts w:ascii="Arial" w:eastAsia="Arial" w:hAnsi="Arial" w:cs="Arial"/>
          <w:b/>
          <w:bCs/>
          <w:color w:val="000000" w:themeColor="text1"/>
        </w:rPr>
        <w:t xml:space="preserve"> neonatal hearts infarcted </w:t>
      </w:r>
      <w:r>
        <w:rPr>
          <w:rFonts w:ascii="Arial" w:eastAsia="Calibri" w:hAnsi="Arial" w:cs="Arial"/>
          <w:b/>
          <w:bCs/>
          <w:color w:val="000000" w:themeColor="text1"/>
        </w:rPr>
        <w:t xml:space="preserve">at P7. </w:t>
      </w:r>
      <w:r>
        <w:rPr>
          <w:rFonts w:ascii="Arial" w:eastAsia="Calibri" w:hAnsi="Arial" w:cs="Arial"/>
          <w:color w:val="000000" w:themeColor="text1"/>
        </w:rPr>
        <w:t xml:space="preserve">(a) Schematic of experimental design. mRNA levels of (b) </w:t>
      </w:r>
      <w:r>
        <w:rPr>
          <w:rFonts w:ascii="Arial" w:eastAsia="Calibri" w:hAnsi="Arial" w:cs="Arial"/>
          <w:i/>
          <w:iCs/>
          <w:color w:val="000000" w:themeColor="text1"/>
        </w:rPr>
        <w:t>Phd2</w:t>
      </w:r>
      <w:r>
        <w:rPr>
          <w:rFonts w:ascii="Arial" w:eastAsia="Calibri" w:hAnsi="Arial" w:cs="Arial"/>
          <w:color w:val="000000" w:themeColor="text1"/>
        </w:rPr>
        <w:t xml:space="preserve">, (c) </w:t>
      </w:r>
      <w:r>
        <w:rPr>
          <w:rFonts w:ascii="Arial" w:eastAsia="Calibri" w:hAnsi="Arial" w:cs="Arial"/>
          <w:i/>
          <w:iCs/>
          <w:color w:val="000000" w:themeColor="text1"/>
        </w:rPr>
        <w:t>Glut1</w:t>
      </w:r>
      <w:r>
        <w:rPr>
          <w:rFonts w:ascii="Arial" w:eastAsia="Calibri" w:hAnsi="Arial" w:cs="Arial"/>
          <w:color w:val="000000" w:themeColor="text1"/>
        </w:rPr>
        <w:t xml:space="preserve"> and (d) </w:t>
      </w:r>
      <w:r>
        <w:rPr>
          <w:rFonts w:ascii="Arial" w:eastAsia="Calibri" w:hAnsi="Arial" w:cs="Arial"/>
          <w:i/>
          <w:iCs/>
          <w:color w:val="000000" w:themeColor="text1"/>
        </w:rPr>
        <w:t>Wt1</w:t>
      </w:r>
      <w:r>
        <w:rPr>
          <w:rFonts w:ascii="Arial" w:eastAsia="Calibri" w:hAnsi="Arial" w:cs="Arial"/>
          <w:color w:val="000000" w:themeColor="text1"/>
        </w:rPr>
        <w:t xml:space="preserve"> analysed from whole ventricles of </w:t>
      </w:r>
      <w:r>
        <w:rPr>
          <w:rFonts w:ascii="Arial" w:eastAsia="Calibri" w:hAnsi="Arial" w:cs="Arial"/>
          <w:i/>
          <w:iCs/>
          <w:color w:val="000000" w:themeColor="text1"/>
        </w:rPr>
        <w:t>Phd2</w:t>
      </w:r>
      <w:r>
        <w:rPr>
          <w:rFonts w:ascii="Arial" w:eastAsia="Calibri" w:hAnsi="Arial" w:cs="Arial"/>
          <w:i/>
          <w:iCs/>
          <w:color w:val="000000" w:themeColor="text1"/>
          <w:vertAlign w:val="superscript"/>
        </w:rPr>
        <w:t>fl/fl</w:t>
      </w:r>
      <w:r>
        <w:rPr>
          <w:rFonts w:ascii="Arial" w:eastAsia="Calibri" w:hAnsi="Arial" w:cs="Arial"/>
          <w:color w:val="000000" w:themeColor="text1"/>
        </w:rPr>
        <w:t xml:space="preserve"> (CTR) </w:t>
      </w:r>
      <w:r>
        <w:rPr>
          <w:rFonts w:ascii="Arial" w:eastAsia="Calibri" w:hAnsi="Arial" w:cs="Arial"/>
          <w:i/>
          <w:iCs/>
          <w:color w:val="000000" w:themeColor="text1"/>
        </w:rPr>
        <w:t>and Rosa26</w:t>
      </w:r>
      <w:r>
        <w:rPr>
          <w:rFonts w:ascii="Arial" w:eastAsia="Calibri" w:hAnsi="Arial" w:cs="Arial"/>
          <w:i/>
          <w:iCs/>
          <w:color w:val="000000" w:themeColor="text1"/>
          <w:vertAlign w:val="superscript"/>
        </w:rPr>
        <w:t>+/CreERT2</w:t>
      </w:r>
      <w:r>
        <w:rPr>
          <w:rFonts w:ascii="Arial" w:eastAsia="Calibri" w:hAnsi="Arial" w:cs="Arial"/>
          <w:i/>
          <w:iCs/>
          <w:color w:val="000000" w:themeColor="text1"/>
        </w:rPr>
        <w:t>;Phd2</w:t>
      </w:r>
      <w:r>
        <w:rPr>
          <w:rFonts w:ascii="Arial" w:eastAsia="Calibri" w:hAnsi="Arial" w:cs="Arial"/>
          <w:i/>
          <w:iCs/>
          <w:color w:val="000000" w:themeColor="text1"/>
          <w:vertAlign w:val="superscript"/>
        </w:rPr>
        <w:t>fl/fl</w:t>
      </w:r>
      <w:bookmarkStart w:id="2" w:name="_Hlk73013290"/>
      <w:r>
        <w:rPr>
          <w:rFonts w:ascii="Arial" w:eastAsia="Calibri" w:hAnsi="Arial" w:cs="Arial"/>
          <w:color w:val="000000" w:themeColor="text1"/>
        </w:rPr>
        <w:t xml:space="preserve"> </w:t>
      </w:r>
      <w:bookmarkEnd w:id="2"/>
      <w:r>
        <w:rPr>
          <w:rFonts w:ascii="Arial" w:eastAsia="Calibri" w:hAnsi="Arial" w:cs="Arial"/>
          <w:color w:val="000000" w:themeColor="text1"/>
        </w:rPr>
        <w:t xml:space="preserve">(KO) P7 hearts harvested at 4dpi.  CTR, n=7; KO, n=5. (e) Representative images of immunostaining for WT1 (green), ACTN2 (magenta), PDPN (white) and DAPI nuclear stain (cyan) on cryosections of P7 hearts and (f) quantification of number of WT1+ cells in the epicardium from CTR and KO hearts harvested at 4dpi. Images on the right represent high magnification views of boxed regions in whole heart images. Arrowheads indicate expression of WT1 in the epicardium. Whole heart scale bars, 200μm; high magnification scale bars,100μm. CTR, n=4: KO, n=4. Data presented as median, IQR and upper and lower limits. Data analysed with Student’s t-test.  *p&lt;0.05; **p&lt;0.01; ****p&lt;0.0001. </w:t>
      </w:r>
    </w:p>
    <w:p w14:paraId="29C5F23B" w14:textId="77777777" w:rsidR="0044198B" w:rsidRDefault="0044198B" w:rsidP="0044198B">
      <w:pPr>
        <w:spacing w:after="160" w:line="480" w:lineRule="auto"/>
        <w:jc w:val="both"/>
        <w:rPr>
          <w:rFonts w:ascii="Arial" w:eastAsia="Calibri" w:hAnsi="Arial" w:cs="Arial"/>
          <w:color w:val="000000" w:themeColor="text1"/>
        </w:rPr>
      </w:pPr>
    </w:p>
    <w:p w14:paraId="29EA7EA7" w14:textId="77777777" w:rsidR="0044198B" w:rsidRDefault="0044198B" w:rsidP="0044198B">
      <w:pPr>
        <w:spacing w:after="160" w:line="480" w:lineRule="auto"/>
        <w:jc w:val="both"/>
        <w:rPr>
          <w:rFonts w:ascii="Arial" w:hAnsi="Arial" w:cs="Arial"/>
          <w:color w:val="000000" w:themeColor="text1"/>
        </w:rPr>
      </w:pPr>
      <w:r>
        <w:rPr>
          <w:rFonts w:ascii="Arial" w:eastAsia="Calibri" w:hAnsi="Arial" w:cs="Arial"/>
          <w:b/>
          <w:bCs/>
          <w:color w:val="000000" w:themeColor="text1"/>
        </w:rPr>
        <w:t>Supplementary Figure 10</w:t>
      </w:r>
      <w:r>
        <w:rPr>
          <w:rFonts w:ascii="Arial" w:hAnsi="Arial" w:cs="Arial"/>
          <w:b/>
          <w:bCs/>
          <w:color w:val="000000" w:themeColor="text1"/>
        </w:rPr>
        <w:t xml:space="preserve">. Loss of </w:t>
      </w:r>
      <w:r>
        <w:rPr>
          <w:rFonts w:ascii="Arial" w:hAnsi="Arial" w:cs="Arial"/>
          <w:b/>
          <w:bCs/>
          <w:i/>
          <w:color w:val="000000" w:themeColor="text1"/>
        </w:rPr>
        <w:t>Phd2</w:t>
      </w:r>
      <w:r>
        <w:rPr>
          <w:rFonts w:ascii="Arial" w:hAnsi="Arial" w:cs="Arial"/>
          <w:b/>
          <w:bCs/>
          <w:color w:val="000000" w:themeColor="text1"/>
        </w:rPr>
        <w:t xml:space="preserve"> induces WT1 epicardial expression and improves heart regeneration post-MI. </w:t>
      </w:r>
      <w:r>
        <w:rPr>
          <w:rFonts w:ascii="Arial" w:hAnsi="Arial" w:cs="Arial"/>
          <w:color w:val="000000" w:themeColor="text1"/>
        </w:rPr>
        <w:t>(a) Representative images of immunostaining for WT1 (green), ACTN2 (magenta),</w:t>
      </w:r>
      <w:r>
        <w:rPr>
          <w:rFonts w:ascii="Arial" w:hAnsi="Arial" w:cs="Arial"/>
          <w:b/>
          <w:bCs/>
          <w:color w:val="000000" w:themeColor="text1"/>
        </w:rPr>
        <w:t xml:space="preserve"> </w:t>
      </w:r>
      <w:r>
        <w:rPr>
          <w:rFonts w:ascii="Arial" w:hAnsi="Arial" w:cs="Arial"/>
          <w:color w:val="000000" w:themeColor="text1"/>
        </w:rPr>
        <w:t>PDPN (white) and DAPI nuclear stain (cyan) on transverse apical sections of</w:t>
      </w:r>
      <w:r>
        <w:rPr>
          <w:rFonts w:ascii="Arial" w:hAnsi="Arial" w:cs="Arial"/>
          <w:b/>
          <w:bCs/>
          <w:color w:val="000000" w:themeColor="text1"/>
        </w:rPr>
        <w:t xml:space="preserve"> </w:t>
      </w:r>
      <w:r>
        <w:rPr>
          <w:rFonts w:ascii="Arial" w:hAnsi="Arial" w:cs="Arial"/>
          <w:color w:val="000000" w:themeColor="text1"/>
        </w:rPr>
        <w:t xml:space="preserve">hearts from </w:t>
      </w:r>
      <w:r>
        <w:rPr>
          <w:rFonts w:ascii="Arial" w:hAnsi="Arial" w:cs="Arial"/>
          <w:i/>
          <w:iCs/>
          <w:color w:val="000000" w:themeColor="text1"/>
        </w:rPr>
        <w:t>Phd2</w:t>
      </w:r>
      <w:r>
        <w:rPr>
          <w:rFonts w:ascii="Arial" w:hAnsi="Arial" w:cs="Arial"/>
          <w:i/>
          <w:iCs/>
          <w:color w:val="000000" w:themeColor="text1"/>
          <w:vertAlign w:val="superscript"/>
        </w:rPr>
        <w:t>fl/fl</w:t>
      </w:r>
      <w:r>
        <w:rPr>
          <w:rFonts w:ascii="Arial" w:hAnsi="Arial" w:cs="Arial"/>
          <w:iCs/>
          <w:color w:val="000000" w:themeColor="text1"/>
          <w:vertAlign w:val="superscript"/>
        </w:rPr>
        <w:t xml:space="preserve"> </w:t>
      </w:r>
      <w:r>
        <w:rPr>
          <w:rFonts w:ascii="Arial" w:hAnsi="Arial" w:cs="Arial"/>
          <w:iCs/>
          <w:color w:val="000000" w:themeColor="text1"/>
        </w:rPr>
        <w:t>(CTR) and</w:t>
      </w:r>
      <w:r>
        <w:rPr>
          <w:rFonts w:ascii="Arial" w:hAnsi="Arial" w:cs="Arial"/>
          <w:iCs/>
          <w:color w:val="000000" w:themeColor="text1"/>
          <w:vertAlign w:val="superscript"/>
        </w:rPr>
        <w:t xml:space="preserve"> </w:t>
      </w:r>
      <w:r>
        <w:rPr>
          <w:rFonts w:ascii="Arial" w:hAnsi="Arial" w:cs="Arial"/>
          <w:i/>
          <w:iCs/>
          <w:color w:val="000000" w:themeColor="text1"/>
        </w:rPr>
        <w:t>Rosa26</w:t>
      </w:r>
      <w:r>
        <w:rPr>
          <w:rFonts w:ascii="Arial" w:hAnsi="Arial" w:cs="Arial"/>
          <w:i/>
          <w:iCs/>
          <w:color w:val="000000" w:themeColor="text1"/>
          <w:vertAlign w:val="superscript"/>
        </w:rPr>
        <w:t>+/CreERT2</w:t>
      </w:r>
      <w:r>
        <w:rPr>
          <w:rFonts w:ascii="Arial" w:hAnsi="Arial" w:cs="Arial"/>
          <w:color w:val="000000" w:themeColor="text1"/>
        </w:rPr>
        <w:t>;</w:t>
      </w:r>
      <w:r>
        <w:rPr>
          <w:rFonts w:ascii="Arial" w:hAnsi="Arial" w:cs="Arial"/>
          <w:i/>
          <w:iCs/>
          <w:color w:val="000000" w:themeColor="text1"/>
        </w:rPr>
        <w:t>Phd2</w:t>
      </w:r>
      <w:r>
        <w:rPr>
          <w:rFonts w:ascii="Arial" w:hAnsi="Arial" w:cs="Arial"/>
          <w:i/>
          <w:iCs/>
          <w:color w:val="000000" w:themeColor="text1"/>
          <w:vertAlign w:val="superscript"/>
        </w:rPr>
        <w:t xml:space="preserve">fl/fl </w:t>
      </w:r>
      <w:r>
        <w:rPr>
          <w:rFonts w:ascii="Arial" w:hAnsi="Arial" w:cs="Arial"/>
          <w:color w:val="000000" w:themeColor="text1"/>
        </w:rPr>
        <w:t>(KO) mice and (b-e) quantification of number of WT1 positive cells at 4 days post-injury (dpi). Images on the right</w:t>
      </w:r>
      <w:r>
        <w:rPr>
          <w:rFonts w:ascii="Arial" w:hAnsi="Arial" w:cs="Arial"/>
          <w:b/>
          <w:bCs/>
          <w:color w:val="000000" w:themeColor="text1"/>
        </w:rPr>
        <w:t xml:space="preserve"> </w:t>
      </w:r>
      <w:r>
        <w:rPr>
          <w:rFonts w:ascii="Arial" w:hAnsi="Arial" w:cs="Arial"/>
          <w:color w:val="000000" w:themeColor="text1"/>
        </w:rPr>
        <w:t xml:space="preserve">represent high magnification views of boxed regions shown in whole </w:t>
      </w:r>
      <w:r>
        <w:rPr>
          <w:rFonts w:ascii="Arial" w:hAnsi="Arial" w:cs="Arial"/>
          <w:color w:val="000000" w:themeColor="text1"/>
        </w:rPr>
        <w:lastRenderedPageBreak/>
        <w:t>heart images. Arrowheads indicate</w:t>
      </w:r>
      <w:r>
        <w:rPr>
          <w:rFonts w:ascii="Arial" w:hAnsi="Arial" w:cs="Arial"/>
          <w:b/>
          <w:bCs/>
          <w:color w:val="000000" w:themeColor="text1"/>
        </w:rPr>
        <w:t xml:space="preserve"> </w:t>
      </w:r>
      <w:r>
        <w:rPr>
          <w:rFonts w:ascii="Arial" w:hAnsi="Arial" w:cs="Arial"/>
          <w:color w:val="000000" w:themeColor="text1"/>
        </w:rPr>
        <w:t>expression of WT1 in the epicardium (determined by co-expression with</w:t>
      </w:r>
      <w:r>
        <w:rPr>
          <w:rFonts w:ascii="Arial" w:hAnsi="Arial" w:cs="Arial"/>
          <w:b/>
          <w:bCs/>
          <w:color w:val="000000" w:themeColor="text1"/>
        </w:rPr>
        <w:t xml:space="preserve"> </w:t>
      </w:r>
      <w:r>
        <w:rPr>
          <w:rFonts w:ascii="Arial" w:hAnsi="Arial" w:cs="Arial"/>
          <w:color w:val="000000" w:themeColor="text1"/>
        </w:rPr>
        <w:t>PDPN); arrows indicate WT1 expression in non-epicardial cells.</w:t>
      </w:r>
      <w:r>
        <w:rPr>
          <w:rFonts w:ascii="Arial" w:hAnsi="Arial" w:cs="Arial"/>
          <w:b/>
          <w:bCs/>
          <w:color w:val="000000" w:themeColor="text1"/>
        </w:rPr>
        <w:t xml:space="preserve"> </w:t>
      </w:r>
      <w:r>
        <w:rPr>
          <w:rFonts w:ascii="Arial" w:hAnsi="Arial" w:cs="Arial"/>
          <w:color w:val="000000" w:themeColor="text1"/>
        </w:rPr>
        <w:t xml:space="preserve">Epi, epicardium; myo, myocardium. Whole heart scale bars, 200μm; high magnification scale bars,100μm. n=4 hearts per group. Data presented as median, IQR and upper and lower limits. Data analysed by Student’s t-test **p&lt;0.01. (f) Representative images of co-staining for WT1 (green) and EMCN (magenta). Arrowheads indicate co-expression of WT1 with EMCN. Scale bars, 50μm. (g) Representative images of immunostaining for CD68 (green), phospho-Histone 3 (PHH3- magenta) and DAPI (cyan) on transverse apical sections of hearts from CTR and KO hearts at 4dpi. Images in top right corner represent high magnifications of boxed region. n=4 hearts per group.(h) Representative images of immunostaining for CD31 (green), SM-MHC (magenta) and DAPI (cyan) on transverse apical sections of hearts from CTR and KO hearts at 4dpi. Images in top right corner represent high magnifications of boxed region. n=4 hearts per group. RV= right ventricle, LV= left ventricle. Scale bars, 200μm, high magnification scale bars, 50μm. (i) Masson’s Trichrome stained transverse sections to assess cardiac fibrosis (blue) at 21dpi. *denotes suture placement. </w:t>
      </w:r>
      <w:r>
        <w:rPr>
          <w:rFonts w:ascii="Arial" w:hAnsi="Arial" w:cs="Arial"/>
          <w:i/>
          <w:iCs/>
          <w:color w:val="000000" w:themeColor="text1"/>
        </w:rPr>
        <w:t>Phd2</w:t>
      </w:r>
      <w:r>
        <w:rPr>
          <w:rFonts w:ascii="Arial" w:hAnsi="Arial" w:cs="Arial"/>
          <w:i/>
          <w:iCs/>
          <w:color w:val="000000" w:themeColor="text1"/>
          <w:vertAlign w:val="superscript"/>
        </w:rPr>
        <w:t>fl/fl</w:t>
      </w:r>
      <w:r>
        <w:rPr>
          <w:rFonts w:ascii="Arial" w:hAnsi="Arial" w:cs="Arial"/>
          <w:color w:val="000000" w:themeColor="text1"/>
        </w:rPr>
        <w:t xml:space="preserve">, n=3; </w:t>
      </w:r>
      <w:r>
        <w:rPr>
          <w:rFonts w:ascii="Arial" w:hAnsi="Arial" w:cs="Arial"/>
          <w:i/>
          <w:iCs/>
          <w:color w:val="000000" w:themeColor="text1"/>
        </w:rPr>
        <w:t>Rosa26</w:t>
      </w:r>
      <w:r>
        <w:rPr>
          <w:rFonts w:ascii="Arial" w:hAnsi="Arial" w:cs="Arial"/>
          <w:i/>
          <w:iCs/>
          <w:color w:val="000000" w:themeColor="text1"/>
          <w:vertAlign w:val="superscript"/>
        </w:rPr>
        <w:t>+/CreERT2</w:t>
      </w:r>
      <w:r>
        <w:rPr>
          <w:rFonts w:ascii="Arial" w:hAnsi="Arial" w:cs="Arial"/>
          <w:iCs/>
          <w:color w:val="000000" w:themeColor="text1"/>
        </w:rPr>
        <w:t>;</w:t>
      </w:r>
      <w:r>
        <w:rPr>
          <w:rFonts w:ascii="Arial" w:hAnsi="Arial" w:cs="Arial"/>
          <w:i/>
          <w:iCs/>
          <w:color w:val="000000" w:themeColor="text1"/>
        </w:rPr>
        <w:t>Phd2</w:t>
      </w:r>
      <w:r>
        <w:rPr>
          <w:rFonts w:ascii="Arial" w:hAnsi="Arial" w:cs="Arial"/>
          <w:i/>
          <w:iCs/>
          <w:color w:val="000000" w:themeColor="text1"/>
          <w:vertAlign w:val="superscript"/>
        </w:rPr>
        <w:t>fl/fl</w:t>
      </w:r>
      <w:r>
        <w:rPr>
          <w:rFonts w:ascii="Arial" w:hAnsi="Arial" w:cs="Arial"/>
          <w:color w:val="000000" w:themeColor="text1"/>
        </w:rPr>
        <w:t xml:space="preserve">, n=1. Scale bars, 1mm. </w:t>
      </w:r>
    </w:p>
    <w:p w14:paraId="24098F82" w14:textId="77777777" w:rsidR="0044198B" w:rsidRDefault="0044198B" w:rsidP="0044198B">
      <w:pPr>
        <w:spacing w:after="160" w:line="480" w:lineRule="auto"/>
        <w:jc w:val="both"/>
        <w:rPr>
          <w:rFonts w:ascii="Arial" w:hAnsi="Arial" w:cs="Arial"/>
          <w:i/>
          <w:iCs/>
          <w:color w:val="000000" w:themeColor="text1"/>
        </w:rPr>
      </w:pPr>
    </w:p>
    <w:p w14:paraId="1DD3229B" w14:textId="77777777" w:rsidR="0044198B" w:rsidRDefault="0044198B" w:rsidP="0044198B">
      <w:pPr>
        <w:spacing w:after="160" w:line="480" w:lineRule="auto"/>
        <w:jc w:val="both"/>
        <w:rPr>
          <w:rFonts w:ascii="Arial" w:eastAsia="Calibri" w:hAnsi="Arial" w:cs="Arial"/>
          <w:color w:val="000000" w:themeColor="text1"/>
        </w:rPr>
      </w:pPr>
      <w:r>
        <w:rPr>
          <w:rFonts w:ascii="Arial" w:eastAsia="Calibri" w:hAnsi="Arial" w:cs="Arial"/>
          <w:b/>
          <w:bCs/>
          <w:color w:val="000000" w:themeColor="text1"/>
        </w:rPr>
        <w:t>Supplementary Figure 11. Tamoxifen administration at P2 leads to diminished PHD2- and enhanced WT1 in</w:t>
      </w:r>
      <w:r>
        <w:rPr>
          <w:rFonts w:ascii="Arial" w:eastAsia="Arial" w:hAnsi="Arial" w:cs="Arial"/>
          <w:b/>
          <w:bCs/>
          <w:color w:val="000000" w:themeColor="text1"/>
        </w:rPr>
        <w:t xml:space="preserve"> the epicardium of uninjured neonatal hearts </w:t>
      </w:r>
      <w:r>
        <w:rPr>
          <w:rFonts w:ascii="Arial" w:eastAsia="Calibri" w:hAnsi="Arial" w:cs="Arial"/>
          <w:b/>
          <w:bCs/>
          <w:color w:val="000000" w:themeColor="text1"/>
        </w:rPr>
        <w:t xml:space="preserve">at P7. </w:t>
      </w:r>
      <w:r>
        <w:rPr>
          <w:rFonts w:ascii="Arial" w:eastAsia="Calibri" w:hAnsi="Arial" w:cs="Arial"/>
          <w:color w:val="000000" w:themeColor="text1"/>
        </w:rPr>
        <w:t xml:space="preserve">(a,b) Representative images of immunostaining for PDPN (green), PHD2 (red) and WT1 (grey) on cryosections of </w:t>
      </w:r>
      <w:r>
        <w:rPr>
          <w:rFonts w:ascii="Arial" w:eastAsia="Calibri" w:hAnsi="Arial" w:cs="Arial"/>
          <w:i/>
          <w:iCs/>
          <w:color w:val="000000" w:themeColor="text1"/>
        </w:rPr>
        <w:t>Phd2</w:t>
      </w:r>
      <w:r>
        <w:rPr>
          <w:rFonts w:ascii="Arial" w:eastAsia="Calibri" w:hAnsi="Arial" w:cs="Arial"/>
          <w:i/>
          <w:iCs/>
          <w:color w:val="000000" w:themeColor="text1"/>
          <w:vertAlign w:val="superscript"/>
        </w:rPr>
        <w:t>fl/fl</w:t>
      </w:r>
      <w:r>
        <w:rPr>
          <w:rFonts w:ascii="Arial" w:eastAsia="Calibri" w:hAnsi="Arial" w:cs="Arial"/>
          <w:color w:val="000000" w:themeColor="text1"/>
        </w:rPr>
        <w:t xml:space="preserve"> (a) and </w:t>
      </w:r>
      <w:r>
        <w:rPr>
          <w:rFonts w:ascii="Arial" w:eastAsia="Calibri" w:hAnsi="Arial" w:cs="Arial"/>
          <w:i/>
          <w:iCs/>
          <w:color w:val="000000" w:themeColor="text1"/>
        </w:rPr>
        <w:t>Wt1</w:t>
      </w:r>
      <w:r>
        <w:rPr>
          <w:rFonts w:ascii="Arial" w:eastAsia="Calibri" w:hAnsi="Arial" w:cs="Arial"/>
          <w:i/>
          <w:iCs/>
          <w:color w:val="000000" w:themeColor="text1"/>
          <w:vertAlign w:val="superscript"/>
        </w:rPr>
        <w:t>CreERT2</w:t>
      </w:r>
      <w:r>
        <w:rPr>
          <w:rFonts w:ascii="Arial" w:eastAsia="Calibri" w:hAnsi="Arial" w:cs="Arial"/>
          <w:i/>
          <w:iCs/>
          <w:color w:val="000000" w:themeColor="text1"/>
        </w:rPr>
        <w:t>;PhD2</w:t>
      </w:r>
      <w:r>
        <w:rPr>
          <w:rFonts w:ascii="Arial" w:eastAsia="Calibri" w:hAnsi="Arial" w:cs="Arial"/>
          <w:i/>
          <w:iCs/>
          <w:color w:val="000000" w:themeColor="text1"/>
          <w:vertAlign w:val="superscript"/>
        </w:rPr>
        <w:t>fl/fl</w:t>
      </w:r>
      <w:r>
        <w:rPr>
          <w:rFonts w:ascii="Arial" w:eastAsia="Calibri" w:hAnsi="Arial" w:cs="Arial"/>
          <w:color w:val="000000" w:themeColor="text1"/>
        </w:rPr>
        <w:t xml:space="preserve"> hearts (b). Arrowheads </w:t>
      </w:r>
      <w:r>
        <w:rPr>
          <w:rFonts w:ascii="Arial" w:eastAsia="Calibri" w:hAnsi="Arial" w:cs="Arial"/>
          <w:color w:val="000000" w:themeColor="text1"/>
        </w:rPr>
        <w:lastRenderedPageBreak/>
        <w:t>indicate epicardial PHD2 and WT1 co-expression (a) or loss of PHD2 expression in WT1+ cells (b). n=3 hearts per stage. Scale bar, 10μm.</w:t>
      </w:r>
    </w:p>
    <w:p w14:paraId="47E34683" w14:textId="77777777" w:rsidR="0044198B" w:rsidRDefault="0044198B" w:rsidP="0044198B">
      <w:pPr>
        <w:spacing w:after="160" w:line="480" w:lineRule="auto"/>
        <w:jc w:val="both"/>
        <w:rPr>
          <w:rFonts w:ascii="Arial" w:eastAsia="Calibri" w:hAnsi="Arial" w:cs="Arial"/>
          <w:color w:val="000000" w:themeColor="text1"/>
        </w:rPr>
      </w:pPr>
    </w:p>
    <w:p w14:paraId="7514DDE3" w14:textId="77777777" w:rsidR="0044198B" w:rsidRDefault="0044198B" w:rsidP="0044198B">
      <w:pPr>
        <w:spacing w:after="160" w:line="480" w:lineRule="auto"/>
        <w:jc w:val="both"/>
        <w:rPr>
          <w:rFonts w:ascii="Arial" w:eastAsia="Calibri" w:hAnsi="Arial" w:cs="Arial"/>
          <w:color w:val="000000" w:themeColor="text1"/>
        </w:rPr>
      </w:pPr>
      <w:r>
        <w:rPr>
          <w:rFonts w:ascii="Arial" w:eastAsia="Calibri" w:hAnsi="Arial" w:cs="Arial"/>
          <w:b/>
          <w:bCs/>
          <w:color w:val="000000" w:themeColor="text1"/>
        </w:rPr>
        <w:t xml:space="preserve">Supplementary Figure 12. PHD inhibitor administration to infarcted neonatal hearts at P7 and P14 stabilises HIF signaling. </w:t>
      </w:r>
      <w:r>
        <w:rPr>
          <w:rFonts w:ascii="Arial" w:eastAsia="Calibri" w:hAnsi="Arial" w:cs="Arial"/>
          <w:color w:val="000000" w:themeColor="text1"/>
        </w:rPr>
        <w:t>(a) Schematic of experimental design. (b) Representative images of immunostaining for HIF-1α (green), HIF-1α (red), and DAPI nuclear stain (blue) on cryosections of hearts from control, Roxadustat and Molidustat treated mice harvested at 9dpi. Arrowheads indicate areas of expression. Quantification of (c) HIF-1α and (d) HIF-2α nuclear intensity. n=4/group. Representative images of immunostaining for (e) WT1 (green), EMCN (red) and (f) WT1 (green), PCNA (red) and DAPI nuclear stain (blue) on cryosections of hearts from control, Roxadustat and Molidustat treated mice, at 9dpi. Arrowheads indicate cells co-expressing WT1/EMCN or WT1/PCNA. Scale bars,100μm. (g) Representative images of immunostaining for EdU (green), cardiac troponin T (cTnT, magenta) and DAPI nuclear stain (cyan) on cryosections of hearts from control, Roxadustat and Molidustat treated mice, at 9dpi. (h) Quantification of EdU positive cardiomyocytes expressed as percentage of total cardiomyocytes. Data presented as median, IQR and upper and lower limits.</w:t>
      </w:r>
    </w:p>
    <w:p w14:paraId="3C91468D" w14:textId="77777777" w:rsidR="0044198B" w:rsidRDefault="0044198B" w:rsidP="0044198B">
      <w:pPr>
        <w:spacing w:line="480" w:lineRule="auto"/>
        <w:jc w:val="both"/>
        <w:rPr>
          <w:rFonts w:ascii="Arial" w:hAnsi="Arial" w:cs="Arial"/>
          <w:color w:val="000000" w:themeColor="text1"/>
        </w:rPr>
      </w:pPr>
    </w:p>
    <w:p w14:paraId="219EEC88" w14:textId="77777777" w:rsidR="001760E5" w:rsidRDefault="0044198B"/>
    <w:sectPr w:rsidR="001760E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198B"/>
    <w:rsid w:val="0044198B"/>
    <w:rsid w:val="006E225C"/>
    <w:rsid w:val="008A3324"/>
    <w:rsid w:val="0096107C"/>
    <w:rsid w:val="00996CDB"/>
    <w:rsid w:val="009B6A41"/>
    <w:rsid w:val="00BA546E"/>
    <w:rsid w:val="00E17A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A6A353"/>
  <w15:chartTrackingRefBased/>
  <w15:docId w15:val="{FB264B35-1922-4097-8387-962B5F1867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198B"/>
    <w:pPr>
      <w:spacing w:after="0" w:line="240" w:lineRule="auto"/>
    </w:pPr>
    <w:rPr>
      <w:rFonts w:ascii="Times New Roman" w:eastAsia="Times New Roman" w:hAnsi="Times New Roman" w:cs="Times New Roman"/>
      <w:sz w:val="24"/>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249233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1378</Words>
  <Characters>7860</Characters>
  <Application>Microsoft Office Word</Application>
  <DocSecurity>0</DocSecurity>
  <Lines>65</Lines>
  <Paragraphs>18</Paragraphs>
  <ScaleCrop>false</ScaleCrop>
  <Company>Springer Nature</Company>
  <LinksUpToDate>false</LinksUpToDate>
  <CharactersWithSpaces>9220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2023-01-25T08:19:00Z</dcterms:created>
  <dcterms:modified xsi:type="dcterms:W3CDTF">2023-01-25T08:20:00Z</dcterms:modified>
</cp:coreProperties>
</file>