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6DD352" w14:textId="77777777" w:rsidR="00345759" w:rsidRPr="00315007" w:rsidRDefault="00345759" w:rsidP="00345759">
      <w:pPr>
        <w:spacing w:after="0"/>
        <w:jc w:val="center"/>
        <w:rPr>
          <w:b/>
          <w:color w:val="0070C0"/>
          <w:sz w:val="28"/>
          <w:szCs w:val="28"/>
          <w:lang w:val="en-GB"/>
        </w:rPr>
      </w:pPr>
      <w:r w:rsidRPr="00315007">
        <w:rPr>
          <w:b/>
          <w:color w:val="0070C0"/>
          <w:sz w:val="28"/>
          <w:szCs w:val="28"/>
          <w:lang w:val="en-GB"/>
        </w:rPr>
        <w:t>Supplementary Information</w:t>
      </w:r>
    </w:p>
    <w:p w14:paraId="1450C40A" w14:textId="77777777" w:rsidR="00345759" w:rsidRPr="00DA4B2C" w:rsidRDefault="00345759" w:rsidP="00345759">
      <w:pPr>
        <w:spacing w:after="0"/>
        <w:jc w:val="both"/>
        <w:rPr>
          <w:b/>
          <w:color w:val="0D0D0D" w:themeColor="text1" w:themeTint="F2"/>
          <w:sz w:val="24"/>
          <w:lang w:val="en-GB"/>
        </w:rPr>
      </w:pPr>
      <w:r w:rsidRPr="00927761">
        <w:rPr>
          <w:b/>
          <w:color w:val="0D0D0D" w:themeColor="text1" w:themeTint="F2"/>
          <w:sz w:val="24"/>
          <w:lang w:val="en-GB"/>
        </w:rPr>
        <w:t>Ion induced field screening governs the early performance degrada</w:t>
      </w:r>
      <w:r>
        <w:rPr>
          <w:b/>
          <w:color w:val="0D0D0D" w:themeColor="text1" w:themeTint="F2"/>
          <w:sz w:val="24"/>
          <w:lang w:val="en-GB"/>
        </w:rPr>
        <w:t>tion of perovskite solar cells</w:t>
      </w:r>
      <w:r>
        <w:rPr>
          <w:b/>
          <w:color w:val="0D0D0D" w:themeColor="text1" w:themeTint="F2"/>
          <w:sz w:val="24"/>
          <w:lang w:val="en-GB"/>
        </w:rPr>
        <w:tab/>
      </w:r>
    </w:p>
    <w:p w14:paraId="797D5F8A" w14:textId="77777777" w:rsidR="00345759" w:rsidRPr="00927761" w:rsidRDefault="00345759" w:rsidP="00345759">
      <w:pPr>
        <w:spacing w:after="0"/>
        <w:jc w:val="both"/>
        <w:rPr>
          <w:b/>
          <w:color w:val="A6A6A6" w:themeColor="background1" w:themeShade="A6"/>
          <w:sz w:val="24"/>
          <w:lang w:val="en-GB"/>
        </w:rPr>
      </w:pPr>
    </w:p>
    <w:p w14:paraId="59C71BE8" w14:textId="77777777" w:rsidR="00345759" w:rsidRPr="00927761" w:rsidRDefault="00345759" w:rsidP="00345759">
      <w:pPr>
        <w:jc w:val="both"/>
        <w:rPr>
          <w:lang w:val="en-GB"/>
        </w:rPr>
      </w:pPr>
      <w:r w:rsidRPr="00927761">
        <w:rPr>
          <w:lang w:val="en-GB"/>
        </w:rPr>
        <w:t>Jarla Thiesbrummel</w:t>
      </w:r>
      <w:r w:rsidRPr="00927761">
        <w:rPr>
          <w:color w:val="000000" w:themeColor="text1"/>
          <w:vertAlign w:val="superscript"/>
          <w:lang w:val="en-GB"/>
        </w:rPr>
        <w:t>§1,2</w:t>
      </w:r>
      <w:r w:rsidRPr="00927761">
        <w:rPr>
          <w:lang w:val="en-GB"/>
        </w:rPr>
        <w:t>, Sahil Shah</w:t>
      </w:r>
      <w:r w:rsidRPr="00927761">
        <w:rPr>
          <w:color w:val="000000" w:themeColor="text1"/>
          <w:vertAlign w:val="superscript"/>
          <w:lang w:val="en-GB"/>
        </w:rPr>
        <w:t>§1</w:t>
      </w:r>
      <w:r w:rsidRPr="00927761">
        <w:rPr>
          <w:lang w:val="en-GB"/>
        </w:rPr>
        <w:t xml:space="preserve">, </w:t>
      </w:r>
      <w:r w:rsidRPr="009D616C">
        <w:rPr>
          <w:lang w:val="en-GB"/>
        </w:rPr>
        <w:t>Emilio Gutierrez-Partida</w:t>
      </w:r>
      <w:r w:rsidRPr="00927761">
        <w:rPr>
          <w:color w:val="000000" w:themeColor="text1"/>
          <w:vertAlign w:val="superscript"/>
          <w:lang w:val="en-GB"/>
        </w:rPr>
        <w:t>1</w:t>
      </w:r>
      <w:r w:rsidRPr="00927761">
        <w:rPr>
          <w:color w:val="000000" w:themeColor="text1"/>
          <w:lang w:val="en-GB"/>
        </w:rPr>
        <w:t xml:space="preserve">, </w:t>
      </w:r>
      <w:r w:rsidRPr="00927761">
        <w:rPr>
          <w:lang w:val="en-GB"/>
        </w:rPr>
        <w:t>Fengshuo Zu</w:t>
      </w:r>
      <w:r w:rsidRPr="00927761">
        <w:rPr>
          <w:vertAlign w:val="superscript"/>
          <w:lang w:val="en-GB"/>
        </w:rPr>
        <w:t>3</w:t>
      </w:r>
      <w:r w:rsidRPr="00927761">
        <w:rPr>
          <w:lang w:val="en-GB"/>
        </w:rPr>
        <w:t>, Francisco Peña-Camargo</w:t>
      </w:r>
      <w:r w:rsidRPr="00927761">
        <w:rPr>
          <w:color w:val="000000" w:themeColor="text1"/>
          <w:vertAlign w:val="superscript"/>
          <w:lang w:val="en-GB"/>
        </w:rPr>
        <w:t>1</w:t>
      </w:r>
      <w:r w:rsidRPr="00927761">
        <w:rPr>
          <w:lang w:val="en-GB"/>
        </w:rPr>
        <w:t>, Stefan Zeiske</w:t>
      </w:r>
      <w:r w:rsidRPr="00927761">
        <w:rPr>
          <w:vertAlign w:val="superscript"/>
          <w:lang w:val="en-GB"/>
        </w:rPr>
        <w:t>4</w:t>
      </w:r>
      <w:r w:rsidRPr="00927761">
        <w:rPr>
          <w:lang w:val="en-GB"/>
        </w:rPr>
        <w:t>, Jonas Diekmann</w:t>
      </w:r>
      <w:r w:rsidRPr="00927761">
        <w:rPr>
          <w:color w:val="000000" w:themeColor="text1"/>
          <w:vertAlign w:val="superscript"/>
          <w:lang w:val="en-GB"/>
        </w:rPr>
        <w:t>1</w:t>
      </w:r>
      <w:r w:rsidRPr="00927761">
        <w:rPr>
          <w:lang w:val="en-GB"/>
        </w:rPr>
        <w:t>, Fangyuan Ye</w:t>
      </w:r>
      <w:r w:rsidRPr="00927761">
        <w:rPr>
          <w:color w:val="000000" w:themeColor="text1"/>
          <w:vertAlign w:val="superscript"/>
          <w:lang w:val="en-GB"/>
        </w:rPr>
        <w:t>1</w:t>
      </w:r>
      <w:r>
        <w:rPr>
          <w:color w:val="000000" w:themeColor="text1"/>
          <w:vertAlign w:val="superscript"/>
          <w:lang w:val="en-GB"/>
        </w:rPr>
        <w:t>,5,6</w:t>
      </w:r>
      <w:r w:rsidRPr="00927761">
        <w:rPr>
          <w:lang w:val="en-GB"/>
        </w:rPr>
        <w:t>, Karol P. Peters</w:t>
      </w:r>
      <w:r w:rsidRPr="00927761">
        <w:rPr>
          <w:color w:val="000000" w:themeColor="text1"/>
          <w:vertAlign w:val="superscript"/>
          <w:lang w:val="en-GB"/>
        </w:rPr>
        <w:t>1</w:t>
      </w:r>
      <w:r w:rsidRPr="00927761">
        <w:rPr>
          <w:lang w:val="en-GB"/>
        </w:rPr>
        <w:t>, Kai O. Brinkmann</w:t>
      </w:r>
      <w:r>
        <w:rPr>
          <w:color w:val="000000" w:themeColor="text1"/>
          <w:vertAlign w:val="superscript"/>
          <w:lang w:val="en-GB"/>
        </w:rPr>
        <w:t>7</w:t>
      </w:r>
      <w:r w:rsidRPr="00927761">
        <w:rPr>
          <w:lang w:val="en-GB"/>
        </w:rPr>
        <w:t>, Jonathan Warby</w:t>
      </w:r>
      <w:r w:rsidRPr="00927761">
        <w:rPr>
          <w:color w:val="000000" w:themeColor="text1"/>
          <w:vertAlign w:val="superscript"/>
          <w:lang w:val="en-GB"/>
        </w:rPr>
        <w:t>1</w:t>
      </w:r>
      <w:r w:rsidRPr="00927761">
        <w:rPr>
          <w:lang w:val="en-GB"/>
        </w:rPr>
        <w:t>, Quentin Jeangros</w:t>
      </w:r>
      <w:r>
        <w:rPr>
          <w:vertAlign w:val="superscript"/>
          <w:lang w:val="en-GB"/>
        </w:rPr>
        <w:t>8</w:t>
      </w:r>
      <w:r w:rsidRPr="00927761">
        <w:rPr>
          <w:lang w:val="en-GB"/>
        </w:rPr>
        <w:t>, Felix Lang</w:t>
      </w:r>
      <w:r w:rsidRPr="00927761">
        <w:rPr>
          <w:color w:val="000000" w:themeColor="text1"/>
          <w:vertAlign w:val="superscript"/>
          <w:lang w:val="en-GB"/>
        </w:rPr>
        <w:t>1</w:t>
      </w:r>
      <w:r w:rsidRPr="00927761">
        <w:rPr>
          <w:lang w:val="en-GB"/>
        </w:rPr>
        <w:t xml:space="preserve">, </w:t>
      </w:r>
      <w:r>
        <w:t>Yongzhen Wu</w:t>
      </w:r>
      <w:r>
        <w:rPr>
          <w:color w:val="000000" w:themeColor="text1"/>
          <w:vertAlign w:val="superscript"/>
          <w:lang w:val="en-GB"/>
        </w:rPr>
        <w:t>5</w:t>
      </w:r>
      <w:r w:rsidRPr="00EF3C82">
        <w:rPr>
          <w:color w:val="000000" w:themeColor="text1"/>
          <w:lang w:val="en-GB"/>
        </w:rPr>
        <w:t>,</w:t>
      </w:r>
      <w:r>
        <w:t xml:space="preserve"> Steve Albrecht</w:t>
      </w:r>
      <w:r>
        <w:rPr>
          <w:color w:val="000000" w:themeColor="text1"/>
          <w:vertAlign w:val="superscript"/>
          <w:lang w:val="en-GB"/>
        </w:rPr>
        <w:t>6</w:t>
      </w:r>
      <w:r w:rsidRPr="00EF3C82">
        <w:rPr>
          <w:color w:val="000000" w:themeColor="text1"/>
          <w:lang w:val="en-GB"/>
        </w:rPr>
        <w:t>,</w:t>
      </w:r>
      <w:r>
        <w:t xml:space="preserve"> </w:t>
      </w:r>
      <w:r w:rsidRPr="00927761">
        <w:rPr>
          <w:lang w:val="en-GB"/>
        </w:rPr>
        <w:t>Thomas Riedl</w:t>
      </w:r>
      <w:r>
        <w:rPr>
          <w:color w:val="000000" w:themeColor="text1"/>
          <w:vertAlign w:val="superscript"/>
          <w:lang w:val="en-GB"/>
        </w:rPr>
        <w:t>6</w:t>
      </w:r>
      <w:r w:rsidRPr="00927761">
        <w:rPr>
          <w:lang w:val="en-GB"/>
        </w:rPr>
        <w:t>, Ardalan Armin</w:t>
      </w:r>
      <w:r w:rsidRPr="00927761">
        <w:rPr>
          <w:vertAlign w:val="superscript"/>
          <w:lang w:val="en-GB"/>
        </w:rPr>
        <w:t>4</w:t>
      </w:r>
      <w:r w:rsidRPr="00DC627F">
        <w:rPr>
          <w:lang w:val="en-GB"/>
        </w:rPr>
        <w:t xml:space="preserve">, </w:t>
      </w:r>
      <w:r w:rsidRPr="00927761">
        <w:rPr>
          <w:lang w:val="en-GB"/>
        </w:rPr>
        <w:t>Dieter Neher</w:t>
      </w:r>
      <w:r w:rsidRPr="00927761">
        <w:rPr>
          <w:color w:val="000000" w:themeColor="text1"/>
          <w:vertAlign w:val="superscript"/>
          <w:lang w:val="en-GB"/>
        </w:rPr>
        <w:t>1</w:t>
      </w:r>
      <w:r w:rsidRPr="007E7F79">
        <w:rPr>
          <w:color w:val="000000" w:themeColor="text1"/>
          <w:lang w:val="en-GB"/>
        </w:rPr>
        <w:t xml:space="preserve">, </w:t>
      </w:r>
      <w:r w:rsidRPr="00927761">
        <w:rPr>
          <w:lang w:val="en-GB"/>
        </w:rPr>
        <w:t>Norbert Koch</w:t>
      </w:r>
      <w:r w:rsidRPr="00927761">
        <w:rPr>
          <w:vertAlign w:val="superscript"/>
          <w:lang w:val="en-GB"/>
        </w:rPr>
        <w:t>3,</w:t>
      </w:r>
      <w:r>
        <w:rPr>
          <w:vertAlign w:val="superscript"/>
          <w:lang w:val="en-GB"/>
        </w:rPr>
        <w:t>9</w:t>
      </w:r>
      <w:r w:rsidRPr="00927761">
        <w:rPr>
          <w:lang w:val="en-GB"/>
        </w:rPr>
        <w:t>, Vincent M. Le Corre</w:t>
      </w:r>
      <w:r>
        <w:rPr>
          <w:color w:val="000000" w:themeColor="text1"/>
          <w:vertAlign w:val="superscript"/>
          <w:lang w:val="en-GB"/>
        </w:rPr>
        <w:t>10</w:t>
      </w:r>
      <w:r w:rsidRPr="00927761">
        <w:rPr>
          <w:lang w:val="en-GB"/>
        </w:rPr>
        <w:t>,</w:t>
      </w:r>
      <w:r>
        <w:rPr>
          <w:lang w:val="en-GB"/>
        </w:rPr>
        <w:t xml:space="preserve"> </w:t>
      </w:r>
      <w:r w:rsidRPr="00927761">
        <w:rPr>
          <w:lang w:val="en-GB"/>
        </w:rPr>
        <w:t>Henry Snaith</w:t>
      </w:r>
      <w:r w:rsidRPr="00927761">
        <w:rPr>
          <w:color w:val="000000" w:themeColor="text1"/>
          <w:vertAlign w:val="superscript"/>
          <w:lang w:val="en-GB"/>
        </w:rPr>
        <w:t>2</w:t>
      </w:r>
      <w:r w:rsidRPr="00927761">
        <w:rPr>
          <w:lang w:val="en-GB"/>
        </w:rPr>
        <w:t>, Martin Stolterfoht</w:t>
      </w:r>
      <w:r>
        <w:rPr>
          <w:color w:val="000000" w:themeColor="text1"/>
          <w:vertAlign w:val="superscript"/>
          <w:lang w:val="en-GB"/>
        </w:rPr>
        <w:t>1,*</w:t>
      </w:r>
    </w:p>
    <w:p w14:paraId="468666FA" w14:textId="77777777" w:rsidR="00345759" w:rsidRPr="00927761" w:rsidRDefault="00345759" w:rsidP="00345759">
      <w:pPr>
        <w:jc w:val="both"/>
        <w:rPr>
          <w:lang w:val="en-GB"/>
        </w:rPr>
      </w:pPr>
      <w:r w:rsidRPr="00927761">
        <w:rPr>
          <w:color w:val="000000" w:themeColor="text1"/>
          <w:vertAlign w:val="superscript"/>
          <w:lang w:val="en-GB"/>
        </w:rPr>
        <w:t>§</w:t>
      </w:r>
      <w:r w:rsidRPr="00927761">
        <w:rPr>
          <w:color w:val="000000" w:themeColor="text1"/>
          <w:lang w:val="en-GB"/>
        </w:rPr>
        <w:t>Authors contributed equally to this work</w:t>
      </w:r>
      <w:r w:rsidRPr="00927761">
        <w:rPr>
          <w:lang w:val="en-GB"/>
        </w:rPr>
        <w:t>.</w:t>
      </w:r>
    </w:p>
    <w:p w14:paraId="2D295A8A" w14:textId="77777777" w:rsidR="00345759" w:rsidRPr="000866FD" w:rsidRDefault="00345759" w:rsidP="00345759">
      <w:pPr>
        <w:jc w:val="both"/>
        <w:rPr>
          <w:lang w:val="de-DE"/>
        </w:rPr>
      </w:pPr>
      <w:r w:rsidRPr="000866FD">
        <w:rPr>
          <w:lang w:val="de-DE"/>
        </w:rPr>
        <w:t xml:space="preserve">*email: </w:t>
      </w:r>
      <w:hyperlink r:id="rId5" w:history="1">
        <w:r w:rsidRPr="000866FD">
          <w:rPr>
            <w:rStyle w:val="Hyperlink"/>
            <w:lang w:val="de-DE"/>
          </w:rPr>
          <w:t>stolterf@uni-potsdam.de</w:t>
        </w:r>
      </w:hyperlink>
      <w:r w:rsidRPr="000866FD">
        <w:rPr>
          <w:lang w:val="de-DE"/>
        </w:rPr>
        <w:t xml:space="preserve"> </w:t>
      </w:r>
    </w:p>
    <w:p w14:paraId="2683322E" w14:textId="77777777" w:rsidR="00345759" w:rsidRPr="00927761" w:rsidRDefault="00345759" w:rsidP="00345759">
      <w:pPr>
        <w:rPr>
          <w:rFonts w:cstheme="minorHAnsi"/>
          <w:lang w:val="en-GB"/>
        </w:rPr>
      </w:pPr>
      <w:r w:rsidRPr="004F6467">
        <w:rPr>
          <w:rFonts w:cstheme="minorHAnsi"/>
          <w:lang w:val="de-DE"/>
        </w:rPr>
        <w:t xml:space="preserve">1  Physik </w:t>
      </w:r>
      <w:r w:rsidRPr="004F6467">
        <w:rPr>
          <w:rFonts w:cstheme="minorHAnsi"/>
          <w:lang w:val="de-DE" w:eastAsia="ja-JP"/>
        </w:rPr>
        <w:t xml:space="preserve">und Optoelektronik </w:t>
      </w:r>
      <w:r w:rsidRPr="004F6467">
        <w:rPr>
          <w:rFonts w:cstheme="minorHAnsi"/>
          <w:lang w:val="de-DE"/>
        </w:rPr>
        <w:t xml:space="preserve">weicher Materie, Institut für Physik und Astronomie, Universität Potsdam, Karl-Liebknecht-Str. </w:t>
      </w:r>
      <w:r w:rsidRPr="00927761">
        <w:rPr>
          <w:rFonts w:cstheme="minorHAnsi"/>
          <w:lang w:val="en-GB"/>
        </w:rPr>
        <w:t>24–25, 14776 Potsdam, Germany</w:t>
      </w:r>
    </w:p>
    <w:p w14:paraId="1228E495" w14:textId="77777777" w:rsidR="00345759" w:rsidRPr="00927761" w:rsidRDefault="00345759" w:rsidP="00345759">
      <w:pPr>
        <w:rPr>
          <w:rFonts w:cstheme="minorHAnsi"/>
          <w:lang w:val="en-GB"/>
        </w:rPr>
      </w:pPr>
      <w:r w:rsidRPr="00927761">
        <w:rPr>
          <w:rFonts w:cstheme="minorHAnsi"/>
          <w:lang w:val="en-GB"/>
        </w:rPr>
        <w:t>2  Clarendon Laboratory, University of Oxford, Parks Road, Oxford OX1 3PU, United Kingdom</w:t>
      </w:r>
    </w:p>
    <w:p w14:paraId="45D5E1C0" w14:textId="77777777" w:rsidR="00345759" w:rsidRPr="004F6467" w:rsidRDefault="00345759" w:rsidP="00345759">
      <w:pPr>
        <w:rPr>
          <w:rFonts w:cstheme="minorHAnsi"/>
          <w:lang w:val="de-DE"/>
        </w:rPr>
      </w:pPr>
      <w:r w:rsidRPr="004F6467">
        <w:rPr>
          <w:rFonts w:cstheme="minorHAnsi"/>
          <w:lang w:val="de-DE"/>
        </w:rPr>
        <w:t>3 Institut für Physik &amp; IRIS Adlershof, Humboldt-Universität zu Berlin, 12489 Berlin, Germany</w:t>
      </w:r>
    </w:p>
    <w:p w14:paraId="39425060" w14:textId="77777777" w:rsidR="00345759" w:rsidRDefault="00345759" w:rsidP="00345759">
      <w:pPr>
        <w:rPr>
          <w:rFonts w:cstheme="minorHAnsi"/>
          <w:lang w:val="en-GB"/>
        </w:rPr>
      </w:pPr>
      <w:r w:rsidRPr="00927761">
        <w:rPr>
          <w:rFonts w:cstheme="minorHAnsi"/>
          <w:lang w:val="en-GB"/>
        </w:rPr>
        <w:t>4 Department of Physics, Swansea University, Singleton Campus, Swansea, SA2 8PP UK</w:t>
      </w:r>
    </w:p>
    <w:p w14:paraId="4012539C" w14:textId="77777777" w:rsidR="00345759" w:rsidRDefault="00345759" w:rsidP="00345759">
      <w:r>
        <w:rPr>
          <w:rFonts w:cstheme="minorHAnsi"/>
          <w:lang w:val="en-GB"/>
        </w:rPr>
        <w:t xml:space="preserve">5 </w:t>
      </w:r>
      <w:r>
        <w:t>Institute of Fine Chemicals, East China University of Science and Technology, Shanghai, China</w:t>
      </w:r>
    </w:p>
    <w:p w14:paraId="1A1E4E42" w14:textId="77777777" w:rsidR="00345759" w:rsidRPr="00A941BA" w:rsidRDefault="00345759" w:rsidP="00345759">
      <w:pPr>
        <w:rPr>
          <w:rFonts w:cstheme="minorHAnsi"/>
          <w:lang w:val="de-DE"/>
        </w:rPr>
      </w:pPr>
      <w:r w:rsidRPr="00A941BA">
        <w:rPr>
          <w:rFonts w:cstheme="minorHAnsi"/>
          <w:lang w:val="de-DE"/>
        </w:rPr>
        <w:t xml:space="preserve">6 </w:t>
      </w:r>
      <w:r w:rsidRPr="00C376A4">
        <w:rPr>
          <w:rFonts w:eastAsia="Times New Roman" w:cstheme="minorHAnsi"/>
          <w:lang w:val="de-DE"/>
        </w:rPr>
        <w:t>Young Investigator Group Perovskite Tandem Solar Cells, Helmholtz-Zentrum Berlin für Materialien und Energie GmbH</w:t>
      </w:r>
      <w:r>
        <w:rPr>
          <w:rFonts w:eastAsia="Times New Roman" w:cstheme="minorHAnsi"/>
          <w:lang w:val="de-DE"/>
        </w:rPr>
        <w:t xml:space="preserve">, </w:t>
      </w:r>
      <w:r w:rsidRPr="00A941BA">
        <w:rPr>
          <w:rFonts w:eastAsia="Times New Roman" w:cstheme="minorHAnsi"/>
          <w:lang w:val="de-DE"/>
        </w:rPr>
        <w:t>Kekuléstraße 5, 12489 Berlin, Germany</w:t>
      </w:r>
    </w:p>
    <w:p w14:paraId="17ACF180" w14:textId="77777777" w:rsidR="00345759" w:rsidRPr="00927761" w:rsidRDefault="00345759" w:rsidP="00345759">
      <w:pPr>
        <w:rPr>
          <w:rFonts w:cstheme="minorHAnsi"/>
          <w:lang w:val="en-GB"/>
        </w:rPr>
      </w:pPr>
      <w:r>
        <w:rPr>
          <w:rFonts w:cstheme="minorHAnsi"/>
          <w:lang w:val="en-GB"/>
        </w:rPr>
        <w:t>7</w:t>
      </w:r>
      <w:r w:rsidRPr="00927761">
        <w:rPr>
          <w:rFonts w:cstheme="minorHAnsi"/>
          <w:lang w:val="en-GB"/>
        </w:rPr>
        <w:t xml:space="preserve"> Institute of Electronic Devices and Wuppertal Center for Smart Materials &amp; Systems, University of Wuppertal, Wuppertal, Germany</w:t>
      </w:r>
    </w:p>
    <w:p w14:paraId="60B985D4" w14:textId="77777777" w:rsidR="00345759" w:rsidRPr="004F6467" w:rsidRDefault="00345759" w:rsidP="00345759">
      <w:pPr>
        <w:rPr>
          <w:rFonts w:cstheme="minorHAnsi"/>
          <w:lang w:val="fr-FR"/>
        </w:rPr>
      </w:pPr>
      <w:r>
        <w:rPr>
          <w:rFonts w:cstheme="minorHAnsi"/>
          <w:lang w:val="fr-FR"/>
        </w:rPr>
        <w:t>8</w:t>
      </w:r>
      <w:r w:rsidRPr="004F6467">
        <w:rPr>
          <w:rFonts w:cstheme="minorHAnsi"/>
          <w:lang w:val="fr-FR"/>
        </w:rPr>
        <w:t xml:space="preserve"> Centre Suisse d'Électronique et de Microtechnique (CSEM), Neuchâtel, Switzerland</w:t>
      </w:r>
    </w:p>
    <w:p w14:paraId="484FF70C" w14:textId="77777777" w:rsidR="00345759" w:rsidRDefault="00345759" w:rsidP="00345759">
      <w:pPr>
        <w:rPr>
          <w:rFonts w:cstheme="minorHAnsi"/>
          <w:lang w:val="de-DE"/>
        </w:rPr>
      </w:pPr>
      <w:r>
        <w:rPr>
          <w:rFonts w:cstheme="minorHAnsi"/>
          <w:lang w:val="de-DE"/>
        </w:rPr>
        <w:t>9</w:t>
      </w:r>
      <w:r w:rsidRPr="004F6467">
        <w:rPr>
          <w:rFonts w:cstheme="minorHAnsi"/>
          <w:lang w:val="de-DE"/>
        </w:rPr>
        <w:t xml:space="preserve"> Helmholtz-Zentrum Berlin für Materialien und Energie GmbH, 12489 Berlin, Germany</w:t>
      </w:r>
    </w:p>
    <w:p w14:paraId="3EC569D1" w14:textId="77777777" w:rsidR="00345759" w:rsidRPr="00D224E8" w:rsidRDefault="00345759" w:rsidP="00345759">
      <w:pPr>
        <w:rPr>
          <w:rFonts w:cstheme="minorHAnsi"/>
          <w:lang w:val="de-DE"/>
        </w:rPr>
      </w:pPr>
      <w:r w:rsidRPr="00D224E8">
        <w:rPr>
          <w:rFonts w:cstheme="minorHAnsi"/>
          <w:lang w:val="de-DE"/>
        </w:rPr>
        <w:t>10 Institute of Materials for Electronics and Energy Technology, Friedrich-Alexander-Universität Erlangen-Nürnberg, 91058 Erlangen, Germany</w:t>
      </w:r>
    </w:p>
    <w:p w14:paraId="36794454" w14:textId="77777777" w:rsidR="00345759" w:rsidRPr="00145031" w:rsidRDefault="00345759" w:rsidP="00345759">
      <w:pPr>
        <w:rPr>
          <w:rFonts w:cstheme="minorHAnsi"/>
          <w:lang w:val="de-DE"/>
        </w:rPr>
      </w:pPr>
    </w:p>
    <w:p w14:paraId="653F1657" w14:textId="77777777" w:rsidR="00345759" w:rsidRPr="00D224E8" w:rsidRDefault="00345759" w:rsidP="00345759">
      <w:pPr>
        <w:rPr>
          <w:b/>
          <w:lang w:val="de-DE"/>
        </w:rPr>
      </w:pPr>
      <w:r w:rsidRPr="00D224E8">
        <w:rPr>
          <w:b/>
          <w:lang w:val="de-DE"/>
        </w:rPr>
        <w:t xml:space="preserve"> </w:t>
      </w:r>
    </w:p>
    <w:p w14:paraId="404900EA" w14:textId="77777777" w:rsidR="00345759" w:rsidRPr="00D224E8" w:rsidRDefault="00345759" w:rsidP="00345759">
      <w:pPr>
        <w:rPr>
          <w:b/>
          <w:lang w:val="de-DE"/>
        </w:rPr>
      </w:pPr>
    </w:p>
    <w:p w14:paraId="4BB4EDC5" w14:textId="77777777" w:rsidR="00345759" w:rsidRPr="00D224E8" w:rsidRDefault="00345759" w:rsidP="00345759">
      <w:pPr>
        <w:rPr>
          <w:b/>
          <w:lang w:val="de-DE"/>
        </w:rPr>
      </w:pPr>
      <w:r w:rsidRPr="00D224E8">
        <w:rPr>
          <w:b/>
          <w:lang w:val="de-DE"/>
        </w:rPr>
        <w:br w:type="page"/>
      </w:r>
    </w:p>
    <w:p w14:paraId="77127375" w14:textId="77777777" w:rsidR="00345759" w:rsidRPr="00927761" w:rsidRDefault="00345759" w:rsidP="00345759">
      <w:pPr>
        <w:rPr>
          <w:b/>
          <w:lang w:val="en-GB"/>
        </w:rPr>
      </w:pPr>
      <w:r w:rsidRPr="00927761">
        <w:rPr>
          <w:b/>
          <w:lang w:val="en-GB"/>
        </w:rPr>
        <w:lastRenderedPageBreak/>
        <w:t>Experimental Methods</w:t>
      </w:r>
    </w:p>
    <w:p w14:paraId="19E447FE" w14:textId="77777777" w:rsidR="00345759" w:rsidRPr="00763D2A" w:rsidRDefault="00345759" w:rsidP="00345759">
      <w:pPr>
        <w:jc w:val="both"/>
        <w:rPr>
          <w:rFonts w:cstheme="minorHAnsi"/>
          <w:szCs w:val="24"/>
          <w:lang w:val="en-GB"/>
        </w:rPr>
      </w:pPr>
      <w:r w:rsidRPr="00205EC2">
        <w:rPr>
          <w:b/>
          <w:lang w:val="en-GB"/>
        </w:rPr>
        <w:t xml:space="preserve">Device Fabrication of </w:t>
      </w:r>
      <w:r w:rsidRPr="00205EC2">
        <w:rPr>
          <w:b/>
          <w:i/>
          <w:lang w:val="en-GB"/>
        </w:rPr>
        <w:t>pin</w:t>
      </w:r>
      <w:r w:rsidRPr="00205EC2">
        <w:rPr>
          <w:b/>
          <w:lang w:val="en-GB"/>
        </w:rPr>
        <w:t xml:space="preserve">-type cells: </w:t>
      </w:r>
      <w:r w:rsidRPr="00205EC2">
        <w:rPr>
          <w:rFonts w:cstheme="minorHAnsi"/>
          <w:bCs/>
          <w:i/>
          <w:iCs/>
          <w:lang w:val="en-GB"/>
        </w:rPr>
        <w:t>Substrates and HTL:</w:t>
      </w:r>
      <w:r w:rsidRPr="00205EC2">
        <w:rPr>
          <w:rFonts w:cstheme="minorHAnsi"/>
          <w:lang w:val="en-GB"/>
        </w:rPr>
        <w:t xml:space="preserve"> </w:t>
      </w:r>
      <w:r w:rsidRPr="00205EC2">
        <w:rPr>
          <w:bCs/>
          <w:lang w:val="en-GB"/>
        </w:rPr>
        <w:t>P</w:t>
      </w:r>
      <w:r w:rsidRPr="00205EC2">
        <w:rPr>
          <w:rFonts w:cstheme="minorHAnsi"/>
          <w:bCs/>
          <w:szCs w:val="24"/>
          <w:lang w:val="en-GB"/>
        </w:rPr>
        <w:t>re</w:t>
      </w:r>
      <w:r w:rsidRPr="00205EC2">
        <w:rPr>
          <w:rFonts w:cstheme="minorHAnsi"/>
          <w:szCs w:val="24"/>
          <w:lang w:val="en-GB"/>
        </w:rPr>
        <w:t>-patterned 2.5x2.5 cm</w:t>
      </w:r>
      <w:r w:rsidRPr="00205EC2">
        <w:rPr>
          <w:rFonts w:cstheme="minorHAnsi"/>
          <w:szCs w:val="24"/>
          <w:vertAlign w:val="superscript"/>
          <w:lang w:val="en-GB"/>
        </w:rPr>
        <w:t xml:space="preserve">2 </w:t>
      </w:r>
      <w:r w:rsidRPr="00205EC2">
        <w:rPr>
          <w:rFonts w:cstheme="minorHAnsi"/>
          <w:szCs w:val="24"/>
          <w:lang w:val="en-GB"/>
        </w:rPr>
        <w:t>15 Ω/sq. ITO substrates (Automatic Research, Germany) were cleaned with acetone, 3% Hellmanex solution, DI-water and iso-propanol, by sonication for 10 min in each solution. After a microwave plasma treatment (3 min, 200 W), the samples were transferred to a N</w:t>
      </w:r>
      <w:r w:rsidRPr="00205EC2">
        <w:rPr>
          <w:rFonts w:cstheme="minorHAnsi"/>
          <w:szCs w:val="24"/>
          <w:vertAlign w:val="subscript"/>
          <w:lang w:val="en-GB"/>
        </w:rPr>
        <w:t>2</w:t>
      </w:r>
      <w:r w:rsidRPr="00205EC2">
        <w:rPr>
          <w:rFonts w:cstheme="minorHAnsi"/>
          <w:szCs w:val="24"/>
          <w:lang w:val="en-GB"/>
        </w:rPr>
        <w:t>-filled glovebox. For t</w:t>
      </w:r>
      <w:r>
        <w:rPr>
          <w:rFonts w:cstheme="minorHAnsi"/>
          <w:szCs w:val="24"/>
          <w:lang w:val="en-GB"/>
        </w:rPr>
        <w:t xml:space="preserve">all </w:t>
      </w:r>
      <w:r w:rsidRPr="00205EC2">
        <w:rPr>
          <w:bCs/>
          <w:i/>
          <w:lang w:val="en-GB"/>
        </w:rPr>
        <w:t>pin</w:t>
      </w:r>
      <w:r w:rsidRPr="00205EC2">
        <w:rPr>
          <w:bCs/>
          <w:lang w:val="en-GB"/>
        </w:rPr>
        <w:t xml:space="preserve">-type </w:t>
      </w:r>
      <w:r>
        <w:rPr>
          <w:rFonts w:cstheme="minorHAnsi"/>
          <w:szCs w:val="24"/>
          <w:lang w:val="en-GB"/>
        </w:rPr>
        <w:t>cells except for the 95:5 TH perovskite</w:t>
      </w:r>
      <w:r w:rsidRPr="00205EC2">
        <w:rPr>
          <w:rFonts w:cstheme="minorHAnsi"/>
          <w:szCs w:val="24"/>
          <w:lang w:val="en-GB"/>
        </w:rPr>
        <w:t>, a PTAA (Sigma-Aldrich) layer with a thickness of 8 nm was spin-coated from a 1.5 mg mL</w:t>
      </w:r>
      <w:r w:rsidRPr="00205EC2">
        <w:rPr>
          <w:rFonts w:cstheme="minorHAnsi"/>
          <w:szCs w:val="24"/>
          <w:vertAlign w:val="superscript"/>
          <w:lang w:val="en-GB"/>
        </w:rPr>
        <w:t xml:space="preserve">-1 </w:t>
      </w:r>
      <w:r w:rsidRPr="00205EC2">
        <w:rPr>
          <w:rFonts w:cstheme="minorHAnsi"/>
          <w:szCs w:val="24"/>
          <w:lang w:val="en-GB"/>
        </w:rPr>
        <w:t xml:space="preserve">PTAA/toluene solution at 6000 rpm for 30 seconds. </w:t>
      </w:r>
      <w:r w:rsidRPr="00205EC2">
        <w:rPr>
          <w:lang w:val="en-GB"/>
        </w:rPr>
        <w:t xml:space="preserve">After 10 min annealing on a hotplate at 100 °C, the films were cooled down to room temperature and a 60 µL solution of PFN-Br (1-Material, 0.5 mg/mL in methanol) was deposited onto PTAA while the substrate was being spun at 5000 rpm for 20 s resulting in a film with thickness below the detection limit of our AFM (&lt; 5 nm). No further annealing occurred. </w:t>
      </w:r>
      <w:r>
        <w:rPr>
          <w:rFonts w:cstheme="minorHAnsi"/>
          <w:szCs w:val="24"/>
          <w:lang w:val="en-GB"/>
        </w:rPr>
        <w:t xml:space="preserve">For the 95:5 TH perovskite, the same ITO coated samples were used but instead of the </w:t>
      </w:r>
      <w:r w:rsidRPr="00205EC2">
        <w:rPr>
          <w:rFonts w:cstheme="minorHAnsi"/>
          <w:szCs w:val="24"/>
          <w:lang w:val="en-GB"/>
        </w:rPr>
        <w:t>microwave plasma treatment</w:t>
      </w:r>
      <w:r>
        <w:rPr>
          <w:rFonts w:cstheme="minorHAnsi"/>
          <w:szCs w:val="24"/>
          <w:lang w:val="en-GB"/>
        </w:rPr>
        <w:t xml:space="preserve">, the </w:t>
      </w:r>
      <w:r w:rsidRPr="0019396E">
        <w:rPr>
          <w:rFonts w:cstheme="minorHAnsi"/>
          <w:szCs w:val="24"/>
          <w:lang w:val="en-GB"/>
        </w:rPr>
        <w:t>substrates were treated w</w:t>
      </w:r>
      <w:r>
        <w:rPr>
          <w:rFonts w:cstheme="minorHAnsi"/>
          <w:szCs w:val="24"/>
          <w:lang w:val="en-GB"/>
        </w:rPr>
        <w:t xml:space="preserve">ith ultraviolet ozone (UVOzone) </w:t>
      </w:r>
      <w:r w:rsidRPr="0019396E">
        <w:rPr>
          <w:rFonts w:cstheme="minorHAnsi"/>
          <w:szCs w:val="24"/>
          <w:lang w:val="en-GB"/>
        </w:rPr>
        <w:t>for 30 min</w:t>
      </w:r>
      <w:r>
        <w:rPr>
          <w:rFonts w:cstheme="minorHAnsi"/>
          <w:szCs w:val="24"/>
          <w:lang w:val="en-GB"/>
        </w:rPr>
        <w:t>. The samples were then</w:t>
      </w:r>
      <w:r w:rsidRPr="0019396E">
        <w:rPr>
          <w:rFonts w:cstheme="minorHAnsi"/>
          <w:szCs w:val="24"/>
          <w:lang w:val="en-GB"/>
        </w:rPr>
        <w:t xml:space="preserve"> transferred to a nitrogen-filled glove box</w:t>
      </w:r>
      <w:r>
        <w:rPr>
          <w:rFonts w:cstheme="minorHAnsi"/>
          <w:szCs w:val="24"/>
          <w:lang w:val="en-GB"/>
        </w:rPr>
        <w:t xml:space="preserve"> and </w:t>
      </w:r>
      <w:r w:rsidRPr="0019396E">
        <w:rPr>
          <w:rFonts w:cstheme="minorHAnsi"/>
          <w:szCs w:val="24"/>
          <w:lang w:val="en-GB"/>
        </w:rPr>
        <w:t>MeO-2PACz</w:t>
      </w:r>
      <w:r>
        <w:rPr>
          <w:rFonts w:cstheme="minorHAnsi"/>
          <w:szCs w:val="24"/>
          <w:lang w:val="en-GB"/>
        </w:rPr>
        <w:t xml:space="preserve"> purchased from TCI</w:t>
      </w:r>
      <w:r w:rsidRPr="0019396E">
        <w:rPr>
          <w:rFonts w:cstheme="minorHAnsi"/>
          <w:szCs w:val="24"/>
          <w:lang w:val="en-GB"/>
        </w:rPr>
        <w:t xml:space="preserve"> (1 mmol mL</w:t>
      </w:r>
      <w:r w:rsidRPr="00A05DC4">
        <w:rPr>
          <w:rFonts w:cstheme="minorHAnsi"/>
          <w:szCs w:val="24"/>
          <w:vertAlign w:val="superscript"/>
          <w:lang w:val="en-GB"/>
        </w:rPr>
        <w:t>−1</w:t>
      </w:r>
      <w:r w:rsidRPr="0019396E">
        <w:rPr>
          <w:rFonts w:cstheme="minorHAnsi"/>
          <w:szCs w:val="24"/>
          <w:lang w:val="en-GB"/>
        </w:rPr>
        <w:t xml:space="preserve"> in ethanol) </w:t>
      </w:r>
      <w:r>
        <w:rPr>
          <w:rFonts w:cstheme="minorHAnsi"/>
          <w:szCs w:val="24"/>
          <w:lang w:val="en-GB"/>
        </w:rPr>
        <w:t xml:space="preserve">was </w:t>
      </w:r>
      <w:r w:rsidRPr="0019396E">
        <w:rPr>
          <w:rFonts w:cstheme="minorHAnsi"/>
          <w:szCs w:val="24"/>
          <w:lang w:val="en-GB"/>
        </w:rPr>
        <w:t>spin-coated</w:t>
      </w:r>
      <w:r>
        <w:rPr>
          <w:rFonts w:cstheme="minorHAnsi"/>
          <w:szCs w:val="24"/>
          <w:lang w:val="en-GB"/>
        </w:rPr>
        <w:t xml:space="preserve"> </w:t>
      </w:r>
      <w:r w:rsidRPr="0019396E">
        <w:rPr>
          <w:rFonts w:cstheme="minorHAnsi"/>
          <w:szCs w:val="24"/>
          <w:lang w:val="en-GB"/>
        </w:rPr>
        <w:t>on the ITO substrates at 3000 rpm for</w:t>
      </w:r>
      <w:r>
        <w:rPr>
          <w:rFonts w:cstheme="minorHAnsi"/>
          <w:szCs w:val="24"/>
          <w:lang w:val="en-GB"/>
        </w:rPr>
        <w:t xml:space="preserve"> 30 s, followed by annealing at </w:t>
      </w:r>
      <w:r w:rsidRPr="0019396E">
        <w:rPr>
          <w:rFonts w:cstheme="minorHAnsi"/>
          <w:szCs w:val="24"/>
          <w:lang w:val="en-GB"/>
        </w:rPr>
        <w:t>100 °C for 10 min</w:t>
      </w:r>
      <w:r>
        <w:rPr>
          <w:rFonts w:cstheme="minorHAnsi"/>
          <w:szCs w:val="24"/>
          <w:lang w:val="en-GB"/>
        </w:rPr>
        <w:t xml:space="preserve">. </w:t>
      </w:r>
    </w:p>
    <w:p w14:paraId="65AA91BF" w14:textId="77777777" w:rsidR="00345759" w:rsidRPr="00205EC2" w:rsidRDefault="00345759" w:rsidP="00345759">
      <w:pPr>
        <w:jc w:val="both"/>
        <w:rPr>
          <w:lang w:val="en-GB"/>
        </w:rPr>
      </w:pPr>
      <w:r w:rsidRPr="00205EC2">
        <w:rPr>
          <w:rFonts w:cstheme="minorHAnsi"/>
          <w:bCs/>
          <w:i/>
          <w:iCs/>
          <w:lang w:val="en-GB"/>
        </w:rPr>
        <w:t>Perovskite solutions:</w:t>
      </w:r>
      <w:r w:rsidRPr="00205EC2">
        <w:rPr>
          <w:rFonts w:cstheme="minorHAnsi"/>
          <w:lang w:val="en-GB"/>
        </w:rPr>
        <w:t xml:space="preserve"> </w:t>
      </w:r>
      <w:r w:rsidRPr="00205EC2">
        <w:rPr>
          <w:rFonts w:cstheme="minorHAnsi"/>
          <w:color w:val="000000" w:themeColor="text1"/>
          <w:lang w:val="en-GB"/>
        </w:rPr>
        <w:t>The triple cation perovskite solutions were prepared by mixing two 1.2 M FAPbI</w:t>
      </w:r>
      <w:r w:rsidRPr="00205EC2">
        <w:rPr>
          <w:rFonts w:cstheme="minorHAnsi"/>
          <w:color w:val="000000" w:themeColor="text1"/>
          <w:vertAlign w:val="subscript"/>
          <w:lang w:val="en-GB"/>
        </w:rPr>
        <w:t>3</w:t>
      </w:r>
      <w:r w:rsidRPr="00205EC2">
        <w:rPr>
          <w:rFonts w:cstheme="minorHAnsi"/>
          <w:color w:val="000000" w:themeColor="text1"/>
          <w:lang w:val="en-GB"/>
        </w:rPr>
        <w:t xml:space="preserve"> and MAPbBr</w:t>
      </w:r>
      <w:r w:rsidRPr="00205EC2">
        <w:rPr>
          <w:rFonts w:cstheme="minorHAnsi"/>
          <w:color w:val="000000" w:themeColor="text1"/>
          <w:vertAlign w:val="subscript"/>
          <w:lang w:val="en-GB"/>
        </w:rPr>
        <w:t>3</w:t>
      </w:r>
      <w:r w:rsidRPr="00205EC2">
        <w:rPr>
          <w:rFonts w:cstheme="minorHAnsi"/>
          <w:color w:val="000000" w:themeColor="text1"/>
          <w:lang w:val="en-GB"/>
        </w:rPr>
        <w:t xml:space="preserve"> perovskite solutions in DMF:DMSO </w:t>
      </w:r>
      <w:r w:rsidRPr="00205EC2">
        <w:rPr>
          <w:lang w:val="en-GB"/>
        </w:rPr>
        <w:t>(4:1</w:t>
      </w:r>
      <w:r w:rsidRPr="00205EC2">
        <w:rPr>
          <w:bCs/>
          <w:lang w:val="en-GB"/>
        </w:rPr>
        <w:t xml:space="preserve"> volume ratio, v:v</w:t>
      </w:r>
      <w:r w:rsidRPr="00205EC2">
        <w:rPr>
          <w:lang w:val="en-GB"/>
        </w:rPr>
        <w:t>)</w:t>
      </w:r>
      <w:r w:rsidRPr="00205EC2">
        <w:rPr>
          <w:rFonts w:cstheme="minorHAnsi"/>
          <w:color w:val="000000" w:themeColor="text1"/>
          <w:lang w:val="en-GB"/>
        </w:rPr>
        <w:t xml:space="preserve"> in a ratio of </w:t>
      </w:r>
      <w:r>
        <w:rPr>
          <w:rFonts w:cstheme="minorHAnsi"/>
          <w:color w:val="000000" w:themeColor="text1"/>
          <w:lang w:val="en-GB"/>
        </w:rPr>
        <w:t>83:17 (for the 83:17 triple cation reference cell) and 60:40 (for the 1.8 eV WG cell)</w:t>
      </w:r>
      <w:r w:rsidRPr="00205EC2">
        <w:rPr>
          <w:rFonts w:cstheme="minorHAnsi"/>
          <w:color w:val="000000" w:themeColor="text1"/>
          <w:lang w:val="en-GB"/>
        </w:rPr>
        <w:t>. The 1.2 M FAPbI</w:t>
      </w:r>
      <w:r w:rsidRPr="00205EC2">
        <w:rPr>
          <w:rFonts w:cstheme="minorHAnsi"/>
          <w:color w:val="000000" w:themeColor="text1"/>
          <w:vertAlign w:val="subscript"/>
          <w:lang w:val="en-GB"/>
        </w:rPr>
        <w:t>3</w:t>
      </w:r>
      <w:r w:rsidRPr="00205EC2">
        <w:rPr>
          <w:rFonts w:cstheme="minorHAnsi"/>
          <w:color w:val="000000" w:themeColor="text1"/>
          <w:lang w:val="en-GB"/>
        </w:rPr>
        <w:t xml:space="preserve"> solution was thereby prepared by dissolving FAI (722 mg) and PbI</w:t>
      </w:r>
      <w:r w:rsidRPr="00205EC2">
        <w:rPr>
          <w:rFonts w:cstheme="minorHAnsi"/>
          <w:color w:val="000000" w:themeColor="text1"/>
          <w:vertAlign w:val="subscript"/>
          <w:lang w:val="en-GB"/>
        </w:rPr>
        <w:t>2</w:t>
      </w:r>
      <w:r w:rsidRPr="00205EC2">
        <w:rPr>
          <w:rFonts w:cstheme="minorHAnsi"/>
          <w:color w:val="000000" w:themeColor="text1"/>
          <w:lang w:val="en-GB"/>
        </w:rPr>
        <w:t xml:space="preserve"> (2130 mg) in 2.8 mL DMF and 0.7 mL DMSO which contains a 10 molar% excess of PbI</w:t>
      </w:r>
      <w:r w:rsidRPr="00205EC2">
        <w:rPr>
          <w:rFonts w:cstheme="minorHAnsi"/>
          <w:color w:val="000000" w:themeColor="text1"/>
          <w:vertAlign w:val="subscript"/>
          <w:lang w:val="en-GB"/>
        </w:rPr>
        <w:t>2</w:t>
      </w:r>
      <w:r w:rsidRPr="00205EC2">
        <w:rPr>
          <w:rFonts w:cstheme="minorHAnsi"/>
          <w:color w:val="000000" w:themeColor="text1"/>
          <w:lang w:val="en-GB"/>
        </w:rPr>
        <w:t>. The 1.2 M MAPbBr</w:t>
      </w:r>
      <w:r w:rsidRPr="00205EC2">
        <w:rPr>
          <w:rFonts w:cstheme="minorHAnsi"/>
          <w:color w:val="000000" w:themeColor="text1"/>
          <w:vertAlign w:val="subscript"/>
          <w:lang w:val="en-GB"/>
        </w:rPr>
        <w:t>3</w:t>
      </w:r>
      <w:r w:rsidRPr="00205EC2">
        <w:rPr>
          <w:rFonts w:cstheme="minorHAnsi"/>
          <w:color w:val="000000" w:themeColor="text1"/>
          <w:lang w:val="en-GB"/>
        </w:rPr>
        <w:t xml:space="preserve"> solution was made by dissolving MABr (</w:t>
      </w:r>
      <w:r w:rsidRPr="00205EC2">
        <w:rPr>
          <w:rFonts w:cstheme="minorHAnsi"/>
          <w:lang w:val="en-GB"/>
        </w:rPr>
        <w:t>470 mg</w:t>
      </w:r>
      <w:r w:rsidRPr="00205EC2">
        <w:rPr>
          <w:rFonts w:cstheme="minorHAnsi"/>
          <w:color w:val="000000" w:themeColor="text1"/>
          <w:lang w:val="en-GB"/>
        </w:rPr>
        <w:t>) and PbBr</w:t>
      </w:r>
      <w:r w:rsidRPr="00205EC2">
        <w:rPr>
          <w:rFonts w:cstheme="minorHAnsi"/>
          <w:color w:val="000000" w:themeColor="text1"/>
          <w:vertAlign w:val="subscript"/>
          <w:lang w:val="en-GB"/>
        </w:rPr>
        <w:t>2</w:t>
      </w:r>
      <w:r w:rsidRPr="00205EC2">
        <w:rPr>
          <w:rFonts w:cstheme="minorHAnsi"/>
          <w:color w:val="000000" w:themeColor="text1"/>
          <w:lang w:val="en-GB"/>
        </w:rPr>
        <w:t xml:space="preserve"> (</w:t>
      </w:r>
      <w:r w:rsidRPr="00205EC2">
        <w:rPr>
          <w:rFonts w:cstheme="minorHAnsi"/>
          <w:lang w:val="en-GB"/>
        </w:rPr>
        <w:t>1696 mg</w:t>
      </w:r>
      <w:r w:rsidRPr="00205EC2">
        <w:rPr>
          <w:rFonts w:cstheme="minorHAnsi"/>
          <w:color w:val="000000" w:themeColor="text1"/>
          <w:lang w:val="en-GB"/>
        </w:rPr>
        <w:t>) in 2.8 mL DMF and 0.7 mL DMSO which contains a 10 molar% excess of PbBr</w:t>
      </w:r>
      <w:r w:rsidRPr="00205EC2">
        <w:rPr>
          <w:rFonts w:cstheme="minorHAnsi"/>
          <w:color w:val="000000" w:themeColor="text1"/>
          <w:vertAlign w:val="subscript"/>
          <w:lang w:val="en-GB"/>
        </w:rPr>
        <w:t>2</w:t>
      </w:r>
      <w:r w:rsidRPr="00205EC2">
        <w:rPr>
          <w:rFonts w:cstheme="minorHAnsi"/>
          <w:color w:val="000000" w:themeColor="text1"/>
          <w:lang w:val="en-GB"/>
        </w:rPr>
        <w:t xml:space="preserve">. Lastly, 40 </w:t>
      </w:r>
      <m:oMath>
        <m:r>
          <m:rPr>
            <m:sty m:val="p"/>
          </m:rPr>
          <w:rPr>
            <w:rFonts w:ascii="Cambria Math" w:hAnsi="Cambria Math" w:cstheme="minorHAnsi"/>
            <w:color w:val="000000" w:themeColor="text1"/>
            <w:lang w:val="en-GB"/>
          </w:rPr>
          <m:t>μL</m:t>
        </m:r>
      </m:oMath>
      <w:r w:rsidRPr="00205EC2">
        <w:rPr>
          <w:rFonts w:cstheme="minorHAnsi"/>
          <w:color w:val="000000" w:themeColor="text1"/>
          <w:lang w:val="en-GB"/>
        </w:rPr>
        <w:t xml:space="preserve"> of a 1.5 CsI solution in DMSO (389 mg CsI in 1 mL DMSO) was mixed with 960 </w:t>
      </w:r>
      <m:oMath>
        <m:r>
          <m:rPr>
            <m:sty m:val="p"/>
          </m:rPr>
          <w:rPr>
            <w:rFonts w:ascii="Cambria Math" w:hAnsi="Cambria Math" w:cstheme="minorHAnsi"/>
            <w:color w:val="000000" w:themeColor="text1"/>
            <w:lang w:val="en-GB"/>
          </w:rPr>
          <m:t>μL</m:t>
        </m:r>
      </m:oMath>
      <w:r w:rsidRPr="00205EC2">
        <w:rPr>
          <w:rFonts w:cstheme="minorHAnsi"/>
          <w:color w:val="000000" w:themeColor="text1"/>
          <w:lang w:val="en-GB"/>
        </w:rPr>
        <w:t xml:space="preserve"> of the MAFA solution resulting in a nominal perovskite stoichiometry of </w:t>
      </w:r>
      <w:r w:rsidRPr="00205EC2">
        <w:rPr>
          <w:lang w:val="en-GB"/>
        </w:rPr>
        <w:t>Cs</w:t>
      </w:r>
      <w:r w:rsidRPr="00205EC2">
        <w:rPr>
          <w:vertAlign w:val="subscript"/>
          <w:lang w:val="en-GB"/>
        </w:rPr>
        <w:t>0.05</w:t>
      </w:r>
      <w:r w:rsidRPr="00205EC2">
        <w:rPr>
          <w:lang w:val="en-GB"/>
        </w:rPr>
        <w:t>(FA</w:t>
      </w:r>
      <w:r w:rsidRPr="00205EC2">
        <w:rPr>
          <w:vertAlign w:val="subscript"/>
          <w:lang w:val="en-GB"/>
        </w:rPr>
        <w:t>0.83</w:t>
      </w:r>
      <w:r w:rsidRPr="00205EC2">
        <w:rPr>
          <w:lang w:val="en-GB"/>
        </w:rPr>
        <w:t>MA</w:t>
      </w:r>
      <w:r w:rsidRPr="00205EC2">
        <w:rPr>
          <w:vertAlign w:val="subscript"/>
          <w:lang w:val="en-GB"/>
        </w:rPr>
        <w:t>0.17</w:t>
      </w:r>
      <w:r w:rsidRPr="00205EC2">
        <w:rPr>
          <w:lang w:val="en-GB"/>
        </w:rPr>
        <w:t>)</w:t>
      </w:r>
      <w:r w:rsidRPr="00205EC2">
        <w:rPr>
          <w:vertAlign w:val="subscript"/>
          <w:lang w:val="en-GB"/>
        </w:rPr>
        <w:t>0.95</w:t>
      </w:r>
      <w:r w:rsidRPr="00205EC2">
        <w:rPr>
          <w:lang w:val="en-GB"/>
        </w:rPr>
        <w:t>Pb(I</w:t>
      </w:r>
      <w:r w:rsidRPr="00205EC2">
        <w:rPr>
          <w:vertAlign w:val="subscript"/>
          <w:lang w:val="en-GB"/>
        </w:rPr>
        <w:t>0.83</w:t>
      </w:r>
      <w:r w:rsidRPr="00205EC2">
        <w:rPr>
          <w:lang w:val="en-GB"/>
        </w:rPr>
        <w:t>Br</w:t>
      </w:r>
      <w:r w:rsidRPr="00205EC2">
        <w:rPr>
          <w:vertAlign w:val="subscript"/>
          <w:lang w:val="en-GB"/>
        </w:rPr>
        <w:t>0.17</w:t>
      </w:r>
      <w:r w:rsidRPr="00205EC2">
        <w:rPr>
          <w:lang w:val="en-GB"/>
        </w:rPr>
        <w:t>)</w:t>
      </w:r>
      <w:r w:rsidRPr="00205EC2">
        <w:rPr>
          <w:vertAlign w:val="subscript"/>
          <w:lang w:val="en-GB"/>
        </w:rPr>
        <w:t>3</w:t>
      </w:r>
      <w:r>
        <w:rPr>
          <w:vertAlign w:val="subscript"/>
          <w:lang w:val="en-GB"/>
        </w:rPr>
        <w:t xml:space="preserve"> </w:t>
      </w:r>
      <w:r>
        <w:rPr>
          <w:rFonts w:cstheme="minorHAnsi"/>
          <w:color w:val="000000" w:themeColor="text1"/>
          <w:lang w:val="en-GB"/>
        </w:rPr>
        <w:t xml:space="preserve">in case of the 83:17 triple cation reference cell </w:t>
      </w:r>
      <w:r w:rsidRPr="00763D2A">
        <w:rPr>
          <w:lang w:val="en-GB"/>
        </w:rPr>
        <w:t>and</w:t>
      </w:r>
      <w:r>
        <w:rPr>
          <w:vertAlign w:val="subscript"/>
          <w:lang w:val="en-GB"/>
        </w:rPr>
        <w:t xml:space="preserve"> </w:t>
      </w:r>
      <w:r w:rsidRPr="00205EC2">
        <w:rPr>
          <w:lang w:val="en-GB"/>
        </w:rPr>
        <w:t>Cs</w:t>
      </w:r>
      <w:r w:rsidRPr="00205EC2">
        <w:rPr>
          <w:vertAlign w:val="subscript"/>
          <w:lang w:val="en-GB"/>
        </w:rPr>
        <w:t>0.05</w:t>
      </w:r>
      <w:r w:rsidRPr="00205EC2">
        <w:rPr>
          <w:lang w:val="en-GB"/>
        </w:rPr>
        <w:t>(FA</w:t>
      </w:r>
      <w:r w:rsidRPr="00205EC2">
        <w:rPr>
          <w:vertAlign w:val="subscript"/>
          <w:lang w:val="en-GB"/>
        </w:rPr>
        <w:t>0.6</w:t>
      </w:r>
      <w:r w:rsidRPr="00205EC2">
        <w:rPr>
          <w:lang w:val="en-GB"/>
        </w:rPr>
        <w:t>MA</w:t>
      </w:r>
      <w:r w:rsidRPr="00205EC2">
        <w:rPr>
          <w:vertAlign w:val="subscript"/>
          <w:lang w:val="en-GB"/>
        </w:rPr>
        <w:t>0.4</w:t>
      </w:r>
      <w:r w:rsidRPr="00205EC2">
        <w:rPr>
          <w:lang w:val="en-GB"/>
        </w:rPr>
        <w:t>)</w:t>
      </w:r>
      <w:r w:rsidRPr="00205EC2">
        <w:rPr>
          <w:vertAlign w:val="subscript"/>
          <w:lang w:val="en-GB"/>
        </w:rPr>
        <w:t>0.95</w:t>
      </w:r>
      <w:r w:rsidRPr="00205EC2">
        <w:rPr>
          <w:lang w:val="en-GB"/>
        </w:rPr>
        <w:t>Pb(I</w:t>
      </w:r>
      <w:r w:rsidRPr="00205EC2">
        <w:rPr>
          <w:vertAlign w:val="subscript"/>
          <w:lang w:val="en-GB"/>
        </w:rPr>
        <w:t>0.6</w:t>
      </w:r>
      <w:r w:rsidRPr="00205EC2">
        <w:rPr>
          <w:lang w:val="en-GB"/>
        </w:rPr>
        <w:t>Br</w:t>
      </w:r>
      <w:r w:rsidRPr="00205EC2">
        <w:rPr>
          <w:vertAlign w:val="subscript"/>
          <w:lang w:val="en-GB"/>
        </w:rPr>
        <w:t>0.4</w:t>
      </w:r>
      <w:r w:rsidRPr="00205EC2">
        <w:rPr>
          <w:lang w:val="en-GB"/>
        </w:rPr>
        <w:t>)</w:t>
      </w:r>
      <w:r w:rsidRPr="00205EC2">
        <w:rPr>
          <w:vertAlign w:val="subscript"/>
          <w:lang w:val="en-GB"/>
        </w:rPr>
        <w:t>3</w:t>
      </w:r>
      <w:r>
        <w:rPr>
          <w:vertAlign w:val="subscript"/>
          <w:lang w:val="en-GB"/>
        </w:rPr>
        <w:t xml:space="preserve"> </w:t>
      </w:r>
      <w:r>
        <w:rPr>
          <w:rFonts w:cstheme="minorHAnsi"/>
          <w:color w:val="000000" w:themeColor="text1"/>
          <w:lang w:val="en-GB"/>
        </w:rPr>
        <w:t xml:space="preserve">in case of the 1.8 eV WG cell. </w:t>
      </w:r>
      <w:r w:rsidRPr="00205EC2">
        <w:rPr>
          <w:bCs/>
          <w:lang w:val="en-GB"/>
        </w:rPr>
        <w:t>The MAPI solution was prepared by dissolution of MAI powder (Dysol, 0.2) with PbI</w:t>
      </w:r>
      <w:r w:rsidRPr="00205EC2">
        <w:rPr>
          <w:bCs/>
          <w:vertAlign w:val="subscript"/>
          <w:lang w:val="en-GB"/>
        </w:rPr>
        <w:t>2</w:t>
      </w:r>
      <w:r w:rsidRPr="00205EC2">
        <w:rPr>
          <w:bCs/>
          <w:lang w:val="en-GB"/>
        </w:rPr>
        <w:t xml:space="preserve"> (TCI America, 1.1 M) in a γ-butyrolactone/dimethyl sulfoxide mixed solvent (7:3 by volume) at 60 °C for 10 min. </w:t>
      </w:r>
      <w:r w:rsidRPr="00205EC2">
        <w:rPr>
          <w:lang w:val="en-GB"/>
        </w:rPr>
        <w:t>The Cs</w:t>
      </w:r>
      <w:r w:rsidRPr="00205EC2">
        <w:rPr>
          <w:vertAlign w:val="subscript"/>
          <w:lang w:val="en-GB"/>
        </w:rPr>
        <w:t>0.15</w:t>
      </w:r>
      <w:r w:rsidRPr="00205EC2">
        <w:rPr>
          <w:lang w:val="en-GB"/>
        </w:rPr>
        <w:t>FA</w:t>
      </w:r>
      <w:r w:rsidRPr="00205EC2">
        <w:rPr>
          <w:vertAlign w:val="subscript"/>
          <w:lang w:val="en-GB"/>
        </w:rPr>
        <w:t>0.85</w:t>
      </w:r>
      <w:r w:rsidRPr="00205EC2">
        <w:rPr>
          <w:lang w:val="en-GB"/>
        </w:rPr>
        <w:t>Pb(I</w:t>
      </w:r>
      <w:r w:rsidRPr="00205EC2">
        <w:rPr>
          <w:vertAlign w:val="subscript"/>
          <w:lang w:val="en-GB"/>
        </w:rPr>
        <w:t>0.75</w:t>
      </w:r>
      <w:r w:rsidRPr="00205EC2">
        <w:rPr>
          <w:lang w:val="en-GB"/>
        </w:rPr>
        <w:t>Br</w:t>
      </w:r>
      <w:r w:rsidRPr="00205EC2">
        <w:rPr>
          <w:vertAlign w:val="subscript"/>
          <w:lang w:val="en-GB"/>
        </w:rPr>
        <w:t>0.25</w:t>
      </w:r>
      <w:r w:rsidRPr="00205EC2">
        <w:rPr>
          <w:lang w:val="en-GB"/>
        </w:rPr>
        <w:t>)</w:t>
      </w:r>
      <w:r w:rsidRPr="00205EC2">
        <w:rPr>
          <w:vertAlign w:val="subscript"/>
          <w:lang w:val="en-GB"/>
        </w:rPr>
        <w:t>3</w:t>
      </w:r>
      <w:r w:rsidRPr="00205EC2">
        <w:rPr>
          <w:lang w:val="en-GB"/>
        </w:rPr>
        <w:t xml:space="preserve"> double cation perovskite was prepared by mixing PbI</w:t>
      </w:r>
      <w:r w:rsidRPr="00205EC2">
        <w:rPr>
          <w:vertAlign w:val="subscript"/>
          <w:lang w:val="en-GB"/>
        </w:rPr>
        <w:t>2</w:t>
      </w:r>
      <w:r w:rsidRPr="00205EC2">
        <w:rPr>
          <w:lang w:val="en-GB"/>
        </w:rPr>
        <w:t xml:space="preserve"> (TCI), FAI (Greatcell Solar), FABr (Sigma-Aldrich), and CsI (Sigma-Aldrich), with molarity ratios of 1.1, 0.12, 0.73 and 0.15 respectively in one vial and adding a mixture of DMF:DMSO 4:1 in volume. </w:t>
      </w:r>
      <w:r w:rsidRPr="00763D2A">
        <w:rPr>
          <w:lang w:val="en-GB"/>
        </w:rPr>
        <w:t xml:space="preserve">The </w:t>
      </w:r>
      <w:r>
        <w:rPr>
          <w:lang w:val="en-GB"/>
        </w:rPr>
        <w:t xml:space="preserve">“95:5 triple halide (TH)” perovskite precursor </w:t>
      </w:r>
      <w:r w:rsidRPr="00763D2A">
        <w:rPr>
          <w:lang w:val="en-GB"/>
        </w:rPr>
        <w:t xml:space="preserve">solution </w:t>
      </w:r>
      <w:r>
        <w:rPr>
          <w:lang w:val="en-GB"/>
        </w:rPr>
        <w:t xml:space="preserve">was </w:t>
      </w:r>
      <w:r w:rsidRPr="00763D2A">
        <w:rPr>
          <w:lang w:val="en-GB"/>
        </w:rPr>
        <w:t>prepared by mixing two 1.5M FAPbI</w:t>
      </w:r>
      <w:r w:rsidRPr="00763D2A">
        <w:rPr>
          <w:vertAlign w:val="subscript"/>
          <w:lang w:val="en-GB"/>
        </w:rPr>
        <w:t>3</w:t>
      </w:r>
      <w:r w:rsidRPr="00763D2A">
        <w:rPr>
          <w:lang w:val="en-GB"/>
        </w:rPr>
        <w:t xml:space="preserve"> and MAPbBr</w:t>
      </w:r>
      <w:r w:rsidRPr="00763D2A">
        <w:rPr>
          <w:vertAlign w:val="subscript"/>
          <w:lang w:val="en-GB"/>
        </w:rPr>
        <w:t>3</w:t>
      </w:r>
      <w:r>
        <w:rPr>
          <w:lang w:val="en-GB"/>
        </w:rPr>
        <w:t xml:space="preserve"> perovskite solutions </w:t>
      </w:r>
      <w:r w:rsidRPr="00763D2A">
        <w:rPr>
          <w:lang w:val="en-GB"/>
        </w:rPr>
        <w:t>in DMF:DMSO (4:1 volume ratio, v</w:t>
      </w:r>
      <w:r>
        <w:rPr>
          <w:lang w:val="en-GB"/>
        </w:rPr>
        <w:t xml:space="preserve">-v), as well as the solution of CsI (1.5M) resulting in a nominal perovskite stoichiometry of </w:t>
      </w:r>
      <w:r w:rsidRPr="00205EC2">
        <w:rPr>
          <w:lang w:val="en-GB"/>
        </w:rPr>
        <w:t>Cs</w:t>
      </w:r>
      <w:r w:rsidRPr="00205EC2">
        <w:rPr>
          <w:vertAlign w:val="subscript"/>
          <w:lang w:val="en-GB"/>
        </w:rPr>
        <w:t>0.05</w:t>
      </w:r>
      <w:r w:rsidRPr="00205EC2">
        <w:rPr>
          <w:lang w:val="en-GB"/>
        </w:rPr>
        <w:t>(FA</w:t>
      </w:r>
      <w:r>
        <w:rPr>
          <w:vertAlign w:val="subscript"/>
          <w:lang w:val="en-GB"/>
        </w:rPr>
        <w:t>0.95</w:t>
      </w:r>
      <w:r w:rsidRPr="00205EC2">
        <w:rPr>
          <w:lang w:val="en-GB"/>
        </w:rPr>
        <w:t>MA</w:t>
      </w:r>
      <w:r>
        <w:rPr>
          <w:vertAlign w:val="subscript"/>
          <w:lang w:val="en-GB"/>
        </w:rPr>
        <w:t>0.05</w:t>
      </w:r>
      <w:r w:rsidRPr="00205EC2">
        <w:rPr>
          <w:lang w:val="en-GB"/>
        </w:rPr>
        <w:t>)</w:t>
      </w:r>
      <w:r w:rsidRPr="00205EC2">
        <w:rPr>
          <w:vertAlign w:val="subscript"/>
          <w:lang w:val="en-GB"/>
        </w:rPr>
        <w:t>0.95</w:t>
      </w:r>
      <w:r w:rsidRPr="00205EC2">
        <w:rPr>
          <w:lang w:val="en-GB"/>
        </w:rPr>
        <w:t>Pb(I</w:t>
      </w:r>
      <w:r>
        <w:rPr>
          <w:vertAlign w:val="subscript"/>
          <w:lang w:val="en-GB"/>
        </w:rPr>
        <w:t>0.95</w:t>
      </w:r>
      <w:r w:rsidRPr="00205EC2">
        <w:rPr>
          <w:lang w:val="en-GB"/>
        </w:rPr>
        <w:t>Br</w:t>
      </w:r>
      <w:r>
        <w:rPr>
          <w:vertAlign w:val="subscript"/>
          <w:lang w:val="en-GB"/>
        </w:rPr>
        <w:t>0.05</w:t>
      </w:r>
      <w:r w:rsidRPr="00205EC2">
        <w:rPr>
          <w:lang w:val="en-GB"/>
        </w:rPr>
        <w:t>)</w:t>
      </w:r>
      <w:r w:rsidRPr="00205EC2">
        <w:rPr>
          <w:vertAlign w:val="subscript"/>
          <w:lang w:val="en-GB"/>
        </w:rPr>
        <w:t>3</w:t>
      </w:r>
      <w:r w:rsidRPr="00A05DC4">
        <w:rPr>
          <w:lang w:val="en-GB"/>
        </w:rPr>
        <w:t>.</w:t>
      </w:r>
      <w:r>
        <w:rPr>
          <w:lang w:val="en-GB"/>
        </w:rPr>
        <w:t xml:space="preserve"> Then, </w:t>
      </w:r>
      <w:r w:rsidRPr="00763D2A">
        <w:rPr>
          <w:lang w:val="en-GB"/>
        </w:rPr>
        <w:t>2</w:t>
      </w:r>
      <w:r>
        <w:rPr>
          <w:lang w:val="en-GB"/>
        </w:rPr>
        <w:t xml:space="preserve">0 mol% MACl dissolved in DMSO was added into the </w:t>
      </w:r>
      <w:r w:rsidRPr="00763D2A">
        <w:rPr>
          <w:lang w:val="en-GB"/>
        </w:rPr>
        <w:t>precursor solu</w:t>
      </w:r>
      <w:r>
        <w:rPr>
          <w:lang w:val="en-GB"/>
        </w:rPr>
        <w:t>tion to improve the crystallization of the film</w:t>
      </w:r>
      <w:r w:rsidRPr="00763D2A">
        <w:rPr>
          <w:lang w:val="en-GB"/>
        </w:rPr>
        <w:t>.</w:t>
      </w:r>
      <w:r>
        <w:rPr>
          <w:lang w:val="en-GB"/>
        </w:rPr>
        <w:t xml:space="preserve"> All</w:t>
      </w:r>
      <w:r w:rsidRPr="00205EC2">
        <w:rPr>
          <w:lang w:val="en-GB"/>
        </w:rPr>
        <w:t xml:space="preserve"> final solution</w:t>
      </w:r>
      <w:r>
        <w:rPr>
          <w:lang w:val="en-GB"/>
        </w:rPr>
        <w:t>s</w:t>
      </w:r>
      <w:r w:rsidRPr="00205EC2">
        <w:rPr>
          <w:lang w:val="en-GB"/>
        </w:rPr>
        <w:t xml:space="preserve"> was stirred overnight at room temperature. </w:t>
      </w:r>
    </w:p>
    <w:p w14:paraId="5BA6283F" w14:textId="77777777" w:rsidR="00345759" w:rsidRPr="00205EC2" w:rsidRDefault="00345759" w:rsidP="00345759">
      <w:pPr>
        <w:jc w:val="both"/>
        <w:rPr>
          <w:lang w:val="en-GB"/>
        </w:rPr>
      </w:pPr>
      <w:r w:rsidRPr="00205EC2">
        <w:rPr>
          <w:rFonts w:cstheme="minorHAnsi"/>
          <w:bCs/>
          <w:i/>
          <w:iCs/>
          <w:lang w:val="en-GB"/>
        </w:rPr>
        <w:t>Perovskite film fabrication</w:t>
      </w:r>
      <w:r w:rsidRPr="00205EC2">
        <w:rPr>
          <w:rFonts w:cstheme="minorHAnsi"/>
          <w:lang w:val="en-GB"/>
        </w:rPr>
        <w:t xml:space="preserve">: </w:t>
      </w:r>
      <w:r>
        <w:rPr>
          <w:rFonts w:cstheme="minorHAnsi"/>
          <w:lang w:val="en-GB"/>
        </w:rPr>
        <w:t xml:space="preserve">Both </w:t>
      </w:r>
      <w:r>
        <w:rPr>
          <w:rFonts w:cstheme="minorHAnsi"/>
          <w:bCs/>
          <w:iCs/>
          <w:lang w:val="en-GB"/>
        </w:rPr>
        <w:t xml:space="preserve">triple cation films (83:17 TC and 1.8 eV WG) </w:t>
      </w:r>
      <w:r w:rsidRPr="00205EC2">
        <w:rPr>
          <w:rFonts w:cstheme="minorHAnsi"/>
          <w:lang w:val="en-GB"/>
        </w:rPr>
        <w:t xml:space="preserve">were deposited by spin-coating at 5000 rpm for 35 s and 10 s after the start of the spinning process, the spinning substrate was washed with 300 µL ethylacetate for approximately 1 s (the anti-solvent was placed in the center of the film). We note, that by the end of the spinning process the perovskite film turned dark brown. The perovskite film was then annealed at 100 °C for 1 h on a preheated hotplate where the film turned slightly darker. </w:t>
      </w:r>
      <w:r w:rsidRPr="00205EC2">
        <w:rPr>
          <w:bCs/>
          <w:lang w:val="en-GB"/>
        </w:rPr>
        <w:t xml:space="preserve">The MAPI solution (80 μL) was spin-coated at 1000 rpm for 5 s followed by 3000 rpm for 80 s. 100 μL toluene was added dropwise after 40 s to form a transparent perovskite film. After the spin-coating, the films were dried for 2 min in the glovebox at room temperature until the films changed their color from yellow to light brown. The MAPI perovskite layers were then subsequently annealed at 100 °C on a </w:t>
      </w:r>
      <w:r w:rsidRPr="00205EC2">
        <w:rPr>
          <w:bCs/>
          <w:lang w:val="en-GB"/>
        </w:rPr>
        <w:lastRenderedPageBreak/>
        <w:t xml:space="preserve">hotplate where the films turned black immediately. For the </w:t>
      </w:r>
      <w:r w:rsidRPr="00205EC2">
        <w:rPr>
          <w:lang w:val="en-GB"/>
        </w:rPr>
        <w:t>Cs</w:t>
      </w:r>
      <w:r w:rsidRPr="00205EC2">
        <w:rPr>
          <w:vertAlign w:val="subscript"/>
          <w:lang w:val="en-GB"/>
        </w:rPr>
        <w:t>0.15</w:t>
      </w:r>
      <w:r w:rsidRPr="00205EC2">
        <w:rPr>
          <w:lang w:val="en-GB"/>
        </w:rPr>
        <w:t>FA0</w:t>
      </w:r>
      <w:r w:rsidRPr="00205EC2">
        <w:rPr>
          <w:vertAlign w:val="subscript"/>
          <w:lang w:val="en-GB"/>
        </w:rPr>
        <w:t>.85</w:t>
      </w:r>
      <w:r w:rsidRPr="00205EC2">
        <w:rPr>
          <w:lang w:val="en-GB"/>
        </w:rPr>
        <w:t>Pb(I</w:t>
      </w:r>
      <w:r w:rsidRPr="00205EC2">
        <w:rPr>
          <w:vertAlign w:val="subscript"/>
          <w:lang w:val="en-GB"/>
        </w:rPr>
        <w:t>0.75</w:t>
      </w:r>
      <w:r w:rsidRPr="00205EC2">
        <w:rPr>
          <w:lang w:val="en-GB"/>
        </w:rPr>
        <w:t>Br</w:t>
      </w:r>
      <w:r w:rsidRPr="00205EC2">
        <w:rPr>
          <w:vertAlign w:val="subscript"/>
          <w:lang w:val="en-GB"/>
        </w:rPr>
        <w:t>0.25</w:t>
      </w:r>
      <w:r w:rsidRPr="00205EC2">
        <w:rPr>
          <w:lang w:val="en-GB"/>
        </w:rPr>
        <w:t>)</w:t>
      </w:r>
      <w:r w:rsidRPr="00205EC2">
        <w:rPr>
          <w:vertAlign w:val="subscript"/>
          <w:lang w:val="en-GB"/>
        </w:rPr>
        <w:t>3</w:t>
      </w:r>
      <w:r w:rsidRPr="00205EC2">
        <w:rPr>
          <w:lang w:val="en-GB"/>
        </w:rPr>
        <w:t xml:space="preserve"> perovskite, a volume of 120 </w:t>
      </w:r>
      <w:r w:rsidRPr="00205EC2">
        <w:rPr>
          <w:rFonts w:cstheme="minorHAnsi"/>
          <w:lang w:val="en-GB"/>
        </w:rPr>
        <w:t>μ</w:t>
      </w:r>
      <w:r w:rsidRPr="00205EC2">
        <w:rPr>
          <w:lang w:val="en-GB"/>
        </w:rPr>
        <w:t xml:space="preserve">L of the precursor solution was spin-coated at </w:t>
      </w:r>
      <w:r w:rsidRPr="00510E8C">
        <w:rPr>
          <w:lang w:val="en-GB"/>
        </w:rPr>
        <w:t xml:space="preserve">4000 rpm (with a ramping rate of 1334 rpm s-1) for 40 sec. After 10 seconds, the film is quenched by adding 300 </w:t>
      </w:r>
      <w:r w:rsidRPr="00510E8C">
        <w:rPr>
          <w:rFonts w:cstheme="minorHAnsi"/>
          <w:lang w:val="en-GB"/>
        </w:rPr>
        <w:t>μ</w:t>
      </w:r>
      <w:r w:rsidRPr="00510E8C">
        <w:rPr>
          <w:lang w:val="en-GB"/>
        </w:rPr>
        <w:t>L of ethyl-acetate. Directly afterwards the film was annealed at 100 °C for 60 min inside the N</w:t>
      </w:r>
      <w:r w:rsidRPr="00510E8C">
        <w:rPr>
          <w:vertAlign w:val="subscript"/>
          <w:lang w:val="en-GB"/>
        </w:rPr>
        <w:t>2</w:t>
      </w:r>
      <w:r w:rsidRPr="00510E8C">
        <w:rPr>
          <w:lang w:val="en-GB"/>
        </w:rPr>
        <w:t xml:space="preserve"> filled glovebox. For the 95:5 TH perovskite, 120 μl of the perovskite precursor were spin coated onto the substrates at 4000 rpm for 40s (5s acceleration to 4000 rpm). 200 μl antisolvent chlorobenzene was slowly dripped onto </w:t>
      </w:r>
      <w:r w:rsidRPr="00510E8C">
        <w:rPr>
          <w:rFonts w:hint="eastAsia"/>
          <w:lang w:val="en-GB"/>
        </w:rPr>
        <w:t xml:space="preserve">the center of the film 7 s before the end of spinning program. Further, the perovskite film was annealed at 100 </w:t>
      </w:r>
      <w:r w:rsidRPr="00510E8C">
        <w:rPr>
          <w:bCs/>
          <w:lang w:val="en-GB"/>
        </w:rPr>
        <w:t>°C</w:t>
      </w:r>
      <w:r w:rsidRPr="00510E8C">
        <w:rPr>
          <w:rFonts w:hint="eastAsia"/>
          <w:lang w:val="en-GB"/>
        </w:rPr>
        <w:t xml:space="preserve"> for 60 min.</w:t>
      </w:r>
    </w:p>
    <w:p w14:paraId="1062ED41" w14:textId="77777777" w:rsidR="00345759" w:rsidRPr="00205EC2" w:rsidRDefault="00345759" w:rsidP="00345759">
      <w:pPr>
        <w:jc w:val="both"/>
        <w:rPr>
          <w:rFonts w:cstheme="minorHAnsi"/>
          <w:szCs w:val="24"/>
          <w:lang w:val="en-GB"/>
        </w:rPr>
      </w:pPr>
      <w:r w:rsidRPr="00205EC2">
        <w:rPr>
          <w:rFonts w:cstheme="minorHAnsi"/>
          <w:bCs/>
          <w:i/>
          <w:iCs/>
          <w:lang w:val="en-GB"/>
        </w:rPr>
        <w:t>ETL and Top Contact</w:t>
      </w:r>
      <w:r w:rsidRPr="00205EC2">
        <w:rPr>
          <w:rFonts w:cstheme="minorHAnsi"/>
          <w:szCs w:val="24"/>
          <w:lang w:val="en-GB"/>
        </w:rPr>
        <w:t>:</w:t>
      </w:r>
      <w:r w:rsidRPr="00205EC2">
        <w:rPr>
          <w:rFonts w:cstheme="minorHAnsi"/>
          <w:color w:val="808080" w:themeColor="background1" w:themeShade="80"/>
          <w:szCs w:val="24"/>
          <w:lang w:val="en-GB"/>
        </w:rPr>
        <w:t xml:space="preserve"> </w:t>
      </w:r>
      <w:r w:rsidRPr="00205EC2">
        <w:rPr>
          <w:rFonts w:cstheme="minorHAnsi"/>
          <w:szCs w:val="24"/>
          <w:lang w:val="en-GB"/>
        </w:rPr>
        <w:t>After annealing, the samples were transferred to an evaporation chamber where fullerene-C</w:t>
      </w:r>
      <w:r w:rsidRPr="00205EC2">
        <w:rPr>
          <w:rFonts w:cstheme="minorHAnsi"/>
          <w:szCs w:val="24"/>
          <w:vertAlign w:val="subscript"/>
          <w:lang w:val="en-GB"/>
        </w:rPr>
        <w:t xml:space="preserve">60 </w:t>
      </w:r>
      <w:r w:rsidRPr="00205EC2">
        <w:rPr>
          <w:rFonts w:cstheme="minorHAnsi"/>
          <w:szCs w:val="24"/>
          <w:lang w:val="en-GB"/>
        </w:rPr>
        <w:t>(30 nm), 2,9-Dimethyl-4,7-diphenyl-1,10-phenanthroline BCP (8 nm) and copper (100 nm) were deposited under vacuum (p = 10</w:t>
      </w:r>
      <w:r w:rsidRPr="00205EC2">
        <w:rPr>
          <w:rFonts w:cstheme="minorHAnsi"/>
          <w:szCs w:val="24"/>
          <w:vertAlign w:val="superscript"/>
          <w:lang w:val="en-GB"/>
        </w:rPr>
        <w:t xml:space="preserve">-7 </w:t>
      </w:r>
      <w:r w:rsidRPr="00205EC2">
        <w:rPr>
          <w:rFonts w:cstheme="minorHAnsi"/>
          <w:szCs w:val="24"/>
          <w:lang w:val="en-GB"/>
        </w:rPr>
        <w:t>mbar). The overlap of the copper and the ITO electrodes defined the active area of the pixel (6 mm</w:t>
      </w:r>
      <w:r w:rsidRPr="00205EC2">
        <w:rPr>
          <w:rFonts w:cstheme="minorHAnsi"/>
          <w:szCs w:val="24"/>
          <w:vertAlign w:val="superscript"/>
          <w:lang w:val="en-GB"/>
        </w:rPr>
        <w:t>2</w:t>
      </w:r>
      <w:r w:rsidRPr="00205EC2">
        <w:rPr>
          <w:rFonts w:cstheme="minorHAnsi"/>
          <w:szCs w:val="24"/>
          <w:lang w:val="en-GB"/>
        </w:rPr>
        <w:t xml:space="preserve">). </w:t>
      </w:r>
    </w:p>
    <w:p w14:paraId="3E348D76" w14:textId="77777777" w:rsidR="00345759" w:rsidRPr="00205EC2" w:rsidRDefault="00345759" w:rsidP="00345759">
      <w:pPr>
        <w:jc w:val="both"/>
        <w:rPr>
          <w:lang w:val="en-GB"/>
        </w:rPr>
      </w:pPr>
      <w:r w:rsidRPr="00205EC2">
        <w:rPr>
          <w:rFonts w:cstheme="minorHAnsi"/>
          <w:b/>
          <w:iCs/>
          <w:lang w:val="en-GB"/>
        </w:rPr>
        <w:t>Current density-voltage characteristics:</w:t>
      </w:r>
      <w:r w:rsidRPr="00205EC2">
        <w:rPr>
          <w:rFonts w:cstheme="minorHAnsi"/>
          <w:b/>
          <w:bCs/>
          <w:sz w:val="20"/>
          <w:szCs w:val="20"/>
          <w:lang w:val="en-GB"/>
        </w:rPr>
        <w:t xml:space="preserve"> </w:t>
      </w:r>
      <m:oMath>
        <m:r>
          <w:rPr>
            <w:rFonts w:ascii="Cambria Math" w:hAnsi="Cambria Math" w:cstheme="minorHAnsi"/>
            <w:lang w:val="en-GB"/>
          </w:rPr>
          <m:t>JV</m:t>
        </m:r>
      </m:oMath>
      <w:r w:rsidRPr="00205EC2">
        <w:rPr>
          <w:rFonts w:cstheme="minorHAnsi"/>
          <w:lang w:val="en-GB"/>
        </w:rPr>
        <w:t>-curves were obtained in a 2-wire source-sense configuration with a Keithley 2400. An Oriel class AAA Xenon lamp-based sun simulator was used for illumination providing approximately 100 mW cm</w:t>
      </w:r>
      <w:r w:rsidRPr="00205EC2">
        <w:rPr>
          <w:rFonts w:cstheme="minorHAnsi"/>
          <w:vertAlign w:val="superscript"/>
          <w:lang w:val="en-GB"/>
        </w:rPr>
        <w:t>-2</w:t>
      </w:r>
      <w:r w:rsidRPr="00205EC2">
        <w:rPr>
          <w:rFonts w:cstheme="minorHAnsi"/>
          <w:lang w:val="en-GB"/>
        </w:rPr>
        <w:t xml:space="preserve"> of AM1.5G irradiation and the intensity was monitored simultaneously with a Si photodiode. The exact illumination intensity was used for efficiency calculations, and the simulator was calibrated with a KG5 filtered silicon solar cell (certified by Fraunhofer ISE). </w:t>
      </w:r>
      <w:r>
        <w:rPr>
          <w:rFonts w:cstheme="minorHAnsi"/>
          <w:lang w:val="en-GB"/>
        </w:rPr>
        <w:t>The device area of 6 mm</w:t>
      </w:r>
      <w:r w:rsidRPr="00995E6D">
        <w:rPr>
          <w:rFonts w:cstheme="minorHAnsi"/>
          <w:vertAlign w:val="superscript"/>
          <w:lang w:val="en-GB"/>
        </w:rPr>
        <w:t>2</w:t>
      </w:r>
      <w:r>
        <w:rPr>
          <w:rFonts w:cstheme="minorHAnsi"/>
          <w:lang w:val="en-GB"/>
        </w:rPr>
        <w:t xml:space="preserve"> was masked with a 4.32 mm</w:t>
      </w:r>
      <w:r w:rsidRPr="00995E6D">
        <w:rPr>
          <w:rFonts w:cstheme="minorHAnsi"/>
          <w:vertAlign w:val="superscript"/>
          <w:lang w:val="en-GB"/>
        </w:rPr>
        <w:t>2</w:t>
      </w:r>
      <w:r>
        <w:rPr>
          <w:rFonts w:cstheme="minorHAnsi"/>
          <w:vertAlign w:val="superscript"/>
          <w:lang w:val="en-GB"/>
        </w:rPr>
        <w:t xml:space="preserve"> </w:t>
      </w:r>
      <w:r>
        <w:rPr>
          <w:rFonts w:cstheme="minorHAnsi"/>
          <w:lang w:val="en-GB"/>
        </w:rPr>
        <w:t>mask and the</w:t>
      </w:r>
      <w:r w:rsidRPr="00205EC2">
        <w:rPr>
          <w:lang w:val="en-GB"/>
        </w:rPr>
        <w:t xml:space="preserve"> obtained short-circuit current densit</w:t>
      </w:r>
      <w:r>
        <w:rPr>
          <w:lang w:val="en-GB"/>
        </w:rPr>
        <w:t>ies</w:t>
      </w:r>
      <w:r w:rsidRPr="00205EC2">
        <w:rPr>
          <w:lang w:val="en-GB"/>
        </w:rPr>
        <w:t xml:space="preserve"> (</w:t>
      </w:r>
      <m:oMath>
        <m:sSub>
          <m:sSubPr>
            <m:ctrlPr>
              <w:rPr>
                <w:rFonts w:ascii="Cambria Math" w:hAnsi="Cambria Math"/>
                <w:i/>
                <w:lang w:val="en-GB"/>
              </w:rPr>
            </m:ctrlPr>
          </m:sSubPr>
          <m:e>
            <m:r>
              <w:rPr>
                <w:rFonts w:ascii="Cambria Math" w:hAnsi="Cambria Math"/>
                <w:lang w:val="en-GB"/>
              </w:rPr>
              <m:t>J</m:t>
            </m:r>
          </m:e>
          <m:sub>
            <m:r>
              <m:rPr>
                <m:sty m:val="p"/>
              </m:rPr>
              <w:rPr>
                <w:rFonts w:ascii="Cambria Math" w:hAnsi="Cambria Math"/>
                <w:lang w:val="en-GB"/>
              </w:rPr>
              <m:t>SC</m:t>
            </m:r>
          </m:sub>
        </m:sSub>
      </m:oMath>
      <w:r w:rsidRPr="00205EC2">
        <w:rPr>
          <w:lang w:val="en-GB"/>
        </w:rPr>
        <w:t xml:space="preserve">) </w:t>
      </w:r>
      <w:r>
        <w:rPr>
          <w:lang w:val="en-GB"/>
        </w:rPr>
        <w:t xml:space="preserve">were </w:t>
      </w:r>
      <w:r w:rsidRPr="00205EC2">
        <w:rPr>
          <w:lang w:val="en-GB"/>
        </w:rPr>
        <w:t xml:space="preserve">checked by integrating the product of the External Quantum Efficiency and the solar spectrum which matches the obtained </w:t>
      </w:r>
      <m:oMath>
        <m:sSub>
          <m:sSubPr>
            <m:ctrlPr>
              <w:rPr>
                <w:rFonts w:ascii="Cambria Math" w:hAnsi="Cambria Math"/>
                <w:i/>
                <w:lang w:val="en-GB"/>
              </w:rPr>
            </m:ctrlPr>
          </m:sSubPr>
          <m:e>
            <m:r>
              <w:rPr>
                <w:rFonts w:ascii="Cambria Math" w:hAnsi="Cambria Math"/>
                <w:lang w:val="en-GB"/>
              </w:rPr>
              <m:t>J</m:t>
            </m:r>
          </m:e>
          <m:sub>
            <m:r>
              <m:rPr>
                <m:sty m:val="p"/>
              </m:rPr>
              <w:rPr>
                <w:rFonts w:ascii="Cambria Math" w:hAnsi="Cambria Math"/>
                <w:lang w:val="en-GB"/>
              </w:rPr>
              <m:t>SC</m:t>
            </m:r>
          </m:sub>
        </m:sSub>
      </m:oMath>
      <w:r w:rsidRPr="00205EC2">
        <w:rPr>
          <w:lang w:val="en-GB"/>
        </w:rPr>
        <w:t xml:space="preserve"> within less than 5%. </w:t>
      </w:r>
      <w:r w:rsidRPr="00205EC2">
        <w:rPr>
          <w:rFonts w:cstheme="minorHAnsi"/>
          <w:lang w:val="en-GB"/>
        </w:rPr>
        <w:t>The temperature of the cell was fixed to</w:t>
      </w:r>
      <w:r w:rsidRPr="00205EC2">
        <w:rPr>
          <w:lang w:val="en-GB"/>
        </w:rPr>
        <w:t xml:space="preserve"> 25 °C and a voltage ramp (scan rate) of 67 mV/s was used</w:t>
      </w:r>
      <w:r w:rsidRPr="00205EC2">
        <w:rPr>
          <w:rFonts w:cstheme="minorHAnsi"/>
          <w:lang w:val="en-GB"/>
        </w:rPr>
        <w:t xml:space="preserve">. </w:t>
      </w:r>
      <w:r w:rsidRPr="00205EC2">
        <w:rPr>
          <w:rFonts w:cstheme="minorHAnsi"/>
          <w:i/>
          <w:iCs/>
          <w:lang w:val="en-GB"/>
        </w:rPr>
        <w:t>JV</w:t>
      </w:r>
      <w:r w:rsidRPr="00205EC2">
        <w:rPr>
          <w:rFonts w:cstheme="minorHAnsi"/>
          <w:lang w:val="en-GB"/>
        </w:rPr>
        <w:t xml:space="preserve">-curves at different scan speeds and stabilization times </w:t>
      </w:r>
      <w:r>
        <w:rPr>
          <w:rFonts w:cstheme="minorHAnsi"/>
          <w:lang w:val="en-GB"/>
        </w:rPr>
        <w:t>are subject of this work. For the 83-17 reference cell, a</w:t>
      </w:r>
      <w:r w:rsidRPr="00B20DB6">
        <w:t xml:space="preserve"> spectral mismatch calculation was performed based on the spectral irradiance of the solar simulator, the EQE of the reference silicon solar cell and 3 typical EQEs of our cells. This resulted in 3 mismatch factors of </w:t>
      </w:r>
      <w:r w:rsidRPr="00B20DB6">
        <w:rPr>
          <w:rFonts w:ascii="Cambria Math" w:hAnsi="Cambria Math" w:cs="Cambria Math"/>
        </w:rPr>
        <w:t>𝑀</w:t>
      </w:r>
      <w:r w:rsidRPr="00B20DB6">
        <w:t xml:space="preserve"> = 0.9949, 0.9996 and 0.9976. Given the very small deviation from unity the measured </w:t>
      </w:r>
      <w:r w:rsidRPr="00B20DB6">
        <w:rPr>
          <w:rFonts w:ascii="Cambria Math" w:hAnsi="Cambria Math" w:cs="Cambria Math"/>
        </w:rPr>
        <w:t>𝐽</w:t>
      </w:r>
      <w:r w:rsidRPr="00995E6D">
        <w:rPr>
          <w:vertAlign w:val="subscript"/>
        </w:rPr>
        <w:t>SC</w:t>
      </w:r>
      <w:r w:rsidRPr="00B20DB6">
        <w:t xml:space="preserve"> was not corrected by the factor 1/</w:t>
      </w:r>
      <w:r w:rsidRPr="00B20DB6">
        <w:rPr>
          <w:rFonts w:ascii="Cambria Math" w:hAnsi="Cambria Math" w:cs="Cambria Math"/>
        </w:rPr>
        <w:t>𝑀</w:t>
      </w:r>
      <w:r w:rsidRPr="00B20DB6">
        <w:t xml:space="preserve">. </w:t>
      </w:r>
    </w:p>
    <w:p w14:paraId="0123C036" w14:textId="77777777" w:rsidR="00345759" w:rsidRPr="00205EC2" w:rsidRDefault="00345759" w:rsidP="00345759">
      <w:pPr>
        <w:jc w:val="both"/>
        <w:rPr>
          <w:rFonts w:cstheme="minorHAnsi"/>
          <w:lang w:val="en-GB"/>
        </w:rPr>
      </w:pPr>
      <w:r w:rsidRPr="00350E0F">
        <w:rPr>
          <w:b/>
          <w:lang w:val="en-GB"/>
        </w:rPr>
        <w:t xml:space="preserve">Fast-hysteresis measurements: </w:t>
      </w:r>
      <w:r w:rsidRPr="00350E0F">
        <w:rPr>
          <w:lang w:val="en-GB"/>
        </w:rPr>
        <w:t>Fast</w:t>
      </w:r>
      <w:r w:rsidRPr="00350E0F">
        <w:rPr>
          <w:b/>
          <w:lang w:val="en-GB"/>
        </w:rPr>
        <w:t xml:space="preserve"> </w:t>
      </w:r>
      <m:oMath>
        <m:r>
          <w:rPr>
            <w:rFonts w:ascii="Cambria Math" w:hAnsi="Cambria Math" w:cstheme="minorHAnsi"/>
            <w:lang w:val="en-GB"/>
          </w:rPr>
          <m:t>JV</m:t>
        </m:r>
      </m:oMath>
      <w:r w:rsidRPr="00350E0F">
        <w:rPr>
          <w:rFonts w:cstheme="minorHAnsi"/>
          <w:lang w:val="en-GB"/>
        </w:rPr>
        <w:t>-curves were obtained by applying a triangular voltage pulse to the cells starting from approximately open-circuit</w:t>
      </w:r>
      <w:r w:rsidRPr="00350E0F">
        <w:rPr>
          <w:lang w:val="en-GB"/>
        </w:rPr>
        <w:t xml:space="preserve"> (</w:t>
      </w:r>
      <w:r w:rsidRPr="00350E0F">
        <w:rPr>
          <w:i/>
          <w:lang w:val="en-GB"/>
        </w:rPr>
        <w:t>V</w:t>
      </w:r>
      <w:r w:rsidRPr="00350E0F">
        <w:rPr>
          <w:vertAlign w:val="subscript"/>
          <w:lang w:val="en-GB"/>
        </w:rPr>
        <w:t>OC</w:t>
      </w:r>
      <w:r w:rsidRPr="00350E0F">
        <w:rPr>
          <w:lang w:val="en-GB"/>
        </w:rPr>
        <w:t xml:space="preserve">) followed by a reverse sweep from </w:t>
      </w:r>
      <w:r w:rsidRPr="00350E0F">
        <w:rPr>
          <w:rFonts w:cstheme="minorHAnsi"/>
          <w:lang w:val="en-GB"/>
        </w:rPr>
        <w:t xml:space="preserve">open-circuit to -0.1 V and </w:t>
      </w:r>
      <w:r w:rsidRPr="00350E0F">
        <w:rPr>
          <w:lang w:val="en-GB"/>
        </w:rPr>
        <w:t>forward sweep from</w:t>
      </w:r>
      <w:r w:rsidRPr="00350E0F">
        <w:rPr>
          <w:rFonts w:cstheme="minorHAnsi"/>
          <w:lang w:val="en-GB"/>
        </w:rPr>
        <w:t xml:space="preserve"> -0.1 V to </w:t>
      </w:r>
      <w:r w:rsidRPr="00350E0F">
        <w:rPr>
          <w:rFonts w:cstheme="minorHAnsi"/>
          <w:i/>
          <w:lang w:val="en-GB"/>
        </w:rPr>
        <w:t>V</w:t>
      </w:r>
      <w:r w:rsidRPr="00350E0F">
        <w:rPr>
          <w:rFonts w:cstheme="minorHAnsi"/>
          <w:vertAlign w:val="subscript"/>
          <w:lang w:val="en-GB"/>
        </w:rPr>
        <w:t>OC</w:t>
      </w:r>
      <w:r w:rsidRPr="00350E0F">
        <w:rPr>
          <w:rFonts w:cstheme="minorHAnsi"/>
          <w:lang w:val="en-GB"/>
        </w:rPr>
        <w:t xml:space="preserve"> </w:t>
      </w:r>
      <w:r w:rsidRPr="00350E0F">
        <w:rPr>
          <w:lang w:val="en-GB"/>
        </w:rPr>
        <w:t>with variable frequency or scan speed</w:t>
      </w:r>
      <w:r>
        <w:rPr>
          <w:lang w:val="en-GB"/>
        </w:rPr>
        <w:t xml:space="preserve"> (V/s)</w:t>
      </w:r>
      <w:r w:rsidRPr="00350E0F">
        <w:rPr>
          <w:lang w:val="en-GB"/>
        </w:rPr>
        <w:t xml:space="preserve">. The duration of the hold voltage at </w:t>
      </w:r>
      <w:r w:rsidRPr="00350E0F">
        <w:rPr>
          <w:i/>
          <w:lang w:val="en-GB"/>
        </w:rPr>
        <w:t>V</w:t>
      </w:r>
      <w:r w:rsidRPr="00350E0F">
        <w:rPr>
          <w:vertAlign w:val="subscript"/>
          <w:lang w:val="en-GB"/>
        </w:rPr>
        <w:t>OC</w:t>
      </w:r>
      <w:r w:rsidRPr="00350E0F">
        <w:rPr>
          <w:lang w:val="en-GB"/>
        </w:rPr>
        <w:t xml:space="preserve"> was 5x longer than the total scan time of the voltage sweep</w:t>
      </w:r>
      <w:r w:rsidRPr="00350E0F">
        <w:rPr>
          <w:rFonts w:cstheme="minorHAnsi"/>
          <w:lang w:val="en-GB"/>
        </w:rPr>
        <w:t xml:space="preserve">. The scan speed time was thereby varied and the voltage response of the cell measured with an Siglent SDS1202X USB Oscilloscope, using an external load resistance of 10 Ohm. The voltage pulse was supplied by an </w:t>
      </w:r>
      <w:r>
        <w:rPr>
          <w:rFonts w:cstheme="minorHAnsi"/>
          <w:lang w:val="en-GB"/>
        </w:rPr>
        <w:t>SDG1000X</w:t>
      </w:r>
      <w:r w:rsidRPr="00350E0F">
        <w:rPr>
          <w:rFonts w:cstheme="minorHAnsi"/>
          <w:lang w:val="en-GB"/>
        </w:rPr>
        <w:t xml:space="preserve"> Siglent function generator in combination with a home-built power amplifier (4x).</w:t>
      </w:r>
    </w:p>
    <w:p w14:paraId="53919103" w14:textId="77777777" w:rsidR="00345759" w:rsidRPr="00350E0F" w:rsidRDefault="00345759" w:rsidP="00345759">
      <w:pPr>
        <w:jc w:val="both"/>
        <w:rPr>
          <w:rFonts w:cstheme="minorHAnsi"/>
          <w:lang w:val="en-GB"/>
        </w:rPr>
      </w:pPr>
      <w:r w:rsidRPr="00205EC2">
        <w:rPr>
          <w:rFonts w:cstheme="minorHAnsi"/>
          <w:b/>
          <w:lang w:val="en-GB"/>
        </w:rPr>
        <w:t xml:space="preserve">Bias-assisted charge extraction (BACE):  </w:t>
      </w:r>
      <w:r w:rsidRPr="00205EC2">
        <w:rPr>
          <w:rFonts w:cstheme="minorHAnsi"/>
          <w:lang w:val="en-GB"/>
        </w:rPr>
        <w:t>In dark BACE, the device was initially held at a voltage close to the open-circuit voltage (</w:t>
      </w:r>
      <m:oMath>
        <m:sSub>
          <m:sSubPr>
            <m:ctrlPr>
              <w:rPr>
                <w:rFonts w:ascii="Cambria Math" w:hAnsi="Cambria Math" w:cstheme="minorHAnsi"/>
                <w:i/>
                <w:lang w:val="en-GB" w:eastAsia="de-DE"/>
              </w:rPr>
            </m:ctrlPr>
          </m:sSubPr>
          <m:e>
            <m:r>
              <w:rPr>
                <w:rFonts w:ascii="Cambria Math" w:hAnsi="Cambria Math" w:cstheme="minorHAnsi"/>
                <w:lang w:val="en-GB"/>
              </w:rPr>
              <m:t>V</m:t>
            </m:r>
          </m:e>
          <m:sub>
            <m:r>
              <m:rPr>
                <m:sty m:val="p"/>
              </m:rPr>
              <w:rPr>
                <w:rFonts w:ascii="Cambria Math" w:hAnsi="Cambria Math" w:cstheme="minorHAnsi"/>
                <w:lang w:val="en-GB"/>
              </w:rPr>
              <m:t>pre</m:t>
            </m:r>
          </m:sub>
        </m:sSub>
      </m:oMath>
      <w:r w:rsidRPr="00205EC2">
        <w:rPr>
          <w:rFonts w:cstheme="minorHAnsi"/>
          <w:lang w:val="en-GB"/>
        </w:rPr>
        <w:t xml:space="preserve">) where the injected charge equals the short-circuit current. After a pre-set delay time, a bias </w:t>
      </w:r>
      <m:oMath>
        <m:sSub>
          <m:sSubPr>
            <m:ctrlPr>
              <w:rPr>
                <w:rFonts w:ascii="Cambria Math" w:hAnsi="Cambria Math" w:cstheme="minorHAnsi"/>
                <w:i/>
                <w:lang w:val="en-GB" w:eastAsia="de-DE"/>
              </w:rPr>
            </m:ctrlPr>
          </m:sSubPr>
          <m:e>
            <m:r>
              <w:rPr>
                <w:rFonts w:ascii="Cambria Math" w:hAnsi="Cambria Math" w:cstheme="minorHAnsi"/>
                <w:lang w:val="en-GB"/>
              </w:rPr>
              <m:t>V</m:t>
            </m:r>
          </m:e>
          <m:sub>
            <m:r>
              <m:rPr>
                <m:sty m:val="p"/>
              </m:rPr>
              <w:rPr>
                <w:rFonts w:ascii="Cambria Math" w:hAnsi="Cambria Math" w:cstheme="minorHAnsi"/>
                <w:lang w:val="en-GB"/>
              </w:rPr>
              <m:t>coll</m:t>
            </m:r>
          </m:sub>
        </m:sSub>
      </m:oMath>
      <w:r w:rsidRPr="00205EC2">
        <w:rPr>
          <w:rFonts w:cstheme="minorHAnsi"/>
          <w:lang w:val="en-GB" w:eastAsia="de-DE"/>
        </w:rPr>
        <w:t xml:space="preserve"> </w:t>
      </w:r>
      <w:r w:rsidRPr="00205EC2">
        <w:rPr>
          <w:rFonts w:cstheme="minorHAnsi"/>
          <w:lang w:val="en-GB"/>
        </w:rPr>
        <w:t xml:space="preserve">= 0V (or a reverse bias), was applied to extract the injected and </w:t>
      </w:r>
      <w:r>
        <w:rPr>
          <w:rFonts w:cstheme="minorHAnsi"/>
          <w:lang w:val="en-GB"/>
        </w:rPr>
        <w:t>capacitive charge in the device</w:t>
      </w:r>
      <w:r w:rsidRPr="00205EC2">
        <w:rPr>
          <w:rFonts w:cstheme="minorHAnsi"/>
          <w:lang w:val="en-GB"/>
        </w:rPr>
        <w:t xml:space="preserve">. </w:t>
      </w:r>
      <w:r>
        <w:rPr>
          <w:rFonts w:cstheme="minorHAnsi"/>
          <w:lang w:val="en-GB"/>
        </w:rPr>
        <w:t xml:space="preserve">The delay times was chosen to be typically 5x longer than the extraction time of charges observed under the collection bias (typically 50 s to 1000 s) in order to allow ionic charges to distribute throughout the active layer. </w:t>
      </w:r>
      <w:r w:rsidRPr="00205EC2">
        <w:rPr>
          <w:rFonts w:cstheme="minorHAnsi"/>
          <w:lang w:val="en-GB"/>
        </w:rPr>
        <w:t xml:space="preserve">The current transients were measured </w:t>
      </w:r>
      <w:r>
        <w:rPr>
          <w:rFonts w:cstheme="minorHAnsi"/>
          <w:lang w:val="en-GB"/>
        </w:rPr>
        <w:t>with a Keithley 2400 using a home-built LabView program</w:t>
      </w:r>
      <w:r w:rsidRPr="00205EC2">
        <w:rPr>
          <w:rFonts w:cstheme="minorHAnsi"/>
          <w:lang w:val="en-GB"/>
        </w:rPr>
        <w:t xml:space="preserve">. </w:t>
      </w:r>
      <w:r>
        <w:rPr>
          <w:rFonts w:cstheme="minorHAnsi"/>
          <w:lang w:val="en-GB"/>
        </w:rPr>
        <w:t>The use of a current-meter was found to be necessary over an oscilloscope to resolve the small ion drift currents and we note that no significant difference were observed when the measurements were performed with a Keithley 485 Picoamperemeter instead of the Keithley 2400. Finally, t</w:t>
      </w:r>
      <w:r w:rsidRPr="00205EC2">
        <w:rPr>
          <w:rFonts w:cstheme="minorHAnsi"/>
          <w:lang w:val="en-GB"/>
        </w:rPr>
        <w:t>he extracted charge was obtained by int</w:t>
      </w:r>
      <w:r>
        <w:rPr>
          <w:rFonts w:cstheme="minorHAnsi"/>
          <w:lang w:val="en-GB"/>
        </w:rPr>
        <w:t xml:space="preserve">egrating the current transient and the charge carrier density by dividing the total charge by the elementary charge and the cell volume. </w:t>
      </w:r>
    </w:p>
    <w:p w14:paraId="1274FF2E" w14:textId="77777777" w:rsidR="00345759" w:rsidRPr="00205EC2" w:rsidRDefault="00345759" w:rsidP="00345759">
      <w:pPr>
        <w:jc w:val="both"/>
        <w:rPr>
          <w:rFonts w:cstheme="minorHAnsi"/>
          <w:lang w:val="en-GB"/>
        </w:rPr>
      </w:pPr>
      <w:r w:rsidRPr="00205EC2">
        <w:rPr>
          <w:rFonts w:cstheme="minorHAnsi"/>
          <w:b/>
          <w:lang w:val="en-GB"/>
        </w:rPr>
        <w:lastRenderedPageBreak/>
        <w:t xml:space="preserve">Charge extraction by linearly increasing voltage (dark-CELIV): </w:t>
      </w:r>
      <w:r w:rsidRPr="00205EC2">
        <w:rPr>
          <w:rFonts w:cstheme="minorHAnsi"/>
          <w:lang w:val="en-GB"/>
        </w:rPr>
        <w:t>In dark dark-CELIV the device was initially held at short-circuit conditions. Then the voltage was linearly increased to minus 0.4 V (in reverse bias) using a pulse generator. The slope (</w:t>
      </w:r>
      <m:oMath>
        <m:r>
          <w:rPr>
            <w:rFonts w:ascii="Cambria Math" w:hAnsi="Cambria Math" w:cstheme="minorHAnsi"/>
            <w:lang w:val="en-GB"/>
          </w:rPr>
          <m:t>S</m:t>
        </m:r>
      </m:oMath>
      <w:r w:rsidRPr="00205EC2">
        <w:rPr>
          <w:rFonts w:cstheme="minorHAnsi"/>
          <w:lang w:val="en-GB"/>
        </w:rPr>
        <w:t xml:space="preserve">) was thereby varied to assess a wide timescale range. The current transients were recorded with an oscilloscope (Agilent DSO9104H) and measured with a variable load resistance (50 Ω at short 10 µs pulse and up to 10 kΩ at 100 ms pulses) to keep the voltage response approximately constant. The increased load resistance reduces the time resolution at short times but allows to record the response for long pulses. The continuous increase of the electrode charge leads to a step-like voltage response. The voltage response step of the cell is given by </w:t>
      </w:r>
      <m:oMath>
        <m:r>
          <m:rPr>
            <m:sty m:val="p"/>
          </m:rPr>
          <w:rPr>
            <w:rFonts w:ascii="Cambria Math" w:hAnsi="Cambria Math" w:cstheme="minorHAnsi"/>
            <w:lang w:val="en-GB"/>
          </w:rPr>
          <m:t>Δ</m:t>
        </m:r>
        <m:r>
          <w:rPr>
            <w:rFonts w:ascii="Cambria Math" w:hAnsi="Cambria Math" w:cstheme="minorHAnsi"/>
            <w:lang w:val="en-GB"/>
          </w:rPr>
          <m:t>V=A</m:t>
        </m:r>
        <m:sSub>
          <m:sSubPr>
            <m:ctrlPr>
              <w:rPr>
                <w:rFonts w:ascii="Cambria Math" w:hAnsi="Cambria Math" w:cstheme="minorHAnsi"/>
                <w:i/>
                <w:lang w:val="en-GB"/>
              </w:rPr>
            </m:ctrlPr>
          </m:sSubPr>
          <m:e>
            <m:r>
              <w:rPr>
                <w:rFonts w:ascii="Cambria Math" w:hAnsi="Cambria Math" w:cstheme="minorHAnsi"/>
                <w:lang w:val="en-GB"/>
              </w:rPr>
              <m:t>R</m:t>
            </m:r>
          </m:e>
          <m:sub>
            <m:r>
              <w:rPr>
                <w:rFonts w:ascii="Cambria Math" w:hAnsi="Cambria Math" w:cstheme="minorHAnsi"/>
                <w:lang w:val="en-GB"/>
              </w:rPr>
              <m:t>load</m:t>
            </m:r>
          </m:sub>
        </m:sSub>
        <m:r>
          <w:rPr>
            <w:rFonts w:ascii="Cambria Math" w:hAnsi="Cambria Math" w:cstheme="minorHAnsi"/>
            <w:lang w:val="en-GB"/>
          </w:rPr>
          <m:t>C</m:t>
        </m:r>
      </m:oMath>
      <w:r w:rsidRPr="00205EC2">
        <w:rPr>
          <w:rFonts w:cstheme="minorHAnsi"/>
          <w:lang w:val="en-GB"/>
        </w:rPr>
        <w:t xml:space="preserve"> from which we calculated the capacitance of the cell (</w:t>
      </w:r>
      <w:r w:rsidRPr="00205EC2">
        <w:rPr>
          <w:rFonts w:cstheme="minorHAnsi"/>
          <w:i/>
          <w:lang w:val="en-GB"/>
        </w:rPr>
        <w:t>C</w:t>
      </w:r>
      <w:r w:rsidRPr="00205EC2">
        <w:rPr>
          <w:rFonts w:cstheme="minorHAnsi"/>
          <w:lang w:val="en-GB"/>
        </w:rPr>
        <w:t xml:space="preserve">). Equilibrium charges in the active layer (doping-induced electronic charge or mobile ions) lead to an additional bump in the </w:t>
      </w:r>
      <w:r>
        <w:rPr>
          <w:rFonts w:cstheme="minorHAnsi"/>
          <w:lang w:val="en-GB"/>
        </w:rPr>
        <w:t xml:space="preserve">voltage response. </w:t>
      </w:r>
    </w:p>
    <w:p w14:paraId="2D6E338C" w14:textId="77777777" w:rsidR="00345759" w:rsidRPr="00C14AB4" w:rsidRDefault="00345759" w:rsidP="00345759">
      <w:pPr>
        <w:jc w:val="both"/>
      </w:pPr>
      <w:r w:rsidRPr="00205EC2">
        <w:rPr>
          <w:b/>
          <w:lang w:val="en-GB"/>
        </w:rPr>
        <w:t xml:space="preserve">Numerical drift-diffusion simulations: </w:t>
      </w:r>
      <w:r w:rsidRPr="00205EC2">
        <w:rPr>
          <w:lang w:val="en-GB"/>
        </w:rPr>
        <w:t>The simulations were performed using</w:t>
      </w:r>
      <w:r>
        <w:rPr>
          <w:lang w:val="en-GB"/>
        </w:rPr>
        <w:t xml:space="preserve"> SETFOS</w:t>
      </w:r>
      <w:r>
        <w:rPr>
          <w:lang w:val="en-GB"/>
        </w:rPr>
        <w:fldChar w:fldCharType="begin" w:fldLock="1"/>
      </w:r>
      <w:r>
        <w:rPr>
          <w:lang w:val="en-GB"/>
        </w:rPr>
        <w:instrText>ADDIN CSL_CITATION {"citationItems":[{"id":"ITEM-1","itemData":{"DOI":"10.1109/PVSC40753.2019.8980824","ISBN":"978-1-7281-0494-2","ISSN":"01608371","abstract":"We discuss the numerical optimization of organic and hybrid multijunction solar cell devices, using an integrated optoelectronic device simulation approach that captures the essential properties of the complex multilayer structures, such as, light scattering at both macroscopic and rough thin film textures, resonator effects in coherent stacks, and the impact of organic interface properties for the design of efficient recombination layers. The optimization capabilities of the numerical device simulation framework are illustrated on the examples of textured perovskite-silicon and all-organic tandem solar cells.","author":[{"dropping-particle":"","family":"Aeberhard","given":"Urs","non-dropping-particle":"","parse-names":false,"suffix":""},{"dropping-particle":"","family":"Altazin","given":"Stephane","non-dropping-particle":"","parse-names":false,"suffix":""},{"dropping-particle":"","family":"Stepanova","given":"Lidia","non-dropping-particle":"","parse-names":false,"suffix":""},{"dropping-particle":"","family":"Stous","given":"Alexandre","non-dropping-particle":"","parse-names":false,"suffix":""},{"dropping-particle":"","family":"Blulle","given":"Balthasar","non-dropping-particle":"","parse-names":false,"suffix":""},{"dropping-particle":"","family":"Kirsch","given":"Christoph","non-dropping-particle":"","parse-names":false,"suffix":""},{"dropping-particle":"","family":"Knapp","given":"Evelyne","non-dropping-particle":"","parse-names":false,"suffix":""},{"dropping-particle":"","family":"Ruhstaller","given":"Beat","non-dropping-particle":"","parse-names":false,"suffix":""}],"container-title":"2019 IEEE 46th Photovoltaic Specialists Conference (PVSC)","id":"ITEM-1","issued":{"date-parts":[["2019","6"]]},"page":"0105-0111","publisher":"IEEE","title":"Numerical Optimization of Organic and Hybrid Multijunction Solar Cells","type":"paper-conference"},"uris":["http://www.mendeley.com/documents/?uuid=7be570f0-ce13-4efd-8ea0-668f9d096a53"]}],"mendeley":{"formattedCitation":"&lt;sup&gt;1&lt;/sup&gt;","plainTextFormattedCitation":"1","previouslyFormattedCitation":"&lt;sup&gt;1&lt;/sup&gt;"},"properties":{"noteIndex":0},"schema":"https://github.com/citation-style-language/schema/raw/master/csl-citation.json"}</w:instrText>
      </w:r>
      <w:r>
        <w:rPr>
          <w:lang w:val="en-GB"/>
        </w:rPr>
        <w:fldChar w:fldCharType="separate"/>
      </w:r>
      <w:r w:rsidRPr="00F261CA">
        <w:rPr>
          <w:noProof/>
          <w:vertAlign w:val="superscript"/>
          <w:lang w:val="en-GB"/>
        </w:rPr>
        <w:t>1</w:t>
      </w:r>
      <w:r>
        <w:rPr>
          <w:lang w:val="en-GB"/>
        </w:rPr>
        <w:fldChar w:fldCharType="end"/>
      </w:r>
      <w:r>
        <w:rPr>
          <w:lang w:val="en-GB"/>
        </w:rPr>
        <w:t xml:space="preserve"> and</w:t>
      </w:r>
      <w:r w:rsidRPr="00205EC2">
        <w:rPr>
          <w:lang w:val="en-GB"/>
        </w:rPr>
        <w:t xml:space="preserve"> IonMonger, an open-source code developed by Nicola Courtier et al.</w:t>
      </w:r>
      <w:r w:rsidRPr="00205EC2">
        <w:rPr>
          <w:lang w:val="en-GB"/>
        </w:rPr>
        <w:fldChar w:fldCharType="begin" w:fldLock="1"/>
      </w:r>
      <w:r>
        <w:rPr>
          <w:lang w:val="en-GB"/>
        </w:rPr>
        <w:instrText>ADDIN CSL_CITATION {"citationItems":[{"id":"ITEM-1","itemData":{"DOI":"10.1007/s10825-019-01396-2","ISBN":"0123456789","ISSN":"15728137","abstract":"Details of an open-source planar perovskite solar cell simulator, which includes ion vacancy migration within the perovskite layer coupled to charge carrier transport throughout the perovskite and adjoining transport layers in one dimension, are presented. The model equations are discretised in space using a finite element scheme, and temporal integration of the resulting system of differential algebraic equations is carried out in MATLAB. The user is free to modify device parameters, as well as the incident illumination and applied voltage. Time-varying voltage and/or illumination protocols can be specified, e.g. to simulate current–voltage sweeps, or to track the open-circuit conditions as the illumination is varied. Typical simulations, e.g. current–voltage sweeps, only require computation times of seconds to minutes on a modern personal computer. An example set of hysteretic current–voltage curves is presented.","author":[{"dropping-particle":"","family":"Courtier","given":"N. E.","non-dropping-particle":"","parse-names":false,"suffix":""},{"dropping-particle":"","family":"Cave","given":"J. M.","non-dropping-particle":"","parse-names":false,"suffix":""},{"dropping-particle":"","family":"Walker","given":"A. B.","non-dropping-particle":"","parse-names":false,"suffix":""},{"dropping-particle":"","family":"Richardson","given":"G.","non-dropping-particle":"","parse-names":false,"suffix":""},{"dropping-particle":"","family":"Foster","given":"J. M.","non-dropping-particle":"","parse-names":false,"suffix":""}],"container-title":"Journal of Computational Electronics","id":"ITEM-1","issue":"4","issued":{"date-parts":[["2019"]]},"page":"1435-1449","publisher":"Springer US","title":"IonMonger: a free and fast planar perovskite solar cell simulator with coupled ion vacancy and charge carrier dynamics","type":"article-journal","volume":"18"},"uris":["http://www.mendeley.com/documents/?uuid=82495403-4643-4bf8-8e4e-0c4ebdc33191"]}],"mendeley":{"formattedCitation":"&lt;sup&gt;2&lt;/sup&gt;","plainTextFormattedCitation":"2","previouslyFormattedCitation":"&lt;sup&gt;2&lt;/sup&gt;"},"properties":{"noteIndex":0},"schema":"https://github.com/citation-style-language/schema/raw/master/csl-citation.json"}</w:instrText>
      </w:r>
      <w:r w:rsidRPr="00205EC2">
        <w:rPr>
          <w:vertAlign w:val="superscript"/>
          <w:lang w:val="en-GB"/>
        </w:rPr>
        <w:fldChar w:fldCharType="separate"/>
      </w:r>
      <w:r w:rsidRPr="00F261CA">
        <w:rPr>
          <w:noProof/>
          <w:vertAlign w:val="superscript"/>
          <w:lang w:val="en-GB"/>
        </w:rPr>
        <w:t>2</w:t>
      </w:r>
      <w:r w:rsidRPr="00205EC2">
        <w:rPr>
          <w:lang w:val="en-GB"/>
        </w:rPr>
        <w:fldChar w:fldCharType="end"/>
      </w:r>
      <w:r w:rsidRPr="00205EC2">
        <w:rPr>
          <w:lang w:val="en-GB"/>
        </w:rPr>
        <w:t xml:space="preserve"> </w:t>
      </w:r>
      <w:r>
        <w:rPr>
          <w:lang w:val="en-GB"/>
        </w:rPr>
        <w:t xml:space="preserve">Both programs </w:t>
      </w:r>
      <w:r w:rsidRPr="00205EC2">
        <w:t>numerically solves a system of three coupled equations, namely the Poisson equation, the continuity equation and the drift-diffusion equation.</w:t>
      </w:r>
      <w:r>
        <w:fldChar w:fldCharType="begin" w:fldLock="1"/>
      </w:r>
      <w:r>
        <w:instrText>ADDIN CSL_CITATION {"citationItems":[{"id":"ITEM-1","itemData":{"DOI":"10.1002/solr.202100219","ISSN":"2367-198X","abstract":"Predicting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Diekmann","given":"Jonas","non-dropping-particle":"","parse-names":false,"suffix":""},{"dropping-particle":"","family":"Caprioglio","given":"Pietro","non-dropping-particle":"","parse-names":false,"suffix":""},{"dropping-particle":"","family":"Futscher","given":"Moritz H.","non-dropping-particle":"","parse-names":false,"suffix":""},{"dropping-particle":"","family":"Corre","given":"Vincent M.","non-dropping-particle":"Le","parse-names":false,"suffix":""},{"dropping-particle":"","family":"Reichert","given":"Sebastian","non-dropping-particle":"","parse-names":false,"suffix":""},{"dropping-particle":"","family":"Jaiser","given":"Frank","non-dropping-particle":"","parse-names":false,"suffix":""},{"dropping-particle":"","family":"Arvind","given":"Malavika","non-dropping-particle":"","parse-names":false,"suffix":""},{"dropping-particle":"","family":"Toro","given":"Lorena Perdigón","non-dropping-particle":"","parse-names":false,"suffix":""},{"dropping-particle":"","family":"Gutierrez-Partida","given":"Emilio","non-dropping-particle":"","parse-names":false,"suffix":""},{"dropping-particle":"","family":"Peña-Camargo","given":"Francisco","non-dropping-particle":"","parse-names":false,"suffix":""},{"dropping-particle":"","family":"Deibel","given":"Carsten","non-dropping-particle":"","parse-names":false,"suffix":""},{"dropping-particle":"","family":"Ehrler","given":"Bruno","non-dropping-particle":"","parse-names":false,"suffix":""},{"dropping-particle":"","family":"Unold","given":"Thomas","non-dropping-particle":"","parse-names":false,"suffix":""},{"dropping-particle":"","family":"Kirchartz","given":"Thomas","non-dropping-particle":"","parse-names":false,"suffix":""},{"dropping-particle":"","family":"Neher","given":"Dieter","non-dropping-particle":"","parse-names":false,"suffix":""},{"dropping-particle":"","family":"Stolterfoht","given":"Martin","non-dropping-particle":"","parse-names":false,"suffix":""}],"container-title":"Solar RRL","id":"ITEM-1","issue":"8","issued":{"date-parts":[["2021","8","3"]]},"page":"2100219","title":"Pathways toward 30% Efficient Single‐Junction Perovskite Solar Cells and the Role of Mobile Ions","type":"article-journal","volume":"5"},"uris":["http://www.mendeley.com/documents/?uuid=4f2e8eb8-a5dc-4ac6-b619-63ef493b9055"]}],"mendeley":{"formattedCitation":"&lt;sup&gt;3&lt;/sup&gt;","plainTextFormattedCitation":"3","previouslyFormattedCitation":"&lt;sup&gt;3&lt;/sup&gt;"},"properties":{"noteIndex":0},"schema":"https://github.com/citation-style-language/schema/raw/master/csl-citation.json"}</w:instrText>
      </w:r>
      <w:r>
        <w:fldChar w:fldCharType="separate"/>
      </w:r>
      <w:r w:rsidRPr="00F261CA">
        <w:rPr>
          <w:noProof/>
          <w:vertAlign w:val="superscript"/>
        </w:rPr>
        <w:t>3</w:t>
      </w:r>
      <w:r>
        <w:fldChar w:fldCharType="end"/>
      </w:r>
      <w:r w:rsidRPr="00205EC2">
        <w:t xml:space="preserve"> </w:t>
      </w:r>
    </w:p>
    <w:p w14:paraId="77BC3F4C" w14:textId="77777777" w:rsidR="00345759" w:rsidRPr="00B20DB6" w:rsidRDefault="00345759" w:rsidP="00345759">
      <w:pPr>
        <w:jc w:val="both"/>
      </w:pPr>
      <w:r w:rsidRPr="00B20DB6">
        <w:rPr>
          <w:b/>
        </w:rPr>
        <w:t>Absolute Photoluminescence Measurements:</w:t>
      </w:r>
      <w:r w:rsidRPr="00B20DB6">
        <w:t xml:space="preserve"> Excitation for the PL measurements was performed with a 520 nm CW laser (Insaneware) through an optical fibre into an integrating sphere. The intensity of the laser was adjusted to a 1 sun equivalent intensity by illuminating a 1 cm</w:t>
      </w:r>
      <w:r w:rsidRPr="00B20DB6">
        <w:rPr>
          <w:vertAlign w:val="superscript"/>
        </w:rPr>
        <w:t>2</w:t>
      </w:r>
      <w:r w:rsidRPr="00B20DB6">
        <w:t xml:space="preserve"> -size perovskite solar cell under short-circuit and matching the current density to the </w:t>
      </w:r>
      <w:r w:rsidRPr="00B20DB6">
        <w:rPr>
          <w:rFonts w:ascii="Cambria Math" w:hAnsi="Cambria Math" w:cs="Cambria Math"/>
        </w:rPr>
        <w:t>𝐽</w:t>
      </w:r>
      <w:r w:rsidRPr="00B20DB6">
        <w:rPr>
          <w:vertAlign w:val="subscript"/>
        </w:rPr>
        <w:t>SC</w:t>
      </w:r>
      <w:r w:rsidRPr="00B20DB6">
        <w:t xml:space="preserve"> under the sun simulator for the 83-17 triple cation device (22.0 mA/cm</w:t>
      </w:r>
      <w:r w:rsidRPr="00B20DB6">
        <w:rPr>
          <w:vertAlign w:val="superscript"/>
        </w:rPr>
        <w:t>2</w:t>
      </w:r>
      <w:r w:rsidRPr="00B20DB6">
        <w:t xml:space="preserve"> at 100 mWcm</w:t>
      </w:r>
      <w:r w:rsidRPr="00B20DB6">
        <w:rPr>
          <w:vertAlign w:val="superscript"/>
        </w:rPr>
        <w:t>-2</w:t>
      </w:r>
      <w:r w:rsidRPr="00B20DB6">
        <w:t>, or 1.375x10</w:t>
      </w:r>
      <w:r w:rsidRPr="00B20DB6">
        <w:rPr>
          <w:vertAlign w:val="superscript"/>
        </w:rPr>
        <w:t>21</w:t>
      </w:r>
      <w:r w:rsidRPr="00B20DB6">
        <w:t xml:space="preserve"> photons m</w:t>
      </w:r>
      <w:r w:rsidRPr="00B20DB6">
        <w:rPr>
          <w:vertAlign w:val="superscript"/>
        </w:rPr>
        <w:t>-2</w:t>
      </w:r>
      <w:r w:rsidRPr="00B20DB6">
        <w:t xml:space="preserve"> s</w:t>
      </w:r>
      <w:r w:rsidRPr="00B20DB6">
        <w:rPr>
          <w:vertAlign w:val="superscript"/>
        </w:rPr>
        <w:t>-1</w:t>
      </w:r>
      <w:r w:rsidRPr="00B20DB6">
        <w:t>). A second optical fiber was used from the output of the integrating sphere to an Andor SR393iB spectrometer equipped with a silicon CCD camera (DU420A-BR-DD, iDus). The system was calibrated by using a calibrated halogen lamp with specified spectral irradiance, which was shone into to integrating sphere. A spectral correction factor was established to match the spectral output of the detector to the calibrated spectral irradiance of the lamp. The spectral photon density was obtained from the corrected detector signal (spectral irradiance) by division through the photon energy (</w:t>
      </w:r>
      <w:r w:rsidRPr="00B20DB6">
        <w:rPr>
          <w:rFonts w:ascii="Cambria Math" w:hAnsi="Cambria Math" w:cs="Cambria Math"/>
        </w:rPr>
        <w:t>ℎ𝑓</w:t>
      </w:r>
      <w:r w:rsidRPr="00B20DB6">
        <w:t>), and the photon numbers of the excitation and emission obtained from numerical integration using Matlab. In a last step, three fluorescent test samples with high specified PLQY (~70%) supplied from Hamamatsu Photonics where measured where the specified value could be accurately reproduced within a small relative error of less than 5%.</w:t>
      </w:r>
    </w:p>
    <w:p w14:paraId="0BD544B8" w14:textId="77777777" w:rsidR="00345759" w:rsidRDefault="00345759" w:rsidP="00345759">
      <w:pPr>
        <w:jc w:val="both"/>
      </w:pPr>
      <w:r w:rsidRPr="00B20DB6">
        <w:rPr>
          <w:b/>
        </w:rPr>
        <w:t>Photoemission Spectroscopy Measurements:</w:t>
      </w:r>
      <w:r w:rsidRPr="00B20DB6">
        <w:t xml:space="preserve"> Photoemission experiments were performed at an ultrahigh vacuum (UHV) system consisting of sample preparation and analysis chambers (both at base pressure: 1 × 10</w:t>
      </w:r>
      <w:r w:rsidRPr="00B20DB6">
        <w:rPr>
          <w:vertAlign w:val="superscript"/>
        </w:rPr>
        <w:t>−10</w:t>
      </w:r>
      <w:r w:rsidRPr="00B20DB6">
        <w:t xml:space="preserve"> mbar) as well as a load lock (base pressure: 1 × 10</w:t>
      </w:r>
      <w:r w:rsidRPr="00B20DB6">
        <w:rPr>
          <w:vertAlign w:val="superscript"/>
        </w:rPr>
        <w:t>−6</w:t>
      </w:r>
      <w:r w:rsidRPr="00B20DB6">
        <w:t xml:space="preserve"> mbar). All of the samples were transferred to the UHV chamber using a transfer rod under rough vacuum (1 × 10</w:t>
      </w:r>
      <w:r w:rsidRPr="00B20DB6">
        <w:rPr>
          <w:vertAlign w:val="superscript"/>
        </w:rPr>
        <w:t>−3</w:t>
      </w:r>
      <w:r w:rsidRPr="00B20DB6">
        <w:t xml:space="preserve"> mbar). Ultraviolet photoemission spectroscopy (UPS) was performed using a helium discharge lamp (21.22 eV) with a filter to reduce the photoflux and to block visible light from the source hitting the sample. All spectra were recorded at room temperature and normal emission using a hemispherical Specs Phoibos 100 analyzer, and the overall energy resolution was 140 meV. </w:t>
      </w:r>
    </w:p>
    <w:p w14:paraId="0FB9EEEF" w14:textId="77777777" w:rsidR="00345759" w:rsidRDefault="00345759" w:rsidP="00345759">
      <w:pPr>
        <w:autoSpaceDE w:val="0"/>
        <w:autoSpaceDN w:val="0"/>
        <w:adjustRightInd w:val="0"/>
        <w:spacing w:after="0"/>
        <w:jc w:val="both"/>
        <w:rPr>
          <w:rFonts w:ascii="Calibri" w:hAnsi="Calibri" w:cs="Calibri"/>
        </w:rPr>
      </w:pPr>
      <w:r w:rsidRPr="00766426">
        <w:rPr>
          <w:rFonts w:ascii="Calibri" w:hAnsi="Calibri" w:cs="Calibri"/>
          <w:b/>
        </w:rPr>
        <w:t>Light aging:</w:t>
      </w:r>
      <w:r>
        <w:rPr>
          <w:rFonts w:ascii="Calibri" w:hAnsi="Calibri" w:cs="Calibri"/>
        </w:rPr>
        <w:t xml:space="preserve"> Light aging under open-circuit conditions was performed in a dedicated aging box in the glovebox under N</w:t>
      </w:r>
      <w:r w:rsidRPr="00766426">
        <w:rPr>
          <w:rFonts w:ascii="Calibri" w:hAnsi="Calibri" w:cs="Calibri"/>
          <w:vertAlign w:val="subscript"/>
        </w:rPr>
        <w:t>2</w:t>
      </w:r>
      <w:r>
        <w:rPr>
          <w:rFonts w:ascii="Calibri" w:hAnsi="Calibri" w:cs="Calibri"/>
        </w:rPr>
        <w:t xml:space="preserve"> atmosphere under using white LED array </w:t>
      </w:r>
      <w:r w:rsidRPr="00164795">
        <w:rPr>
          <w:rFonts w:ascii="Calibri" w:hAnsi="Calibri" w:cs="Calibri"/>
        </w:rPr>
        <w:t>illumination</w:t>
      </w:r>
      <w:r>
        <w:rPr>
          <w:rFonts w:ascii="Calibri" w:hAnsi="Calibri" w:cs="Calibri"/>
        </w:rPr>
        <w:t xml:space="preserve"> providing a 1 sun equivalent intensity by matching the initial current of the cell to the </w:t>
      </w:r>
      <w:r w:rsidRPr="00164795">
        <w:rPr>
          <w:rFonts w:ascii="Calibri" w:hAnsi="Calibri" w:cs="Calibri"/>
          <w:i/>
        </w:rPr>
        <w:t>J</w:t>
      </w:r>
      <w:r w:rsidRPr="00164795">
        <w:rPr>
          <w:rFonts w:ascii="Calibri" w:hAnsi="Calibri" w:cs="Calibri"/>
          <w:vertAlign w:val="subscript"/>
        </w:rPr>
        <w:t>SC</w:t>
      </w:r>
      <w:r>
        <w:rPr>
          <w:rFonts w:ascii="Calibri" w:hAnsi="Calibri" w:cs="Calibri"/>
        </w:rPr>
        <w:t xml:space="preserve">. The intensity of the LED was checked using a photodiode and remained stable over the course of the course of the measurement timescale (~24 h) in a sample holder. The cells were cooled to 25 °C over the course of the measurement using a Peltier element, however, no significant changes in the degradation was observed without additional cooling.   </w:t>
      </w:r>
    </w:p>
    <w:p w14:paraId="6B10011E" w14:textId="77777777" w:rsidR="00345759" w:rsidRDefault="00345759" w:rsidP="00345759">
      <w:pPr>
        <w:jc w:val="both"/>
      </w:pPr>
    </w:p>
    <w:p w14:paraId="6007C1E0" w14:textId="77777777" w:rsidR="00345759" w:rsidRDefault="00345759" w:rsidP="00345759">
      <w:pPr>
        <w:autoSpaceDE w:val="0"/>
        <w:autoSpaceDN w:val="0"/>
        <w:adjustRightInd w:val="0"/>
        <w:spacing w:after="0"/>
        <w:jc w:val="both"/>
        <w:rPr>
          <w:rFonts w:ascii="Calibri" w:hAnsi="Calibri" w:cs="Calibri"/>
        </w:rPr>
      </w:pPr>
      <w:r>
        <w:rPr>
          <w:rFonts w:ascii="Calibri" w:hAnsi="Calibri" w:cs="Calibri"/>
          <w:b/>
        </w:rPr>
        <w:t xml:space="preserve">Voltage and temperature aging: </w:t>
      </w:r>
      <w:r>
        <w:rPr>
          <w:rFonts w:cstheme="minorHAnsi"/>
          <w:lang w:val="en-GB"/>
        </w:rPr>
        <w:t>Voltage aging was performed by applying a voltage slightly above the</w:t>
      </w:r>
      <w:r w:rsidRPr="00205EC2">
        <w:rPr>
          <w:rFonts w:cstheme="minorHAnsi"/>
          <w:lang w:val="en-GB"/>
        </w:rPr>
        <w:t xml:space="preserve"> open-circuit voltage (</w:t>
      </w:r>
      <m:oMath>
        <m:sSub>
          <m:sSubPr>
            <m:ctrlPr>
              <w:rPr>
                <w:rFonts w:ascii="Cambria Math" w:hAnsi="Cambria Math" w:cstheme="minorHAnsi"/>
                <w:i/>
                <w:lang w:val="en-GB" w:eastAsia="de-DE"/>
              </w:rPr>
            </m:ctrlPr>
          </m:sSubPr>
          <m:e>
            <m:r>
              <w:rPr>
                <w:rFonts w:ascii="Cambria Math" w:hAnsi="Cambria Math" w:cstheme="minorHAnsi"/>
                <w:lang w:val="en-GB"/>
              </w:rPr>
              <m:t>V</m:t>
            </m:r>
          </m:e>
          <m:sub>
            <m:r>
              <m:rPr>
                <m:sty m:val="p"/>
              </m:rPr>
              <w:rPr>
                <w:rFonts w:ascii="Cambria Math" w:hAnsi="Cambria Math" w:cstheme="minorHAnsi"/>
                <w:lang w:val="en-GB"/>
              </w:rPr>
              <m:t>pre</m:t>
            </m:r>
          </m:sub>
        </m:sSub>
      </m:oMath>
      <w:r w:rsidRPr="00205EC2">
        <w:rPr>
          <w:rFonts w:cstheme="minorHAnsi"/>
          <w:lang w:val="en-GB"/>
        </w:rPr>
        <w:t xml:space="preserve">) </w:t>
      </w:r>
      <w:r>
        <w:rPr>
          <w:rFonts w:cstheme="minorHAnsi"/>
          <w:lang w:val="en-GB"/>
        </w:rPr>
        <w:t>to the cell at which t</w:t>
      </w:r>
      <w:r w:rsidRPr="00205EC2">
        <w:rPr>
          <w:rFonts w:cstheme="minorHAnsi"/>
          <w:lang w:val="en-GB"/>
        </w:rPr>
        <w:t xml:space="preserve">he injected charge </w:t>
      </w:r>
      <w:r>
        <w:rPr>
          <w:rFonts w:cstheme="minorHAnsi"/>
          <w:lang w:val="en-GB"/>
        </w:rPr>
        <w:t xml:space="preserve">equals the initial short-circuit current. Over the course of the aging test (~24 h), the applied voltage was slightly adjusted to maintain an injection current of roughly </w:t>
      </w:r>
      <w:r w:rsidRPr="00916649">
        <w:rPr>
          <w:rFonts w:cstheme="minorHAnsi"/>
          <w:i/>
          <w:lang w:val="en-GB"/>
        </w:rPr>
        <w:t>J</w:t>
      </w:r>
      <w:r w:rsidRPr="002D3CED">
        <w:rPr>
          <w:rFonts w:cstheme="minorHAnsi"/>
          <w:vertAlign w:val="subscript"/>
          <w:lang w:val="en-GB"/>
        </w:rPr>
        <w:t>SC</w:t>
      </w:r>
      <w:r w:rsidRPr="00916649">
        <w:rPr>
          <w:rFonts w:cstheme="minorHAnsi"/>
          <w:lang w:val="en-GB"/>
        </w:rPr>
        <w:t>.</w:t>
      </w:r>
      <w:r>
        <w:rPr>
          <w:rFonts w:cstheme="minorHAnsi"/>
          <w:lang w:val="en-GB"/>
        </w:rPr>
        <w:t xml:space="preserve"> The temperature aging was conducted by placing the cell on a hotplate at ~80 °C for the given amount of time. </w:t>
      </w:r>
    </w:p>
    <w:p w14:paraId="24A59075" w14:textId="77777777" w:rsidR="00345759" w:rsidRDefault="00345759" w:rsidP="00345759">
      <w:pPr>
        <w:autoSpaceDE w:val="0"/>
        <w:autoSpaceDN w:val="0"/>
        <w:adjustRightInd w:val="0"/>
        <w:spacing w:after="0"/>
        <w:jc w:val="both"/>
        <w:rPr>
          <w:rFonts w:ascii="Calibri" w:hAnsi="Calibri" w:cs="Calibri"/>
          <w:b/>
        </w:rPr>
      </w:pPr>
    </w:p>
    <w:p w14:paraId="7EA3A96C" w14:textId="77777777" w:rsidR="00345759" w:rsidRDefault="00345759" w:rsidP="00345759">
      <w:pPr>
        <w:autoSpaceDE w:val="0"/>
        <w:autoSpaceDN w:val="0"/>
        <w:adjustRightInd w:val="0"/>
        <w:spacing w:after="0"/>
        <w:jc w:val="both"/>
        <w:rPr>
          <w:rFonts w:ascii="Calibri" w:hAnsi="Calibri" w:cs="Calibri"/>
        </w:rPr>
      </w:pPr>
      <w:r w:rsidRPr="00510E8C">
        <w:rPr>
          <w:rFonts w:ascii="Calibri" w:hAnsi="Calibri" w:cs="Calibri"/>
          <w:b/>
        </w:rPr>
        <w:t>Stabilized power output</w:t>
      </w:r>
      <w:r>
        <w:rPr>
          <w:rFonts w:ascii="Calibri" w:hAnsi="Calibri" w:cs="Calibri"/>
          <w:b/>
        </w:rPr>
        <w:t xml:space="preserve"> (SPO) </w:t>
      </w:r>
      <w:r w:rsidRPr="00510E8C">
        <w:rPr>
          <w:rFonts w:ascii="Calibri" w:hAnsi="Calibri" w:cs="Calibri"/>
          <w:b/>
        </w:rPr>
        <w:t>tracking</w:t>
      </w:r>
      <w:r w:rsidRPr="00510E8C">
        <w:rPr>
          <w:b/>
        </w:rPr>
        <w:t>:</w:t>
      </w:r>
      <w:r w:rsidRPr="00164795">
        <w:t xml:space="preserve"> </w:t>
      </w:r>
      <w:r w:rsidRPr="00164795">
        <w:rPr>
          <w:rFonts w:ascii="Calibri" w:hAnsi="Calibri" w:cs="Calibri"/>
        </w:rPr>
        <w:t xml:space="preserve">Long-term </w:t>
      </w:r>
      <w:r>
        <w:rPr>
          <w:rFonts w:ascii="Calibri" w:hAnsi="Calibri" w:cs="Calibri"/>
        </w:rPr>
        <w:t>stabilized power output</w:t>
      </w:r>
      <w:r w:rsidRPr="00164795">
        <w:rPr>
          <w:rFonts w:ascii="Calibri" w:hAnsi="Calibri" w:cs="Calibri"/>
        </w:rPr>
        <w:t xml:space="preserve"> tracking </w:t>
      </w:r>
      <w:r>
        <w:rPr>
          <w:rFonts w:ascii="Calibri" w:hAnsi="Calibri" w:cs="Calibri"/>
        </w:rPr>
        <w:t xml:space="preserve">measurements in Figure 3c were performed with a Botest multichannel analyzer system (Botest Systems GmbH, EMU-8/ v2.3) with a constant applied voltage (initial </w:t>
      </w:r>
      <w:r w:rsidRPr="00164795">
        <w:rPr>
          <w:rFonts w:ascii="Calibri" w:hAnsi="Calibri" w:cs="Calibri"/>
          <w:i/>
        </w:rPr>
        <w:t>V</w:t>
      </w:r>
      <w:r w:rsidRPr="00164795">
        <w:rPr>
          <w:rFonts w:ascii="Calibri" w:hAnsi="Calibri" w:cs="Calibri"/>
          <w:vertAlign w:val="subscript"/>
        </w:rPr>
        <w:t>MP</w:t>
      </w:r>
      <w:r>
        <w:rPr>
          <w:rFonts w:ascii="Calibri" w:hAnsi="Calibri" w:cs="Calibri"/>
        </w:rPr>
        <w:t xml:space="preserve">) using a </w:t>
      </w:r>
      <w:r w:rsidRPr="00164795">
        <w:rPr>
          <w:rFonts w:ascii="Calibri" w:hAnsi="Calibri" w:cs="Calibri"/>
        </w:rPr>
        <w:t>while light LED (3000K Cree CXB3590) illumination</w:t>
      </w:r>
      <w:r>
        <w:rPr>
          <w:rFonts w:ascii="Calibri" w:hAnsi="Calibri" w:cs="Calibri"/>
        </w:rPr>
        <w:t xml:space="preserve"> providing a 1 sun equivalent intensity by matching the initial current of the cell to the </w:t>
      </w:r>
      <w:r w:rsidRPr="00164795">
        <w:rPr>
          <w:rFonts w:ascii="Calibri" w:hAnsi="Calibri" w:cs="Calibri"/>
          <w:i/>
        </w:rPr>
        <w:t>J</w:t>
      </w:r>
      <w:r w:rsidRPr="00164795">
        <w:rPr>
          <w:rFonts w:ascii="Calibri" w:hAnsi="Calibri" w:cs="Calibri"/>
          <w:vertAlign w:val="subscript"/>
        </w:rPr>
        <w:t>SC</w:t>
      </w:r>
      <w:r>
        <w:rPr>
          <w:rFonts w:ascii="Calibri" w:hAnsi="Calibri" w:cs="Calibri"/>
        </w:rPr>
        <w:t xml:space="preserve"> under AM1.5G illumination. The temperature during the tracking was T=40°C and the measurements were performed in ambient atmosphere on encapsulated cells. </w:t>
      </w:r>
    </w:p>
    <w:p w14:paraId="67A79B07" w14:textId="77777777" w:rsidR="00345759" w:rsidRDefault="00345759" w:rsidP="00345759">
      <w:pPr>
        <w:autoSpaceDE w:val="0"/>
        <w:autoSpaceDN w:val="0"/>
        <w:adjustRightInd w:val="0"/>
        <w:spacing w:after="0"/>
        <w:jc w:val="both"/>
        <w:rPr>
          <w:rFonts w:ascii="Calibri" w:hAnsi="Calibri" w:cs="Calibri"/>
        </w:rPr>
      </w:pPr>
    </w:p>
    <w:p w14:paraId="23F3530E" w14:textId="77777777" w:rsidR="00345759" w:rsidRDefault="00345759" w:rsidP="00345759">
      <w:pPr>
        <w:autoSpaceDE w:val="0"/>
        <w:autoSpaceDN w:val="0"/>
        <w:adjustRightInd w:val="0"/>
        <w:spacing w:after="0"/>
        <w:jc w:val="both"/>
        <w:rPr>
          <w:rFonts w:ascii="Calibri" w:hAnsi="Calibri" w:cs="Calibri"/>
        </w:rPr>
      </w:pPr>
      <w:r>
        <w:rPr>
          <w:rFonts w:ascii="Calibri" w:hAnsi="Calibri" w:cs="Calibri"/>
          <w:b/>
        </w:rPr>
        <w:t>Maximum power point (MPP)</w:t>
      </w:r>
      <w:r w:rsidRPr="00510E8C">
        <w:rPr>
          <w:rFonts w:ascii="Calibri" w:hAnsi="Calibri" w:cs="Calibri"/>
          <w:b/>
        </w:rPr>
        <w:t xml:space="preserve"> tracking</w:t>
      </w:r>
      <w:r>
        <w:rPr>
          <w:rFonts w:ascii="Calibri" w:hAnsi="Calibri" w:cs="Calibri"/>
        </w:rPr>
        <w:t>: In addition to the SPO tracking, l</w:t>
      </w:r>
      <w:r w:rsidRPr="00766426">
        <w:rPr>
          <w:rFonts w:ascii="Calibri" w:hAnsi="Calibri" w:cs="Calibri"/>
        </w:rPr>
        <w:t xml:space="preserve">ong term MPP tracking was performed on </w:t>
      </w:r>
      <w:r>
        <w:rPr>
          <w:rFonts w:ascii="Calibri" w:hAnsi="Calibri" w:cs="Calibri"/>
        </w:rPr>
        <w:t>reference cells</w:t>
      </w:r>
      <w:r w:rsidRPr="00766426">
        <w:rPr>
          <w:rFonts w:ascii="Calibri" w:hAnsi="Calibri" w:cs="Calibri"/>
        </w:rPr>
        <w:t xml:space="preserve"> under 1 Sun</w:t>
      </w:r>
      <w:r>
        <w:rPr>
          <w:rFonts w:ascii="Calibri" w:hAnsi="Calibri" w:cs="Calibri"/>
        </w:rPr>
        <w:t xml:space="preserve"> </w:t>
      </w:r>
      <w:r w:rsidRPr="00766426">
        <w:rPr>
          <w:rFonts w:ascii="Calibri" w:hAnsi="Calibri" w:cs="Calibri"/>
        </w:rPr>
        <w:t>equivalent white LED irradiation in air (25% re</w:t>
      </w:r>
      <w:r>
        <w:rPr>
          <w:rFonts w:ascii="Calibri" w:hAnsi="Calibri" w:cs="Calibri"/>
        </w:rPr>
        <w:t xml:space="preserve">lative humidity) for several day. </w:t>
      </w:r>
      <w:r w:rsidRPr="00766426">
        <w:rPr>
          <w:rFonts w:ascii="Calibri" w:hAnsi="Calibri" w:cs="Calibri"/>
        </w:rPr>
        <w:t xml:space="preserve">Thereby the cell is continuously held at 25°C and </w:t>
      </w:r>
      <w:r>
        <w:rPr>
          <w:rFonts w:ascii="Calibri" w:hAnsi="Calibri" w:cs="Calibri"/>
        </w:rPr>
        <w:t xml:space="preserve">its maximum power voltage which </w:t>
      </w:r>
      <w:r w:rsidRPr="00766426">
        <w:rPr>
          <w:rFonts w:ascii="Calibri" w:hAnsi="Calibri" w:cs="Calibri"/>
        </w:rPr>
        <w:t>was obtained from an initial JV scan. Maxi</w:t>
      </w:r>
      <w:r>
        <w:rPr>
          <w:rFonts w:ascii="Calibri" w:hAnsi="Calibri" w:cs="Calibri"/>
        </w:rPr>
        <w:t xml:space="preserve">mum power output was ensured by </w:t>
      </w:r>
      <w:r w:rsidRPr="00766426">
        <w:rPr>
          <w:rFonts w:ascii="Calibri" w:hAnsi="Calibri" w:cs="Calibri"/>
        </w:rPr>
        <w:t>applying a small voltage perturbation (+/- 5 m</w:t>
      </w:r>
      <w:r>
        <w:rPr>
          <w:rFonts w:ascii="Calibri" w:hAnsi="Calibri" w:cs="Calibri"/>
        </w:rPr>
        <w:t xml:space="preserve">V) to the cell every 5 seconds. </w:t>
      </w:r>
      <w:r w:rsidRPr="00766426">
        <w:rPr>
          <w:rFonts w:ascii="Calibri" w:hAnsi="Calibri" w:cs="Calibri"/>
        </w:rPr>
        <w:t xml:space="preserve">Depending on which voltage gave a higher power </w:t>
      </w:r>
      <w:r>
        <w:rPr>
          <w:rFonts w:ascii="Calibri" w:hAnsi="Calibri" w:cs="Calibri"/>
        </w:rPr>
        <w:t xml:space="preserve">output, the applied voltage was </w:t>
      </w:r>
      <w:r w:rsidRPr="00766426">
        <w:rPr>
          <w:rFonts w:ascii="Calibri" w:hAnsi="Calibri" w:cs="Calibri"/>
        </w:rPr>
        <w:t>either increased or decreasing by 5 mV and then held at this voltage for the next 5</w:t>
      </w:r>
      <w:r>
        <w:rPr>
          <w:rFonts w:ascii="Calibri" w:hAnsi="Calibri" w:cs="Calibri"/>
        </w:rPr>
        <w:t xml:space="preserve"> </w:t>
      </w:r>
      <w:r w:rsidRPr="00766426">
        <w:rPr>
          <w:rFonts w:ascii="Calibri" w:hAnsi="Calibri" w:cs="Calibri"/>
        </w:rPr>
        <w:t>seconds.</w:t>
      </w:r>
      <w:r>
        <w:rPr>
          <w:rFonts w:ascii="Calibri" w:hAnsi="Calibri" w:cs="Calibri"/>
        </w:rPr>
        <w:t xml:space="preserve"> A home-built LabView program was used for these measurements. </w:t>
      </w:r>
    </w:p>
    <w:p w14:paraId="48C60F0F" w14:textId="77777777" w:rsidR="00345759" w:rsidRPr="00927761" w:rsidRDefault="00345759" w:rsidP="00345759">
      <w:pPr>
        <w:rPr>
          <w:b/>
          <w:lang w:val="en-GB"/>
        </w:rPr>
      </w:pPr>
    </w:p>
    <w:p w14:paraId="713C9D85" w14:textId="77777777" w:rsidR="00345759" w:rsidRPr="00927761" w:rsidRDefault="00345759" w:rsidP="00345759">
      <w:pPr>
        <w:rPr>
          <w:b/>
          <w:lang w:val="en-GB"/>
        </w:rPr>
      </w:pPr>
    </w:p>
    <w:p w14:paraId="3D73E6CF" w14:textId="77777777" w:rsidR="00345759" w:rsidRPr="00927761" w:rsidRDefault="00345759" w:rsidP="00345759">
      <w:pPr>
        <w:jc w:val="center"/>
        <w:rPr>
          <w:lang w:val="en-GB"/>
        </w:rPr>
      </w:pPr>
    </w:p>
    <w:p w14:paraId="226A77D4" w14:textId="77777777" w:rsidR="00345759" w:rsidRPr="00927761" w:rsidRDefault="00345759" w:rsidP="00345759">
      <w:pPr>
        <w:jc w:val="center"/>
        <w:rPr>
          <w:lang w:val="en-GB"/>
        </w:rPr>
      </w:pPr>
      <w:r w:rsidRPr="00E224AA">
        <w:rPr>
          <w:noProof/>
        </w:rPr>
        <w:drawing>
          <wp:inline distT="0" distB="0" distL="0" distR="0" wp14:anchorId="1AD87908" wp14:editId="7DA7DDA0">
            <wp:extent cx="3600000" cy="3124800"/>
            <wp:effectExtent l="0" t="0" r="635"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600000" cy="3124800"/>
                    </a:xfrm>
                    <a:prstGeom prst="rect">
                      <a:avLst/>
                    </a:prstGeom>
                  </pic:spPr>
                </pic:pic>
              </a:graphicData>
            </a:graphic>
          </wp:inline>
        </w:drawing>
      </w:r>
    </w:p>
    <w:p w14:paraId="6983D7AE" w14:textId="77777777" w:rsidR="00345759" w:rsidRPr="00E80F7F" w:rsidRDefault="00345759" w:rsidP="00345759">
      <w:pPr>
        <w:rPr>
          <w:lang w:val="en-GB"/>
        </w:rPr>
      </w:pPr>
      <w:r w:rsidRPr="00E80F7F">
        <w:rPr>
          <w:b/>
          <w:lang w:val="en-GB"/>
        </w:rPr>
        <w:lastRenderedPageBreak/>
        <w:t xml:space="preserve">Figure S1. </w:t>
      </w:r>
      <w:r w:rsidRPr="00E80F7F">
        <w:rPr>
          <w:lang w:val="en-GB"/>
        </w:rPr>
        <w:t xml:space="preserve">Absorption spectroscopy of fresh and degraded triple cation films after 22.5 h of illumination with a 1 sun equivalent </w:t>
      </w:r>
      <w:r>
        <w:rPr>
          <w:lang w:val="en-GB"/>
        </w:rPr>
        <w:t>LED in N</w:t>
      </w:r>
      <w:r w:rsidRPr="006F329D">
        <w:rPr>
          <w:vertAlign w:val="subscript"/>
          <w:lang w:val="en-GB"/>
        </w:rPr>
        <w:t>2</w:t>
      </w:r>
      <w:r w:rsidRPr="006F329D">
        <w:rPr>
          <w:lang w:val="en-GB"/>
        </w:rPr>
        <w:t>.</w:t>
      </w:r>
    </w:p>
    <w:p w14:paraId="01F61BFC" w14:textId="77777777" w:rsidR="00345759" w:rsidRPr="00E80F7F" w:rsidRDefault="00345759" w:rsidP="00345759">
      <w:pPr>
        <w:rPr>
          <w:lang w:val="en-GB"/>
        </w:rPr>
      </w:pPr>
    </w:p>
    <w:p w14:paraId="599C49FE" w14:textId="77777777" w:rsidR="00345759" w:rsidRPr="00E80F7F" w:rsidRDefault="00345759" w:rsidP="00345759">
      <w:pPr>
        <w:rPr>
          <w:lang w:val="en-GB"/>
        </w:rPr>
      </w:pPr>
    </w:p>
    <w:p w14:paraId="5BCF7F00" w14:textId="77777777" w:rsidR="00345759" w:rsidRPr="00E80F7F" w:rsidRDefault="00345759" w:rsidP="00345759">
      <w:pPr>
        <w:jc w:val="center"/>
        <w:rPr>
          <w:lang w:val="en-GB"/>
        </w:rPr>
      </w:pPr>
      <w:r w:rsidRPr="00E80F7F">
        <w:rPr>
          <w:noProof/>
        </w:rPr>
        <w:drawing>
          <wp:inline distT="0" distB="0" distL="0" distR="0" wp14:anchorId="2BEE4C65" wp14:editId="6FF58F89">
            <wp:extent cx="4151630" cy="3362793"/>
            <wp:effectExtent l="0" t="0" r="1270" b="9525"/>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154554" cy="3365161"/>
                    </a:xfrm>
                    <a:prstGeom prst="rect">
                      <a:avLst/>
                    </a:prstGeom>
                  </pic:spPr>
                </pic:pic>
              </a:graphicData>
            </a:graphic>
          </wp:inline>
        </w:drawing>
      </w:r>
    </w:p>
    <w:p w14:paraId="4247F8CB" w14:textId="77777777" w:rsidR="00345759" w:rsidRPr="00E80F7F" w:rsidRDefault="00345759" w:rsidP="00345759">
      <w:pPr>
        <w:jc w:val="both"/>
        <w:rPr>
          <w:lang w:val="en-GB"/>
        </w:rPr>
      </w:pPr>
      <w:r w:rsidRPr="00E80F7F">
        <w:rPr>
          <w:b/>
          <w:lang w:val="en-GB"/>
        </w:rPr>
        <w:t xml:space="preserve">Figure S2. </w:t>
      </w:r>
      <w:r w:rsidRPr="00E80F7F">
        <w:rPr>
          <w:lang w:val="en-GB"/>
        </w:rPr>
        <w:t xml:space="preserve">X-ray diffraction measurements of fresh and degraded triple cation films after different hours of illumination revealed no apparent change during the illumination within the first hours of degradation. </w:t>
      </w:r>
    </w:p>
    <w:p w14:paraId="5E205CC2" w14:textId="77777777" w:rsidR="00345759" w:rsidRDefault="00345759" w:rsidP="00345759">
      <w:pPr>
        <w:rPr>
          <w:lang w:val="en-GB"/>
        </w:rPr>
      </w:pPr>
      <w:r w:rsidRPr="00E80F7F">
        <w:rPr>
          <w:lang w:val="en-GB"/>
        </w:rPr>
        <w:t xml:space="preserve">   </w:t>
      </w:r>
      <w:r w:rsidRPr="00E80F7F">
        <w:rPr>
          <w:noProof/>
        </w:rPr>
        <w:drawing>
          <wp:inline distT="0" distB="0" distL="0" distR="0" wp14:anchorId="3A907A99" wp14:editId="53BC14ED">
            <wp:extent cx="5731510" cy="3129280"/>
            <wp:effectExtent l="0" t="0" r="254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129280"/>
                    </a:xfrm>
                    <a:prstGeom prst="rect">
                      <a:avLst/>
                    </a:prstGeom>
                  </pic:spPr>
                </pic:pic>
              </a:graphicData>
            </a:graphic>
          </wp:inline>
        </w:drawing>
      </w:r>
    </w:p>
    <w:p w14:paraId="1A937697" w14:textId="77777777" w:rsidR="00345759" w:rsidRPr="00E80F7F" w:rsidRDefault="00345759" w:rsidP="00345759">
      <w:pPr>
        <w:rPr>
          <w:lang w:val="en-GB"/>
        </w:rPr>
      </w:pPr>
      <w:r w:rsidRPr="00E80F7F">
        <w:rPr>
          <w:b/>
          <w:lang w:val="en-GB"/>
        </w:rPr>
        <w:lastRenderedPageBreak/>
        <w:t xml:space="preserve">Figure S3. </w:t>
      </w:r>
      <w:r w:rsidRPr="00E80F7F">
        <w:rPr>
          <w:lang w:val="en-GB"/>
        </w:rPr>
        <w:t xml:space="preserve">SEM and AFM of fresh and degraded triple cation films after different hours of illumination.  </w:t>
      </w:r>
    </w:p>
    <w:p w14:paraId="263938DA" w14:textId="77777777" w:rsidR="00345759" w:rsidRPr="00E80F7F" w:rsidRDefault="00345759" w:rsidP="00345759">
      <w:pPr>
        <w:jc w:val="center"/>
        <w:rPr>
          <w:lang w:val="en-GB"/>
        </w:rPr>
      </w:pPr>
    </w:p>
    <w:p w14:paraId="7C46CD4C" w14:textId="77777777" w:rsidR="00345759" w:rsidRPr="00E80F7F" w:rsidRDefault="00345759" w:rsidP="00345759">
      <w:pPr>
        <w:jc w:val="both"/>
        <w:rPr>
          <w:lang w:val="en-GB"/>
        </w:rPr>
      </w:pPr>
      <w:r w:rsidRPr="00E80F7F">
        <w:rPr>
          <w:noProof/>
        </w:rPr>
        <w:drawing>
          <wp:inline distT="0" distB="0" distL="0" distR="0" wp14:anchorId="717B9DAA" wp14:editId="2E5C6D3B">
            <wp:extent cx="5731510" cy="4445635"/>
            <wp:effectExtent l="0" t="0" r="2540" b="0"/>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1510" cy="4445635"/>
                    </a:xfrm>
                    <a:prstGeom prst="rect">
                      <a:avLst/>
                    </a:prstGeom>
                  </pic:spPr>
                </pic:pic>
              </a:graphicData>
            </a:graphic>
          </wp:inline>
        </w:drawing>
      </w:r>
      <w:r w:rsidRPr="00E80F7F">
        <w:rPr>
          <w:b/>
          <w:lang w:val="en-GB"/>
        </w:rPr>
        <w:br/>
        <w:t xml:space="preserve">Figure S4.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from current-voltage characteristics measured at different scan speeds for MAPbI</w:t>
      </w:r>
      <w:r w:rsidRPr="00E80F7F">
        <w:rPr>
          <w:vertAlign w:val="subscript"/>
          <w:lang w:val="en-GB"/>
        </w:rPr>
        <w:t xml:space="preserve">3 </w:t>
      </w:r>
      <w:r w:rsidRPr="00E80F7F">
        <w:rPr>
          <w:lang w:val="en-GB"/>
        </w:rPr>
        <w:t>perovskite solar cells after different ageing times.</w:t>
      </w:r>
    </w:p>
    <w:p w14:paraId="433ECF1A" w14:textId="77777777" w:rsidR="00345759" w:rsidRPr="00E80F7F" w:rsidRDefault="00345759" w:rsidP="00345759">
      <w:pPr>
        <w:jc w:val="both"/>
        <w:rPr>
          <w:lang w:val="en-GB"/>
        </w:rPr>
      </w:pPr>
    </w:p>
    <w:p w14:paraId="5B9BE0E6" w14:textId="77777777" w:rsidR="00345759" w:rsidRPr="00E80F7F" w:rsidRDefault="00345759" w:rsidP="00345759">
      <w:pPr>
        <w:jc w:val="both"/>
        <w:rPr>
          <w:b/>
          <w:lang w:val="en-GB"/>
        </w:rPr>
      </w:pPr>
      <w:r w:rsidRPr="00E80F7F">
        <w:rPr>
          <w:noProof/>
        </w:rPr>
        <w:lastRenderedPageBreak/>
        <w:t>v</w:t>
      </w:r>
      <w:r w:rsidRPr="00E80F7F">
        <w:rPr>
          <w:noProof/>
        </w:rPr>
        <w:drawing>
          <wp:inline distT="0" distB="0" distL="0" distR="0" wp14:anchorId="2AD74E9F" wp14:editId="20EFE99A">
            <wp:extent cx="5731510" cy="4431665"/>
            <wp:effectExtent l="0" t="0" r="2540" b="698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4431665"/>
                    </a:xfrm>
                    <a:prstGeom prst="rect">
                      <a:avLst/>
                    </a:prstGeom>
                  </pic:spPr>
                </pic:pic>
              </a:graphicData>
            </a:graphic>
          </wp:inline>
        </w:drawing>
      </w:r>
    </w:p>
    <w:p w14:paraId="060FCA33" w14:textId="77777777" w:rsidR="00345759" w:rsidRPr="00E80F7F" w:rsidRDefault="00345759" w:rsidP="00345759">
      <w:pPr>
        <w:jc w:val="both"/>
        <w:rPr>
          <w:lang w:val="en-GB"/>
        </w:rPr>
      </w:pPr>
      <w:r w:rsidRPr="00E80F7F">
        <w:rPr>
          <w:b/>
          <w:lang w:val="en-GB"/>
        </w:rPr>
        <w:t xml:space="preserve">Figure S5.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from current-voltage characteristics measured at different scan speeds for FA</w:t>
      </w:r>
      <w:r w:rsidRPr="00E80F7F">
        <w:rPr>
          <w:vertAlign w:val="subscript"/>
          <w:lang w:val="en-GB"/>
        </w:rPr>
        <w:t>0.85</w:t>
      </w:r>
      <w:r w:rsidRPr="00E80F7F">
        <w:rPr>
          <w:lang w:val="en-GB"/>
        </w:rPr>
        <w:t>Cs</w:t>
      </w:r>
      <w:r w:rsidRPr="00E80F7F">
        <w:rPr>
          <w:vertAlign w:val="subscript"/>
          <w:lang w:val="en-GB"/>
        </w:rPr>
        <w:t>0.15</w:t>
      </w:r>
      <w:r w:rsidRPr="00E80F7F">
        <w:rPr>
          <w:lang w:val="en-GB"/>
        </w:rPr>
        <w:t>Pb(I</w:t>
      </w:r>
      <w:r w:rsidRPr="00E80F7F">
        <w:rPr>
          <w:vertAlign w:val="subscript"/>
          <w:lang w:val="en-GB"/>
        </w:rPr>
        <w:t>0.77</w:t>
      </w:r>
      <w:r w:rsidRPr="00E80F7F">
        <w:rPr>
          <w:lang w:val="en-GB"/>
        </w:rPr>
        <w:t>Br</w:t>
      </w:r>
      <w:r w:rsidRPr="00E80F7F">
        <w:rPr>
          <w:vertAlign w:val="subscript"/>
          <w:lang w:val="en-GB"/>
        </w:rPr>
        <w:t>0.23</w:t>
      </w:r>
      <w:r w:rsidRPr="00E80F7F">
        <w:rPr>
          <w:lang w:val="en-GB"/>
        </w:rPr>
        <w:t>)</w:t>
      </w:r>
      <w:r w:rsidRPr="00E80F7F">
        <w:rPr>
          <w:vertAlign w:val="subscript"/>
          <w:lang w:val="en-GB"/>
        </w:rPr>
        <w:t>3</w:t>
      </w:r>
      <w:r w:rsidRPr="00E80F7F">
        <w:rPr>
          <w:lang w:val="en-GB"/>
        </w:rPr>
        <w:t xml:space="preserve"> perovskite solar cells after different ageing times.</w:t>
      </w:r>
    </w:p>
    <w:p w14:paraId="26CCB68F" w14:textId="77777777" w:rsidR="00345759" w:rsidRPr="00E80F7F" w:rsidRDefault="00345759" w:rsidP="00345759">
      <w:pPr>
        <w:jc w:val="both"/>
        <w:rPr>
          <w:lang w:val="en-GB"/>
        </w:rPr>
      </w:pPr>
      <w:r w:rsidRPr="00E80F7F">
        <w:rPr>
          <w:noProof/>
        </w:rPr>
        <w:lastRenderedPageBreak/>
        <w:drawing>
          <wp:inline distT="0" distB="0" distL="0" distR="0" wp14:anchorId="2EE1897F" wp14:editId="1D648ABB">
            <wp:extent cx="5731510" cy="4455160"/>
            <wp:effectExtent l="0" t="0" r="2540" b="254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455160"/>
                    </a:xfrm>
                    <a:prstGeom prst="rect">
                      <a:avLst/>
                    </a:prstGeom>
                  </pic:spPr>
                </pic:pic>
              </a:graphicData>
            </a:graphic>
          </wp:inline>
        </w:drawing>
      </w:r>
    </w:p>
    <w:p w14:paraId="16844FFD" w14:textId="77777777" w:rsidR="00345759" w:rsidRPr="00E80F7F" w:rsidRDefault="00345759" w:rsidP="00345759">
      <w:pPr>
        <w:jc w:val="both"/>
        <w:rPr>
          <w:lang w:val="en-GB"/>
        </w:rPr>
      </w:pPr>
      <w:r w:rsidRPr="00E80F7F">
        <w:rPr>
          <w:b/>
          <w:lang w:val="en-GB"/>
        </w:rPr>
        <w:t xml:space="preserve">Figure S6.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from current-voltage characteristics measured at different scan speeds for 1.8eV wide gap Cs</w:t>
      </w:r>
      <w:r w:rsidRPr="00E80F7F">
        <w:rPr>
          <w:vertAlign w:val="subscript"/>
          <w:lang w:val="en-GB"/>
        </w:rPr>
        <w:t>0.05</w:t>
      </w:r>
      <w:r w:rsidRPr="00E80F7F">
        <w:rPr>
          <w:lang w:val="en-GB"/>
        </w:rPr>
        <w:t>(FA</w:t>
      </w:r>
      <w:r w:rsidRPr="00E80F7F">
        <w:rPr>
          <w:vertAlign w:val="subscript"/>
          <w:lang w:val="en-GB"/>
        </w:rPr>
        <w:t>0.60</w:t>
      </w:r>
      <w:r w:rsidRPr="00E80F7F">
        <w:rPr>
          <w:lang w:val="en-GB"/>
        </w:rPr>
        <w:t>MA</w:t>
      </w:r>
      <w:r w:rsidRPr="00E80F7F">
        <w:rPr>
          <w:vertAlign w:val="subscript"/>
          <w:lang w:val="en-GB"/>
        </w:rPr>
        <w:t>0.40</w:t>
      </w:r>
      <w:r w:rsidRPr="00E80F7F">
        <w:rPr>
          <w:lang w:val="en-GB"/>
        </w:rPr>
        <w:t>)</w:t>
      </w:r>
      <w:r w:rsidRPr="00E80F7F">
        <w:rPr>
          <w:vertAlign w:val="subscript"/>
          <w:lang w:val="en-GB"/>
        </w:rPr>
        <w:t>0.95</w:t>
      </w:r>
      <w:r w:rsidRPr="00E80F7F">
        <w:rPr>
          <w:lang w:val="en-GB"/>
        </w:rPr>
        <w:t>Pb(I</w:t>
      </w:r>
      <w:r w:rsidRPr="00E80F7F">
        <w:rPr>
          <w:vertAlign w:val="subscript"/>
          <w:lang w:val="en-GB"/>
        </w:rPr>
        <w:t>0.60</w:t>
      </w:r>
      <w:r w:rsidRPr="00E80F7F">
        <w:rPr>
          <w:lang w:val="en-GB"/>
        </w:rPr>
        <w:t>Br</w:t>
      </w:r>
      <w:r w:rsidRPr="00E80F7F">
        <w:rPr>
          <w:vertAlign w:val="subscript"/>
          <w:lang w:val="en-GB"/>
        </w:rPr>
        <w:t>0.40</w:t>
      </w:r>
      <w:r w:rsidRPr="00E80F7F">
        <w:rPr>
          <w:lang w:val="en-GB"/>
        </w:rPr>
        <w:t>)</w:t>
      </w:r>
      <w:r w:rsidRPr="00E80F7F">
        <w:rPr>
          <w:vertAlign w:val="subscript"/>
          <w:lang w:val="en-GB"/>
        </w:rPr>
        <w:t xml:space="preserve">3 </w:t>
      </w:r>
      <w:r w:rsidRPr="00E80F7F">
        <w:rPr>
          <w:lang w:val="en-GB"/>
        </w:rPr>
        <w:t>perovskite solar cells after different ageing times.</w:t>
      </w:r>
    </w:p>
    <w:p w14:paraId="6CFD4DB0" w14:textId="77777777" w:rsidR="00345759" w:rsidRPr="00E80F7F" w:rsidRDefault="00345759" w:rsidP="00345759">
      <w:pPr>
        <w:jc w:val="both"/>
        <w:rPr>
          <w:lang w:val="en-GB"/>
        </w:rPr>
      </w:pPr>
    </w:p>
    <w:p w14:paraId="4C9A3C4B" w14:textId="77777777" w:rsidR="00345759" w:rsidRPr="00E80F7F" w:rsidRDefault="00345759" w:rsidP="00345759">
      <w:pPr>
        <w:jc w:val="center"/>
        <w:rPr>
          <w:b/>
          <w:lang w:val="en-GB"/>
        </w:rPr>
      </w:pPr>
      <w:r>
        <w:rPr>
          <w:noProof/>
        </w:rPr>
        <w:lastRenderedPageBreak/>
        <w:drawing>
          <wp:inline distT="0" distB="0" distL="0" distR="0" wp14:anchorId="352AE740" wp14:editId="49F64862">
            <wp:extent cx="5731510" cy="4251960"/>
            <wp:effectExtent l="0" t="0" r="254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4251960"/>
                    </a:xfrm>
                    <a:prstGeom prst="rect">
                      <a:avLst/>
                    </a:prstGeom>
                  </pic:spPr>
                </pic:pic>
              </a:graphicData>
            </a:graphic>
          </wp:inline>
        </w:drawing>
      </w:r>
    </w:p>
    <w:p w14:paraId="5407DDB0" w14:textId="77777777" w:rsidR="00345759" w:rsidRPr="00E80F7F" w:rsidRDefault="00345759" w:rsidP="00345759">
      <w:pPr>
        <w:jc w:val="both"/>
        <w:rPr>
          <w:lang w:val="en-GB"/>
        </w:rPr>
      </w:pPr>
      <w:r w:rsidRPr="00E80F7F">
        <w:rPr>
          <w:b/>
          <w:lang w:val="en-GB"/>
        </w:rPr>
        <w:t xml:space="preserve">Figure S7.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from current-voltage characteristics measured at different scan speeds for </w:t>
      </w:r>
      <w:r>
        <w:rPr>
          <w:lang w:val="en-GB"/>
        </w:rPr>
        <w:t>95:5 triple halide (</w:t>
      </w:r>
      <w:r w:rsidRPr="00205EC2">
        <w:rPr>
          <w:lang w:val="en-GB"/>
        </w:rPr>
        <w:t>Cs</w:t>
      </w:r>
      <w:r w:rsidRPr="00205EC2">
        <w:rPr>
          <w:vertAlign w:val="subscript"/>
          <w:lang w:val="en-GB"/>
        </w:rPr>
        <w:t>0.05</w:t>
      </w:r>
      <w:r w:rsidRPr="00205EC2">
        <w:rPr>
          <w:lang w:val="en-GB"/>
        </w:rPr>
        <w:t>(FA</w:t>
      </w:r>
      <w:r>
        <w:rPr>
          <w:vertAlign w:val="subscript"/>
          <w:lang w:val="en-GB"/>
        </w:rPr>
        <w:t>0.95</w:t>
      </w:r>
      <w:r w:rsidRPr="00205EC2">
        <w:rPr>
          <w:lang w:val="en-GB"/>
        </w:rPr>
        <w:t>MA</w:t>
      </w:r>
      <w:r>
        <w:rPr>
          <w:vertAlign w:val="subscript"/>
          <w:lang w:val="en-GB"/>
        </w:rPr>
        <w:t>0.05</w:t>
      </w:r>
      <w:r w:rsidRPr="00205EC2">
        <w:rPr>
          <w:lang w:val="en-GB"/>
        </w:rPr>
        <w:t>)</w:t>
      </w:r>
      <w:r w:rsidRPr="00205EC2">
        <w:rPr>
          <w:vertAlign w:val="subscript"/>
          <w:lang w:val="en-GB"/>
        </w:rPr>
        <w:t>0.95</w:t>
      </w:r>
      <w:r w:rsidRPr="00205EC2">
        <w:rPr>
          <w:lang w:val="en-GB"/>
        </w:rPr>
        <w:t>Pb(I</w:t>
      </w:r>
      <w:r>
        <w:rPr>
          <w:vertAlign w:val="subscript"/>
          <w:lang w:val="en-GB"/>
        </w:rPr>
        <w:t>0.95</w:t>
      </w:r>
      <w:r w:rsidRPr="00205EC2">
        <w:rPr>
          <w:lang w:val="en-GB"/>
        </w:rPr>
        <w:t>Br</w:t>
      </w:r>
      <w:r>
        <w:rPr>
          <w:vertAlign w:val="subscript"/>
          <w:lang w:val="en-GB"/>
        </w:rPr>
        <w:t>0.05</w:t>
      </w:r>
      <w:r w:rsidRPr="00205EC2">
        <w:rPr>
          <w:lang w:val="en-GB"/>
        </w:rPr>
        <w:t>)</w:t>
      </w:r>
      <w:r w:rsidRPr="00205EC2">
        <w:rPr>
          <w:vertAlign w:val="subscript"/>
          <w:lang w:val="en-GB"/>
        </w:rPr>
        <w:t>3</w:t>
      </w:r>
      <w:r>
        <w:rPr>
          <w:lang w:val="en-GB"/>
        </w:rPr>
        <w:t xml:space="preserve"> + </w:t>
      </w:r>
      <w:r w:rsidRPr="00763D2A">
        <w:rPr>
          <w:lang w:val="en-GB"/>
        </w:rPr>
        <w:t>2</w:t>
      </w:r>
      <w:r>
        <w:rPr>
          <w:lang w:val="en-GB"/>
        </w:rPr>
        <w:t xml:space="preserve">0 mol% MACl) </w:t>
      </w:r>
      <w:r w:rsidRPr="00E80F7F">
        <w:rPr>
          <w:lang w:val="en-GB"/>
        </w:rPr>
        <w:t>perovskite solar cells after different ageing times.</w:t>
      </w:r>
    </w:p>
    <w:p w14:paraId="4CD09DFA" w14:textId="77777777" w:rsidR="00345759" w:rsidRPr="00E80F7F" w:rsidRDefault="00345759" w:rsidP="00345759">
      <w:pPr>
        <w:jc w:val="both"/>
        <w:rPr>
          <w:lang w:val="en-GB"/>
        </w:rPr>
      </w:pPr>
    </w:p>
    <w:p w14:paraId="7A494F04" w14:textId="77777777" w:rsidR="00345759" w:rsidRPr="00E80F7F" w:rsidRDefault="00345759" w:rsidP="00345759">
      <w:pPr>
        <w:jc w:val="both"/>
        <w:rPr>
          <w:lang w:val="en-GB"/>
        </w:rPr>
      </w:pPr>
    </w:p>
    <w:p w14:paraId="69694C6E" w14:textId="77777777" w:rsidR="00345759" w:rsidRPr="00E80F7F" w:rsidRDefault="00345759" w:rsidP="00345759">
      <w:pPr>
        <w:jc w:val="both"/>
        <w:rPr>
          <w:lang w:val="en-GB"/>
        </w:rPr>
      </w:pPr>
    </w:p>
    <w:p w14:paraId="07A5FB18" w14:textId="77777777" w:rsidR="00345759" w:rsidRPr="00E80F7F" w:rsidRDefault="00345759" w:rsidP="00345759">
      <w:pPr>
        <w:jc w:val="both"/>
        <w:rPr>
          <w:lang w:val="en-GB"/>
        </w:rPr>
      </w:pPr>
    </w:p>
    <w:p w14:paraId="059E871D" w14:textId="77777777" w:rsidR="00345759" w:rsidRPr="00E80F7F" w:rsidRDefault="00345759" w:rsidP="00345759">
      <w:pPr>
        <w:jc w:val="both"/>
        <w:rPr>
          <w:lang w:val="en-GB"/>
        </w:rPr>
      </w:pPr>
    </w:p>
    <w:p w14:paraId="2DB20A46" w14:textId="77777777" w:rsidR="00345759" w:rsidRPr="00E80F7F" w:rsidRDefault="00345759" w:rsidP="00345759">
      <w:pPr>
        <w:jc w:val="both"/>
        <w:rPr>
          <w:lang w:val="en-GB"/>
        </w:rPr>
      </w:pPr>
    </w:p>
    <w:p w14:paraId="2240F5C0" w14:textId="77777777" w:rsidR="00345759" w:rsidRPr="00E80F7F" w:rsidRDefault="00345759" w:rsidP="00345759">
      <w:pPr>
        <w:jc w:val="both"/>
        <w:rPr>
          <w:lang w:val="en-GB"/>
        </w:rPr>
      </w:pPr>
      <w:r>
        <w:rPr>
          <w:noProof/>
        </w:rPr>
        <w:lastRenderedPageBreak/>
        <w:drawing>
          <wp:inline distT="0" distB="0" distL="0" distR="0" wp14:anchorId="0843B20B" wp14:editId="28120CB1">
            <wp:extent cx="5731510" cy="2244725"/>
            <wp:effectExtent l="0" t="0" r="2540" b="317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2244725"/>
                    </a:xfrm>
                    <a:prstGeom prst="rect">
                      <a:avLst/>
                    </a:prstGeom>
                  </pic:spPr>
                </pic:pic>
              </a:graphicData>
            </a:graphic>
          </wp:inline>
        </w:drawing>
      </w:r>
    </w:p>
    <w:p w14:paraId="312083D1" w14:textId="77777777" w:rsidR="00345759" w:rsidRPr="00E80F7F" w:rsidRDefault="00345759" w:rsidP="00345759">
      <w:pPr>
        <w:jc w:val="both"/>
        <w:rPr>
          <w:lang w:val="en-GB"/>
        </w:rPr>
      </w:pPr>
      <w:r w:rsidRPr="00E80F7F">
        <w:rPr>
          <w:b/>
          <w:lang w:val="en-GB"/>
        </w:rPr>
        <w:t xml:space="preserve">Figure S8.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measured at different scan speeds for different</w:t>
      </w:r>
      <w:r w:rsidRPr="00E80F7F">
        <w:rPr>
          <w:vertAlign w:val="subscript"/>
          <w:lang w:val="en-GB"/>
        </w:rPr>
        <w:t xml:space="preserve"> </w:t>
      </w:r>
      <w:r w:rsidRPr="00E80F7F">
        <w:rPr>
          <w:lang w:val="en-GB"/>
        </w:rPr>
        <w:t xml:space="preserve">perovskite systems before and after 5h of illumination (12h in case of MAPI). </w:t>
      </w:r>
    </w:p>
    <w:p w14:paraId="476DC430" w14:textId="77777777" w:rsidR="00345759" w:rsidRPr="00E80F7F" w:rsidRDefault="00345759" w:rsidP="00345759">
      <w:pPr>
        <w:jc w:val="both"/>
        <w:rPr>
          <w:lang w:val="en-GB"/>
        </w:rPr>
      </w:pPr>
    </w:p>
    <w:p w14:paraId="590C486B" w14:textId="77777777" w:rsidR="00345759" w:rsidRPr="00E80F7F" w:rsidRDefault="00345759" w:rsidP="00345759">
      <w:pPr>
        <w:jc w:val="both"/>
        <w:rPr>
          <w:lang w:val="en-GB"/>
        </w:rPr>
      </w:pPr>
    </w:p>
    <w:p w14:paraId="474308B0" w14:textId="77777777" w:rsidR="00345759" w:rsidRPr="00E80F7F" w:rsidRDefault="00345759" w:rsidP="00345759">
      <w:pPr>
        <w:jc w:val="both"/>
        <w:rPr>
          <w:lang w:val="en-GB"/>
        </w:rPr>
      </w:pPr>
    </w:p>
    <w:p w14:paraId="71B11D47" w14:textId="77777777" w:rsidR="00345759" w:rsidRPr="00E80F7F" w:rsidRDefault="00345759" w:rsidP="00345759">
      <w:pPr>
        <w:jc w:val="both"/>
        <w:rPr>
          <w:lang w:val="en-GB"/>
        </w:rPr>
      </w:pPr>
      <w:r>
        <w:rPr>
          <w:noProof/>
        </w:rPr>
        <w:drawing>
          <wp:inline distT="0" distB="0" distL="0" distR="0" wp14:anchorId="577D9AB8" wp14:editId="08A57C6F">
            <wp:extent cx="5731510" cy="2039620"/>
            <wp:effectExtent l="0" t="0" r="254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2039620"/>
                    </a:xfrm>
                    <a:prstGeom prst="rect">
                      <a:avLst/>
                    </a:prstGeom>
                  </pic:spPr>
                </pic:pic>
              </a:graphicData>
            </a:graphic>
          </wp:inline>
        </w:drawing>
      </w:r>
    </w:p>
    <w:p w14:paraId="32BD28BA" w14:textId="77777777" w:rsidR="00345759" w:rsidRPr="00E80F7F" w:rsidRDefault="00345759" w:rsidP="00345759">
      <w:pPr>
        <w:jc w:val="both"/>
        <w:rPr>
          <w:lang w:val="en-GB"/>
        </w:rPr>
      </w:pPr>
      <w:r w:rsidRPr="00E80F7F">
        <w:rPr>
          <w:b/>
          <w:lang w:val="en-GB"/>
        </w:rPr>
        <w:t xml:space="preserve">Figure S9. a </w:t>
      </w:r>
      <w:r w:rsidRPr="00E80F7F">
        <w:rPr>
          <w:lang w:val="en-GB"/>
        </w:rPr>
        <w:t>Fraction of</w:t>
      </w:r>
      <w:r w:rsidRPr="00E80F7F">
        <w:rPr>
          <w:b/>
          <w:lang w:val="en-GB"/>
        </w:rPr>
        <w:t xml:space="preserve"> </w:t>
      </w:r>
      <w:r w:rsidRPr="00E80F7F">
        <w:rPr>
          <w:lang w:val="en-GB"/>
        </w:rPr>
        <w:t xml:space="preserve">total- and ionic loss and </w:t>
      </w:r>
      <w:r w:rsidRPr="00E80F7F">
        <w:rPr>
          <w:b/>
          <w:lang w:val="en-GB"/>
        </w:rPr>
        <w:t xml:space="preserve">b </w:t>
      </w:r>
      <w:r w:rsidRPr="00E80F7F">
        <w:rPr>
          <w:lang w:val="en-GB"/>
        </w:rPr>
        <w:t xml:space="preserve">ionic PCE versus ionic </w:t>
      </w:r>
      <w:r w:rsidRPr="00E80F7F">
        <w:rPr>
          <w:i/>
          <w:lang w:val="en-GB"/>
        </w:rPr>
        <w:t>J</w:t>
      </w:r>
      <w:r w:rsidRPr="00E80F7F">
        <w:rPr>
          <w:lang w:val="en-GB"/>
        </w:rPr>
        <w:t xml:space="preserve">sc loss for various systems. </w:t>
      </w:r>
    </w:p>
    <w:p w14:paraId="1DD02BD5" w14:textId="77777777" w:rsidR="00345759" w:rsidRPr="00E80F7F" w:rsidRDefault="00345759" w:rsidP="00345759">
      <w:pPr>
        <w:jc w:val="both"/>
        <w:rPr>
          <w:lang w:val="en-GB"/>
        </w:rPr>
      </w:pPr>
    </w:p>
    <w:p w14:paraId="562E5010" w14:textId="77777777" w:rsidR="00345759" w:rsidRPr="00E80F7F" w:rsidRDefault="00345759" w:rsidP="00345759">
      <w:pPr>
        <w:jc w:val="center"/>
        <w:rPr>
          <w:lang w:val="en-GB"/>
        </w:rPr>
      </w:pPr>
    </w:p>
    <w:p w14:paraId="49C24CCE" w14:textId="77777777" w:rsidR="00345759" w:rsidRPr="00E80F7F" w:rsidRDefault="00345759" w:rsidP="00345759">
      <w:pPr>
        <w:jc w:val="center"/>
        <w:rPr>
          <w:lang w:val="en-GB"/>
        </w:rPr>
      </w:pPr>
    </w:p>
    <w:p w14:paraId="3E095041" w14:textId="77777777" w:rsidR="00345759" w:rsidRPr="00E80F7F" w:rsidRDefault="00345759" w:rsidP="00345759">
      <w:pPr>
        <w:jc w:val="both"/>
        <w:rPr>
          <w:lang w:val="en-GB"/>
        </w:rPr>
      </w:pPr>
      <w:r>
        <w:rPr>
          <w:noProof/>
        </w:rPr>
        <w:lastRenderedPageBreak/>
        <w:drawing>
          <wp:inline distT="0" distB="0" distL="0" distR="0" wp14:anchorId="4FA35DE7" wp14:editId="49564DDF">
            <wp:extent cx="5731510" cy="4528185"/>
            <wp:effectExtent l="0" t="0" r="2540" b="571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4528185"/>
                    </a:xfrm>
                    <a:prstGeom prst="rect">
                      <a:avLst/>
                    </a:prstGeom>
                  </pic:spPr>
                </pic:pic>
              </a:graphicData>
            </a:graphic>
          </wp:inline>
        </w:drawing>
      </w:r>
      <w:r w:rsidRPr="00E80F7F">
        <w:rPr>
          <w:b/>
          <w:lang w:val="en-GB"/>
        </w:rPr>
        <w:t>Figure S10.</w:t>
      </w:r>
      <w:r w:rsidRPr="00E80F7F">
        <w:rPr>
          <w:lang w:val="en-GB"/>
        </w:rPr>
        <w:t xml:space="preserve"> Simulated performance metrics PCE (a), </w:t>
      </w:r>
      <w:r w:rsidRPr="00E80F7F">
        <w:rPr>
          <w:i/>
          <w:lang w:val="en-GB"/>
        </w:rPr>
        <w:t>J</w:t>
      </w:r>
      <w:r w:rsidRPr="00E80F7F">
        <w:rPr>
          <w:vertAlign w:val="subscript"/>
          <w:lang w:val="en-GB"/>
        </w:rPr>
        <w:t>SC</w:t>
      </w:r>
      <w:r w:rsidRPr="00E80F7F">
        <w:rPr>
          <w:lang w:val="en-GB"/>
        </w:rPr>
        <w:t xml:space="preserve"> (b), </w:t>
      </w:r>
      <w:r w:rsidRPr="00E80F7F">
        <w:rPr>
          <w:i/>
          <w:lang w:val="en-GB"/>
        </w:rPr>
        <w:t>V</w:t>
      </w:r>
      <w:r w:rsidRPr="00E80F7F">
        <w:rPr>
          <w:vertAlign w:val="subscript"/>
          <w:lang w:val="en-GB"/>
        </w:rPr>
        <w:t>OC</w:t>
      </w:r>
      <w:r w:rsidRPr="00E80F7F">
        <w:rPr>
          <w:lang w:val="en-GB"/>
        </w:rPr>
        <w:t xml:space="preserve"> (c) and FF (d) for a range of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cells with varying mobile ion densities. The prebias was chosen to establish flat band conditions in the perovskite (1.3 V) for a device built-in voltage of 1.5 V. The flat band condition can be identified from the point at which the </w:t>
      </w:r>
      <w:r w:rsidRPr="00E80F7F">
        <w:rPr>
          <w:i/>
          <w:lang w:val="en-GB"/>
        </w:rPr>
        <w:t>V</w:t>
      </w:r>
      <w:r w:rsidRPr="00E80F7F">
        <w:rPr>
          <w:vertAlign w:val="subscript"/>
          <w:lang w:val="en-GB"/>
        </w:rPr>
        <w:t xml:space="preserve">OC </w:t>
      </w:r>
      <w:r w:rsidRPr="00E80F7F">
        <w:rPr>
          <w:lang w:val="en-GB"/>
        </w:rPr>
        <w:t>at  fast</w:t>
      </w:r>
      <w:r w:rsidRPr="00E80F7F">
        <w:rPr>
          <w:vertAlign w:val="subscript"/>
          <w:lang w:val="en-GB"/>
        </w:rPr>
        <w:t xml:space="preserve"> </w:t>
      </w:r>
      <w:r w:rsidRPr="00E80F7F">
        <w:rPr>
          <w:lang w:val="en-GB"/>
        </w:rPr>
        <w:t xml:space="preserve">scan speeds remains unaffected even in case of large mobile ion densities. </w:t>
      </w:r>
    </w:p>
    <w:p w14:paraId="0658AA27" w14:textId="77777777" w:rsidR="00345759" w:rsidRPr="00E80F7F" w:rsidRDefault="00345759" w:rsidP="00345759">
      <w:pPr>
        <w:jc w:val="both"/>
        <w:rPr>
          <w:lang w:val="en-GB"/>
        </w:rPr>
      </w:pPr>
    </w:p>
    <w:p w14:paraId="12845A29" w14:textId="77777777" w:rsidR="00345759" w:rsidRPr="00E80F7F" w:rsidRDefault="00345759" w:rsidP="00345759">
      <w:pPr>
        <w:jc w:val="both"/>
        <w:rPr>
          <w:lang w:val="en-GB"/>
        </w:rPr>
      </w:pPr>
    </w:p>
    <w:p w14:paraId="7A838F03" w14:textId="77777777" w:rsidR="00345759" w:rsidRPr="00E80F7F" w:rsidRDefault="00345759" w:rsidP="00345759">
      <w:pPr>
        <w:jc w:val="both"/>
        <w:rPr>
          <w:lang w:val="en-GB"/>
        </w:rPr>
      </w:pPr>
    </w:p>
    <w:p w14:paraId="2412682B" w14:textId="77777777" w:rsidR="00345759" w:rsidRPr="00E80F7F" w:rsidRDefault="00345759" w:rsidP="00345759">
      <w:pPr>
        <w:jc w:val="center"/>
        <w:rPr>
          <w:lang w:val="en-GB"/>
        </w:rPr>
      </w:pPr>
      <w:r w:rsidRPr="00E80F7F">
        <w:rPr>
          <w:noProof/>
        </w:rPr>
        <w:lastRenderedPageBreak/>
        <w:drawing>
          <wp:inline distT="0" distB="0" distL="0" distR="0" wp14:anchorId="0EF62D85" wp14:editId="153D0210">
            <wp:extent cx="4447833" cy="3490361"/>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452162" cy="3493758"/>
                    </a:xfrm>
                    <a:prstGeom prst="rect">
                      <a:avLst/>
                    </a:prstGeom>
                  </pic:spPr>
                </pic:pic>
              </a:graphicData>
            </a:graphic>
          </wp:inline>
        </w:drawing>
      </w:r>
    </w:p>
    <w:p w14:paraId="7132F9AF" w14:textId="77777777" w:rsidR="00345759" w:rsidRPr="00E80F7F" w:rsidRDefault="00345759" w:rsidP="00345759">
      <w:pPr>
        <w:jc w:val="both"/>
        <w:rPr>
          <w:lang w:val="en-GB"/>
        </w:rPr>
      </w:pPr>
      <w:r w:rsidRPr="00E80F7F">
        <w:rPr>
          <w:b/>
          <w:lang w:val="en-GB"/>
        </w:rPr>
        <w:t>Figure S11.</w:t>
      </w:r>
      <w:r w:rsidRPr="00E80F7F">
        <w:rPr>
          <w:lang w:val="en-GB"/>
        </w:rPr>
        <w:t xml:space="preserve"> Simulated steady-state </w:t>
      </w:r>
      <w:r w:rsidRPr="00E80F7F">
        <w:rPr>
          <w:i/>
          <w:lang w:val="en-GB"/>
        </w:rPr>
        <w:t>JV</w:t>
      </w:r>
      <w:r w:rsidRPr="00E80F7F">
        <w:rPr>
          <w:lang w:val="en-GB"/>
        </w:rPr>
        <w:t xml:space="preserve"> curves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perovskite solar cells with varying mobile ion densities. It can be seen that increasing mobile ion densities lead to significant current losses once the ion densities pass the threshold of about 10</w:t>
      </w:r>
      <w:r w:rsidRPr="00E80F7F">
        <w:rPr>
          <w:vertAlign w:val="superscript"/>
          <w:lang w:val="en-GB"/>
        </w:rPr>
        <w:t>15</w:t>
      </w:r>
      <w:r w:rsidRPr="00E80F7F">
        <w:rPr>
          <w:lang w:val="en-GB"/>
        </w:rPr>
        <w:t xml:space="preserve"> cm</w:t>
      </w:r>
      <w:r w:rsidRPr="00E80F7F">
        <w:rPr>
          <w:vertAlign w:val="superscript"/>
          <w:lang w:val="en-GB"/>
        </w:rPr>
        <w:t>-3</w:t>
      </w:r>
      <w:r w:rsidRPr="00E80F7F">
        <w:rPr>
          <w:lang w:val="en-GB"/>
        </w:rPr>
        <w:t>.</w:t>
      </w:r>
    </w:p>
    <w:p w14:paraId="4BA19407" w14:textId="77777777" w:rsidR="00345759" w:rsidRPr="00E80F7F" w:rsidRDefault="00345759" w:rsidP="00345759">
      <w:pPr>
        <w:jc w:val="both"/>
        <w:rPr>
          <w:lang w:val="en-GB"/>
        </w:rPr>
      </w:pPr>
    </w:p>
    <w:p w14:paraId="10B8A84A" w14:textId="77777777" w:rsidR="00345759" w:rsidRPr="00E80F7F" w:rsidRDefault="00345759" w:rsidP="00345759">
      <w:pPr>
        <w:jc w:val="both"/>
        <w:rPr>
          <w:lang w:val="en-GB"/>
        </w:rPr>
      </w:pPr>
    </w:p>
    <w:p w14:paraId="171CC6E6" w14:textId="77777777" w:rsidR="00345759" w:rsidRPr="00E80F7F" w:rsidRDefault="00345759" w:rsidP="00345759">
      <w:pPr>
        <w:jc w:val="both"/>
        <w:rPr>
          <w:lang w:val="en-GB"/>
        </w:rPr>
      </w:pPr>
      <w:r w:rsidRPr="00E80F7F">
        <w:rPr>
          <w:noProof/>
        </w:rPr>
        <w:drawing>
          <wp:inline distT="0" distB="0" distL="0" distR="0" wp14:anchorId="6084E2DF" wp14:editId="650074A7">
            <wp:extent cx="5731510" cy="3044825"/>
            <wp:effectExtent l="0" t="0" r="2540" b="3175"/>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3044825"/>
                    </a:xfrm>
                    <a:prstGeom prst="rect">
                      <a:avLst/>
                    </a:prstGeom>
                  </pic:spPr>
                </pic:pic>
              </a:graphicData>
            </a:graphic>
          </wp:inline>
        </w:drawing>
      </w:r>
    </w:p>
    <w:p w14:paraId="460718E1" w14:textId="77777777" w:rsidR="00345759" w:rsidRPr="00E80F7F" w:rsidRDefault="00345759" w:rsidP="00345759">
      <w:pPr>
        <w:jc w:val="both"/>
        <w:rPr>
          <w:b/>
          <w:lang w:val="en-GB"/>
        </w:rPr>
      </w:pPr>
      <w:r w:rsidRPr="00E80F7F">
        <w:rPr>
          <w:b/>
          <w:lang w:val="en-GB"/>
        </w:rPr>
        <w:lastRenderedPageBreak/>
        <w:t>Figure S12</w:t>
      </w:r>
      <w:r w:rsidRPr="00E80F7F">
        <w:rPr>
          <w:lang w:val="en-GB"/>
        </w:rPr>
        <w:t xml:space="preserve"> Simulated band diagrams at 0V for devices with different mobile ion densities. It can be seen that increasing mobile ion densities lead to significant flattening of the bands, which in turn causes a reduced charge carrier extraction efficiency and leads to the current losses observed in the </w:t>
      </w:r>
      <w:r w:rsidRPr="00E80F7F">
        <w:rPr>
          <w:i/>
          <w:lang w:val="en-GB"/>
        </w:rPr>
        <w:t>JV</w:t>
      </w:r>
      <w:r w:rsidRPr="00E80F7F">
        <w:rPr>
          <w:lang w:val="en-GB"/>
        </w:rPr>
        <w:t xml:space="preserve"> curves displayed </w:t>
      </w:r>
      <w:r w:rsidRPr="006F329D">
        <w:rPr>
          <w:lang w:val="en-GB"/>
        </w:rPr>
        <w:t>in Figure S11.</w:t>
      </w:r>
    </w:p>
    <w:p w14:paraId="195259D7" w14:textId="77777777" w:rsidR="00345759" w:rsidRPr="00E80F7F" w:rsidRDefault="00345759" w:rsidP="00345759">
      <w:pPr>
        <w:jc w:val="both"/>
        <w:rPr>
          <w:lang w:val="en-GB"/>
        </w:rPr>
      </w:pPr>
    </w:p>
    <w:p w14:paraId="074D4861" w14:textId="77777777" w:rsidR="00345759" w:rsidRPr="00E80F7F" w:rsidRDefault="00345759" w:rsidP="00345759">
      <w:pPr>
        <w:jc w:val="both"/>
        <w:rPr>
          <w:lang w:val="en-GB"/>
        </w:rPr>
      </w:pPr>
      <w:r w:rsidRPr="00E80F7F">
        <w:rPr>
          <w:noProof/>
        </w:rPr>
        <w:drawing>
          <wp:inline distT="0" distB="0" distL="0" distR="0" wp14:anchorId="5D881D3B" wp14:editId="49D65638">
            <wp:extent cx="5731510" cy="2277745"/>
            <wp:effectExtent l="0" t="0" r="2540" b="8255"/>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2277745"/>
                    </a:xfrm>
                    <a:prstGeom prst="rect">
                      <a:avLst/>
                    </a:prstGeom>
                  </pic:spPr>
                </pic:pic>
              </a:graphicData>
            </a:graphic>
          </wp:inline>
        </w:drawing>
      </w:r>
    </w:p>
    <w:p w14:paraId="3ADE585A" w14:textId="77777777" w:rsidR="00345759" w:rsidRPr="00E80F7F" w:rsidRDefault="00345759" w:rsidP="00345759">
      <w:pPr>
        <w:jc w:val="both"/>
        <w:rPr>
          <w:lang w:val="en-GB"/>
        </w:rPr>
      </w:pPr>
      <w:r w:rsidRPr="00E80F7F">
        <w:rPr>
          <w:b/>
          <w:lang w:val="en-GB"/>
        </w:rPr>
        <w:t>Figure S13.</w:t>
      </w:r>
      <w:r w:rsidRPr="00E80F7F">
        <w:rPr>
          <w:lang w:val="en-GB"/>
        </w:rPr>
        <w:t xml:space="preserve"> Simulated performance metrics PCE for a range of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perovskite solar cells with</w:t>
      </w:r>
      <w:r w:rsidRPr="00D224E8">
        <w:rPr>
          <w:b/>
          <w:lang w:val="en-GB"/>
        </w:rPr>
        <w:t xml:space="preserve"> a</w:t>
      </w:r>
      <w:r>
        <w:rPr>
          <w:lang w:val="en-GB"/>
        </w:rPr>
        <w:t xml:space="preserve"> </w:t>
      </w:r>
      <w:r w:rsidRPr="00E80F7F">
        <w:rPr>
          <w:lang w:val="en-GB"/>
        </w:rPr>
        <w:t xml:space="preserve">varying interfacial energy offsets and </w:t>
      </w:r>
      <w:r w:rsidRPr="00D224E8">
        <w:rPr>
          <w:b/>
          <w:lang w:val="en-GB"/>
        </w:rPr>
        <w:t>b</w:t>
      </w:r>
      <w:r>
        <w:rPr>
          <w:lang w:val="en-GB"/>
        </w:rPr>
        <w:t xml:space="preserve"> </w:t>
      </w:r>
      <w:r w:rsidRPr="00E80F7F">
        <w:rPr>
          <w:lang w:val="en-GB"/>
        </w:rPr>
        <w:t xml:space="preserve">bulk lifetimes. </w:t>
      </w:r>
    </w:p>
    <w:p w14:paraId="7EF0477D" w14:textId="77777777" w:rsidR="00345759" w:rsidRPr="00E80F7F" w:rsidRDefault="00345759" w:rsidP="00345759">
      <w:pPr>
        <w:jc w:val="both"/>
        <w:rPr>
          <w:lang w:val="en-GB"/>
        </w:rPr>
      </w:pPr>
    </w:p>
    <w:p w14:paraId="62F37B99" w14:textId="77777777" w:rsidR="00345759" w:rsidRPr="00E80F7F" w:rsidRDefault="00345759" w:rsidP="00345759">
      <w:pPr>
        <w:jc w:val="both"/>
        <w:rPr>
          <w:lang w:val="en-GB"/>
        </w:rPr>
      </w:pPr>
    </w:p>
    <w:p w14:paraId="31D979B8" w14:textId="77777777" w:rsidR="00345759" w:rsidRPr="00E80F7F" w:rsidRDefault="00345759" w:rsidP="00345759">
      <w:pPr>
        <w:jc w:val="center"/>
        <w:rPr>
          <w:lang w:val="en-GB"/>
        </w:rPr>
      </w:pPr>
      <w:r>
        <w:rPr>
          <w:noProof/>
        </w:rPr>
        <w:lastRenderedPageBreak/>
        <w:drawing>
          <wp:inline distT="0" distB="0" distL="0" distR="0" wp14:anchorId="3EB690DD" wp14:editId="7CE0450C">
            <wp:extent cx="5169650" cy="3881533"/>
            <wp:effectExtent l="0" t="0" r="0" b="508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177105" cy="3887131"/>
                    </a:xfrm>
                    <a:prstGeom prst="rect">
                      <a:avLst/>
                    </a:prstGeom>
                  </pic:spPr>
                </pic:pic>
              </a:graphicData>
            </a:graphic>
          </wp:inline>
        </w:drawing>
      </w:r>
    </w:p>
    <w:p w14:paraId="7F1F5936" w14:textId="77777777" w:rsidR="00345759" w:rsidRPr="00E80F7F" w:rsidRDefault="00345759" w:rsidP="00345759">
      <w:pPr>
        <w:jc w:val="both"/>
        <w:rPr>
          <w:lang w:val="en-GB"/>
        </w:rPr>
      </w:pPr>
      <w:r w:rsidRPr="00E80F7F">
        <w:rPr>
          <w:b/>
          <w:lang w:val="en-GB"/>
        </w:rPr>
        <w:t>Figure S14.</w:t>
      </w:r>
      <w:r w:rsidRPr="00E80F7F">
        <w:rPr>
          <w:lang w:val="en-GB"/>
        </w:rPr>
        <w:t xml:space="preserve"> Simulated performance metrics PCE (</w:t>
      </w:r>
      <w:r w:rsidRPr="00E80F7F">
        <w:rPr>
          <w:b/>
          <w:lang w:val="en-GB"/>
        </w:rPr>
        <w:t>a</w:t>
      </w:r>
      <w:r w:rsidRPr="00E80F7F">
        <w:rPr>
          <w:lang w:val="en-GB"/>
        </w:rPr>
        <w:t xml:space="preserve">), </w:t>
      </w:r>
      <w:r w:rsidRPr="00E80F7F">
        <w:rPr>
          <w:i/>
          <w:lang w:val="en-GB"/>
        </w:rPr>
        <w:t>J</w:t>
      </w:r>
      <w:r w:rsidRPr="00E80F7F">
        <w:rPr>
          <w:vertAlign w:val="subscript"/>
          <w:lang w:val="en-GB"/>
        </w:rPr>
        <w:t>SC</w:t>
      </w:r>
      <w:r w:rsidRPr="00E80F7F">
        <w:rPr>
          <w:lang w:val="en-GB"/>
        </w:rPr>
        <w:t xml:space="preserve"> (</w:t>
      </w:r>
      <w:r w:rsidRPr="00E80F7F">
        <w:rPr>
          <w:b/>
          <w:lang w:val="en-GB"/>
        </w:rPr>
        <w:t>b</w:t>
      </w:r>
      <w:r w:rsidRPr="00E80F7F">
        <w:rPr>
          <w:lang w:val="en-GB"/>
        </w:rPr>
        <w:t xml:space="preserve">), </w:t>
      </w:r>
      <w:r w:rsidRPr="00E80F7F">
        <w:rPr>
          <w:i/>
          <w:lang w:val="en-GB"/>
        </w:rPr>
        <w:t>V</w:t>
      </w:r>
      <w:r w:rsidRPr="00E80F7F">
        <w:rPr>
          <w:vertAlign w:val="subscript"/>
          <w:lang w:val="en-GB"/>
        </w:rPr>
        <w:t>OC</w:t>
      </w:r>
      <w:r w:rsidRPr="00E80F7F">
        <w:rPr>
          <w:lang w:val="en-GB"/>
        </w:rPr>
        <w:t xml:space="preserve"> (</w:t>
      </w:r>
      <w:r w:rsidRPr="00E80F7F">
        <w:rPr>
          <w:b/>
          <w:lang w:val="en-GB"/>
        </w:rPr>
        <w:t>c</w:t>
      </w:r>
      <w:r w:rsidRPr="00E80F7F">
        <w:rPr>
          <w:lang w:val="en-GB"/>
        </w:rPr>
        <w:t>) and FF (</w:t>
      </w:r>
      <w:r w:rsidRPr="00E80F7F">
        <w:rPr>
          <w:b/>
          <w:lang w:val="en-GB"/>
        </w:rPr>
        <w:t>d</w:t>
      </w:r>
      <w:r w:rsidRPr="00E80F7F">
        <w:rPr>
          <w:lang w:val="en-GB"/>
        </w:rPr>
        <w:t>) for a range of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cells with varying mobile ion densities. The prebias was chose to match the initial </w:t>
      </w:r>
      <w:r w:rsidRPr="00E80F7F">
        <w:rPr>
          <w:i/>
          <w:lang w:val="en-GB"/>
        </w:rPr>
        <w:t>V</w:t>
      </w:r>
      <w:r w:rsidRPr="00E80F7F">
        <w:rPr>
          <w:vertAlign w:val="subscript"/>
          <w:lang w:val="en-GB"/>
        </w:rPr>
        <w:t>OC</w:t>
      </w:r>
      <w:r w:rsidRPr="00E80F7F">
        <w:rPr>
          <w:vertAlign w:val="superscript"/>
          <w:lang w:val="en-GB"/>
        </w:rPr>
        <w:t xml:space="preserve"> </w:t>
      </w:r>
      <w:r w:rsidRPr="00E80F7F">
        <w:rPr>
          <w:lang w:val="en-GB"/>
        </w:rPr>
        <w:t>(1.18 V) for a device with a built-in voltage of 1.5 V.</w:t>
      </w:r>
    </w:p>
    <w:p w14:paraId="70AE76DB" w14:textId="77777777" w:rsidR="00345759" w:rsidRPr="00E80F7F" w:rsidRDefault="00345759" w:rsidP="00345759">
      <w:pPr>
        <w:jc w:val="both"/>
        <w:rPr>
          <w:lang w:val="en-GB"/>
        </w:rPr>
      </w:pPr>
    </w:p>
    <w:p w14:paraId="7012B4B4" w14:textId="77777777" w:rsidR="00345759" w:rsidRPr="00E80F7F" w:rsidRDefault="00345759" w:rsidP="00345759">
      <w:pPr>
        <w:jc w:val="center"/>
        <w:rPr>
          <w:highlight w:val="darkGray"/>
          <w:lang w:val="en-GB"/>
        </w:rPr>
      </w:pPr>
      <w:r w:rsidRPr="00E80F7F">
        <w:rPr>
          <w:noProof/>
        </w:rPr>
        <w:drawing>
          <wp:inline distT="0" distB="0" distL="0" distR="0" wp14:anchorId="42C5EA99" wp14:editId="3DC5D88F">
            <wp:extent cx="5731510" cy="2437130"/>
            <wp:effectExtent l="0" t="0" r="2540" b="127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2437130"/>
                    </a:xfrm>
                    <a:prstGeom prst="rect">
                      <a:avLst/>
                    </a:prstGeom>
                  </pic:spPr>
                </pic:pic>
              </a:graphicData>
            </a:graphic>
          </wp:inline>
        </w:drawing>
      </w:r>
    </w:p>
    <w:p w14:paraId="18AB550E" w14:textId="77777777" w:rsidR="00345759" w:rsidRPr="00E80F7F" w:rsidRDefault="00345759" w:rsidP="00345759">
      <w:pPr>
        <w:jc w:val="both"/>
        <w:rPr>
          <w:lang w:val="en-GB"/>
        </w:rPr>
      </w:pPr>
      <w:r w:rsidRPr="00E80F7F">
        <w:rPr>
          <w:b/>
          <w:lang w:val="en-GB"/>
        </w:rPr>
        <w:t xml:space="preserve">Figure </w:t>
      </w:r>
      <w:r>
        <w:rPr>
          <w:b/>
          <w:lang w:val="en-GB"/>
        </w:rPr>
        <w:t>S</w:t>
      </w:r>
      <w:r w:rsidRPr="00E80F7F">
        <w:rPr>
          <w:b/>
          <w:lang w:val="en-GB"/>
        </w:rPr>
        <w:t xml:space="preserve">15. </w:t>
      </w:r>
      <w:r w:rsidRPr="00E80F7F">
        <w:rPr>
          <w:lang w:val="en-GB"/>
        </w:rPr>
        <w:t>Ion-time of flight transient in a charge extraction experiment (BACE) measured on a fresh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 with increased time resolution. The efficient transit time of the mobile ions is ~50 ms which matches the peak hysteresis in averaged FH measurements </w:t>
      </w:r>
      <w:r w:rsidRPr="00E80F7F">
        <w:rPr>
          <w:lang w:val="en-GB"/>
        </w:rPr>
        <w:lastRenderedPageBreak/>
        <w:t xml:space="preserve">on 5 fresh devices (50 ms scan time). The associated effective ion mobility is </w:t>
      </w:r>
      <m:oMath>
        <m:r>
          <w:rPr>
            <w:rFonts w:ascii="Cambria Math" w:hAnsi="Cambria Math"/>
            <w:lang w:val="en-GB"/>
          </w:rPr>
          <m:t>μ</m:t>
        </m:r>
      </m:oMath>
      <w:r w:rsidRPr="00E80F7F">
        <w:rPr>
          <w:lang w:val="en-GB"/>
        </w:rPr>
        <w:t xml:space="preserve"> = 2x10</w:t>
      </w:r>
      <w:r w:rsidRPr="00E80F7F">
        <w:rPr>
          <w:vertAlign w:val="superscript"/>
          <w:lang w:val="en-GB"/>
        </w:rPr>
        <w:t>-8</w:t>
      </w:r>
      <w:r w:rsidRPr="00E80F7F">
        <w:rPr>
          <w:lang w:val="en-GB"/>
        </w:rPr>
        <w:t xml:space="preserve"> cm</w:t>
      </w:r>
      <w:r w:rsidRPr="00E80F7F">
        <w:rPr>
          <w:vertAlign w:val="superscript"/>
          <w:lang w:val="en-GB"/>
        </w:rPr>
        <w:t>2</w:t>
      </w:r>
      <w:r w:rsidRPr="006F329D">
        <w:rPr>
          <w:lang w:val="en-GB"/>
        </w:rPr>
        <w:t>/Vs</w:t>
      </w:r>
      <w:r w:rsidRPr="00E80F7F">
        <w:rPr>
          <w:vertAlign w:val="superscript"/>
          <w:lang w:val="en-GB"/>
        </w:rPr>
        <w:t xml:space="preserve"> </w:t>
      </w:r>
      <w:r w:rsidRPr="00D224E8">
        <w:rPr>
          <w:lang w:val="en-GB"/>
        </w:rPr>
        <w:t>and</w:t>
      </w:r>
      <w:r w:rsidRPr="00E80F7F">
        <w:rPr>
          <w:vertAlign w:val="superscript"/>
          <w:lang w:val="en-GB"/>
        </w:rPr>
        <w:t xml:space="preserve"> </w:t>
      </w:r>
      <w:r w:rsidRPr="00E80F7F">
        <w:rPr>
          <w:lang w:val="en-GB"/>
        </w:rPr>
        <w:t xml:space="preserve">the diffusion coefficient  </w:t>
      </w:r>
      <m:oMath>
        <m:r>
          <w:rPr>
            <w:rFonts w:ascii="Cambria Math" w:hAnsi="Cambria Math"/>
            <w:lang w:val="en-GB"/>
          </w:rPr>
          <m:t>D</m:t>
        </m:r>
      </m:oMath>
      <w:r w:rsidRPr="00E80F7F">
        <w:rPr>
          <w:lang w:val="en-GB"/>
        </w:rPr>
        <w:t xml:space="preserve"> = 7x10</w:t>
      </w:r>
      <w:r w:rsidRPr="00E80F7F">
        <w:rPr>
          <w:vertAlign w:val="superscript"/>
          <w:lang w:val="en-GB"/>
        </w:rPr>
        <w:t xml:space="preserve">-10 </w:t>
      </w:r>
      <w:r w:rsidRPr="00E80F7F">
        <w:rPr>
          <w:lang w:val="en-GB"/>
        </w:rPr>
        <w:t>cm/s.</w:t>
      </w:r>
    </w:p>
    <w:p w14:paraId="7FEAB0B5" w14:textId="77777777" w:rsidR="00345759" w:rsidRPr="00E80F7F" w:rsidRDefault="00345759" w:rsidP="00345759">
      <w:pPr>
        <w:jc w:val="both"/>
        <w:rPr>
          <w:b/>
          <w:lang w:val="en-GB"/>
        </w:rPr>
      </w:pPr>
    </w:p>
    <w:p w14:paraId="6989F98D" w14:textId="77777777" w:rsidR="00345759" w:rsidRPr="00E80F7F" w:rsidRDefault="00345759" w:rsidP="00345759">
      <w:pPr>
        <w:jc w:val="both"/>
        <w:rPr>
          <w:b/>
          <w:highlight w:val="darkGray"/>
          <w:lang w:val="en-GB"/>
        </w:rPr>
      </w:pPr>
      <w:r w:rsidRPr="00E80F7F">
        <w:rPr>
          <w:noProof/>
        </w:rPr>
        <w:drawing>
          <wp:inline distT="0" distB="0" distL="0" distR="0" wp14:anchorId="6A11ABC8" wp14:editId="42F7FC96">
            <wp:extent cx="5731510" cy="2299335"/>
            <wp:effectExtent l="0" t="0" r="2540" b="5715"/>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2299335"/>
                    </a:xfrm>
                    <a:prstGeom prst="rect">
                      <a:avLst/>
                    </a:prstGeom>
                  </pic:spPr>
                </pic:pic>
              </a:graphicData>
            </a:graphic>
          </wp:inline>
        </w:drawing>
      </w:r>
    </w:p>
    <w:p w14:paraId="6D378257" w14:textId="77777777" w:rsidR="00345759" w:rsidRPr="00E80F7F" w:rsidRDefault="00345759" w:rsidP="00345759">
      <w:pPr>
        <w:jc w:val="both"/>
        <w:rPr>
          <w:lang w:val="en-GB"/>
        </w:rPr>
      </w:pPr>
      <w:r w:rsidRPr="00E80F7F">
        <w:rPr>
          <w:b/>
          <w:lang w:val="en-GB"/>
        </w:rPr>
        <w:t xml:space="preserve">Figure </w:t>
      </w:r>
      <w:r>
        <w:rPr>
          <w:b/>
          <w:lang w:val="en-GB"/>
        </w:rPr>
        <w:t>S</w:t>
      </w:r>
      <w:r w:rsidRPr="00E80F7F">
        <w:rPr>
          <w:b/>
          <w:lang w:val="en-GB"/>
        </w:rPr>
        <w:t>16.</w:t>
      </w:r>
      <w:r w:rsidRPr="00E80F7F">
        <w:rPr>
          <w:b/>
          <w:i/>
          <w:lang w:val="en-GB"/>
        </w:rPr>
        <w:t xml:space="preserve"> </w:t>
      </w:r>
      <w:r w:rsidRPr="00E80F7F">
        <w:rPr>
          <w:lang w:val="en-GB"/>
        </w:rPr>
        <w:t>Charge Extraction by Linearly Increasing Voltage (CELIV) measurements on</w:t>
      </w:r>
      <w:r w:rsidRPr="00E80F7F">
        <w:rPr>
          <w:b/>
          <w:lang w:val="en-GB"/>
        </w:rPr>
        <w:t xml:space="preserve"> a</w:t>
      </w:r>
      <w:r w:rsidRPr="00E80F7F">
        <w:rPr>
          <w:lang w:val="en-GB"/>
        </w:rPr>
        <w:t xml:space="preserve"> fresh and </w:t>
      </w:r>
      <w:r w:rsidRPr="00E80F7F">
        <w:rPr>
          <w:b/>
          <w:lang w:val="en-GB"/>
        </w:rPr>
        <w:t>b</w:t>
      </w:r>
      <w:r w:rsidRPr="00E80F7F">
        <w:rPr>
          <w:lang w:val="en-GB"/>
        </w:rPr>
        <w:t xml:space="preserve"> 8-hour aged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cells revealing a huge increase of the capacitance (as calculated from </w:t>
      </w:r>
      <m:oMath>
        <m:r>
          <w:rPr>
            <w:rFonts w:ascii="Cambria Math" w:hAnsi="Cambria Math" w:cstheme="minorHAnsi"/>
            <w:lang w:val="en-GB"/>
          </w:rPr>
          <m:t xml:space="preserve">C = </m:t>
        </m:r>
        <m:r>
          <w:rPr>
            <w:rFonts w:ascii="Cambria Math" w:hAnsi="Cambria Math"/>
            <w:lang w:val="en-GB"/>
          </w:rPr>
          <m:t>V/(S</m:t>
        </m:r>
        <m:sSub>
          <m:sSubPr>
            <m:ctrlPr>
              <w:rPr>
                <w:rFonts w:ascii="Cambria Math" w:hAnsi="Cambria Math"/>
                <w:i/>
                <w:lang w:val="en-GB"/>
              </w:rPr>
            </m:ctrlPr>
          </m:sSubPr>
          <m:e>
            <m:r>
              <w:rPr>
                <w:rFonts w:ascii="Cambria Math" w:hAnsi="Cambria Math"/>
                <w:lang w:val="en-GB"/>
              </w:rPr>
              <m:t>R</m:t>
            </m:r>
          </m:e>
          <m:sub>
            <m:r>
              <m:rPr>
                <m:sty m:val="p"/>
              </m:rPr>
              <w:rPr>
                <w:rFonts w:ascii="Cambria Math" w:hAnsi="Cambria Math"/>
                <w:vertAlign w:val="subscript"/>
                <w:lang w:val="en-GB"/>
              </w:rPr>
              <m:t>Load</m:t>
            </m:r>
          </m:sub>
        </m:sSub>
        <m:r>
          <w:rPr>
            <w:rFonts w:ascii="Cambria Math" w:hAnsi="Cambria Math"/>
            <w:lang w:val="en-GB"/>
          </w:rPr>
          <m:t>)</m:t>
        </m:r>
      </m:oMath>
      <w:r w:rsidRPr="00E80F7F">
        <w:rPr>
          <w:lang w:val="en-GB"/>
        </w:rPr>
        <w:t xml:space="preserve">, where </w:t>
      </w:r>
      <m:oMath>
        <m:r>
          <w:rPr>
            <w:rFonts w:ascii="Cambria Math" w:hAnsi="Cambria Math"/>
            <w:lang w:val="en-GB"/>
          </w:rPr>
          <m:t>V</m:t>
        </m:r>
      </m:oMath>
      <w:r w:rsidRPr="00E80F7F">
        <w:rPr>
          <w:lang w:val="en-GB"/>
        </w:rPr>
        <w:t xml:space="preserve"> is recorded voltage on the oscilloscope, </w:t>
      </w:r>
      <m:oMath>
        <m:r>
          <w:rPr>
            <w:rFonts w:ascii="Cambria Math" w:hAnsi="Cambria Math"/>
            <w:lang w:val="en-GB"/>
          </w:rPr>
          <m:t>S</m:t>
        </m:r>
      </m:oMath>
      <w:r w:rsidRPr="00E80F7F">
        <w:rPr>
          <w:lang w:val="en-GB"/>
        </w:rPr>
        <w:t xml:space="preserve"> slope of the applied voltage pulse and </w:t>
      </w:r>
      <m:oMath>
        <m:sSub>
          <m:sSubPr>
            <m:ctrlPr>
              <w:rPr>
                <w:rFonts w:ascii="Cambria Math" w:hAnsi="Cambria Math"/>
                <w:i/>
                <w:lang w:val="en-GB"/>
              </w:rPr>
            </m:ctrlPr>
          </m:sSubPr>
          <m:e>
            <m:r>
              <w:rPr>
                <w:rFonts w:ascii="Cambria Math" w:hAnsi="Cambria Math"/>
                <w:lang w:val="en-GB"/>
              </w:rPr>
              <m:t>R</m:t>
            </m:r>
          </m:e>
          <m:sub>
            <m:r>
              <m:rPr>
                <m:sty m:val="p"/>
              </m:rPr>
              <w:rPr>
                <w:rFonts w:ascii="Cambria Math" w:hAnsi="Cambria Math"/>
                <w:vertAlign w:val="subscript"/>
                <w:lang w:val="en-GB"/>
              </w:rPr>
              <m:t>Load</m:t>
            </m:r>
          </m:sub>
        </m:sSub>
      </m:oMath>
      <w:r w:rsidRPr="00E80F7F">
        <w:rPr>
          <w:lang w:val="en-GB"/>
        </w:rPr>
        <w:t xml:space="preserve"> the load resistance) at long timescales on the aged device. </w:t>
      </w:r>
    </w:p>
    <w:p w14:paraId="059047EF" w14:textId="77777777" w:rsidR="00345759" w:rsidRPr="00E80F7F" w:rsidRDefault="00345759" w:rsidP="00345759">
      <w:pPr>
        <w:jc w:val="both"/>
        <w:rPr>
          <w:lang w:val="en-GB"/>
        </w:rPr>
      </w:pPr>
    </w:p>
    <w:p w14:paraId="0B2446E9" w14:textId="77777777" w:rsidR="00345759" w:rsidRPr="00E80F7F" w:rsidRDefault="00345759" w:rsidP="00345759">
      <w:pPr>
        <w:jc w:val="both"/>
        <w:rPr>
          <w:lang w:val="en-GB"/>
        </w:rPr>
      </w:pPr>
    </w:p>
    <w:p w14:paraId="09C11D22" w14:textId="77777777" w:rsidR="00345759" w:rsidRPr="00E80F7F" w:rsidRDefault="00345759" w:rsidP="00345759">
      <w:pPr>
        <w:jc w:val="both"/>
        <w:rPr>
          <w:lang w:val="en-GB"/>
        </w:rPr>
      </w:pPr>
    </w:p>
    <w:p w14:paraId="50875593" w14:textId="77777777" w:rsidR="00345759" w:rsidRPr="00E80F7F" w:rsidRDefault="00345759" w:rsidP="00345759">
      <w:pPr>
        <w:jc w:val="both"/>
        <w:rPr>
          <w:lang w:val="en-GB"/>
        </w:rPr>
      </w:pPr>
      <w:r>
        <w:rPr>
          <w:noProof/>
        </w:rPr>
        <w:drawing>
          <wp:inline distT="0" distB="0" distL="0" distR="0" wp14:anchorId="3EA1D3AB" wp14:editId="61422468">
            <wp:extent cx="5731510" cy="1572895"/>
            <wp:effectExtent l="0" t="0" r="254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1572895"/>
                    </a:xfrm>
                    <a:prstGeom prst="rect">
                      <a:avLst/>
                    </a:prstGeom>
                  </pic:spPr>
                </pic:pic>
              </a:graphicData>
            </a:graphic>
          </wp:inline>
        </w:drawing>
      </w:r>
    </w:p>
    <w:p w14:paraId="72EAD964" w14:textId="77777777" w:rsidR="00345759" w:rsidRPr="00E80F7F" w:rsidRDefault="00345759" w:rsidP="00345759">
      <w:pPr>
        <w:jc w:val="both"/>
        <w:rPr>
          <w:lang w:val="en-GB"/>
        </w:rPr>
      </w:pPr>
      <w:r w:rsidRPr="00E80F7F">
        <w:rPr>
          <w:b/>
          <w:lang w:val="en-GB"/>
        </w:rPr>
        <w:t>Figure S17.</w:t>
      </w:r>
      <w:r w:rsidRPr="00E80F7F">
        <w:rPr>
          <w:lang w:val="en-GB"/>
        </w:rPr>
        <w:t xml:space="preserve"> Bias Assisted Charge Extraction (BACE) measurements for </w:t>
      </w:r>
      <w:r w:rsidRPr="00E80F7F">
        <w:rPr>
          <w:b/>
          <w:lang w:val="en-GB"/>
        </w:rPr>
        <w:t>a</w:t>
      </w:r>
      <w:r w:rsidRPr="00E80F7F">
        <w:rPr>
          <w:lang w:val="en-GB"/>
        </w:rPr>
        <w:t xml:space="preserve"> </w:t>
      </w:r>
      <w:r>
        <w:rPr>
          <w:lang w:val="en-GB"/>
        </w:rPr>
        <w:t>1.8 eV WG</w:t>
      </w:r>
      <w:r w:rsidRPr="005D6D1C">
        <w:rPr>
          <w:lang w:val="en-GB"/>
        </w:rPr>
        <w:t xml:space="preserve"> </w:t>
      </w:r>
      <w:r>
        <w:rPr>
          <w:lang w:val="en-GB"/>
        </w:rPr>
        <w:t>(</w:t>
      </w:r>
      <w:r w:rsidRPr="00205EC2">
        <w:rPr>
          <w:lang w:val="en-GB"/>
        </w:rPr>
        <w:t>Cs</w:t>
      </w:r>
      <w:r w:rsidRPr="00205EC2">
        <w:rPr>
          <w:vertAlign w:val="subscript"/>
          <w:lang w:val="en-GB"/>
        </w:rPr>
        <w:t>0.05</w:t>
      </w:r>
      <w:r w:rsidRPr="00205EC2">
        <w:rPr>
          <w:lang w:val="en-GB"/>
        </w:rPr>
        <w:t>(FA</w:t>
      </w:r>
      <w:r w:rsidRPr="00205EC2">
        <w:rPr>
          <w:vertAlign w:val="subscript"/>
          <w:lang w:val="en-GB"/>
        </w:rPr>
        <w:t>0.6</w:t>
      </w:r>
      <w:r w:rsidRPr="00205EC2">
        <w:rPr>
          <w:lang w:val="en-GB"/>
        </w:rPr>
        <w:t>MA</w:t>
      </w:r>
      <w:r w:rsidRPr="00205EC2">
        <w:rPr>
          <w:vertAlign w:val="subscript"/>
          <w:lang w:val="en-GB"/>
        </w:rPr>
        <w:t>0.4</w:t>
      </w:r>
      <w:r w:rsidRPr="00205EC2">
        <w:rPr>
          <w:lang w:val="en-GB"/>
        </w:rPr>
        <w:t>)</w:t>
      </w:r>
      <w:r w:rsidRPr="00205EC2">
        <w:rPr>
          <w:vertAlign w:val="subscript"/>
          <w:lang w:val="en-GB"/>
        </w:rPr>
        <w:t>0.95</w:t>
      </w:r>
      <w:r w:rsidRPr="00205EC2">
        <w:rPr>
          <w:lang w:val="en-GB"/>
        </w:rPr>
        <w:t>Pb(I</w:t>
      </w:r>
      <w:r w:rsidRPr="00205EC2">
        <w:rPr>
          <w:vertAlign w:val="subscript"/>
          <w:lang w:val="en-GB"/>
        </w:rPr>
        <w:t>0.6</w:t>
      </w:r>
      <w:r w:rsidRPr="00205EC2">
        <w:rPr>
          <w:lang w:val="en-GB"/>
        </w:rPr>
        <w:t>Br</w:t>
      </w:r>
      <w:r w:rsidRPr="00205EC2">
        <w:rPr>
          <w:vertAlign w:val="subscript"/>
          <w:lang w:val="en-GB"/>
        </w:rPr>
        <w:t>0.4</w:t>
      </w:r>
      <w:r w:rsidRPr="00205EC2">
        <w:rPr>
          <w:lang w:val="en-GB"/>
        </w:rPr>
        <w:t>)</w:t>
      </w:r>
      <w:r w:rsidRPr="00205EC2">
        <w:rPr>
          <w:vertAlign w:val="subscript"/>
          <w:lang w:val="en-GB"/>
        </w:rPr>
        <w:t>3</w:t>
      </w:r>
      <w:r w:rsidRPr="005D6D1C">
        <w:rPr>
          <w:lang w:val="en-GB"/>
        </w:rPr>
        <w:t>)</w:t>
      </w:r>
      <w:r>
        <w:rPr>
          <w:vertAlign w:val="subscript"/>
          <w:lang w:val="en-GB"/>
        </w:rPr>
        <w:t xml:space="preserve"> </w:t>
      </w:r>
      <w:r>
        <w:rPr>
          <w:lang w:val="en-GB"/>
        </w:rPr>
        <w:t>and CsFA (</w:t>
      </w:r>
      <w:r w:rsidRPr="00E80F7F">
        <w:rPr>
          <w:lang w:val="en-GB"/>
        </w:rPr>
        <w:t>FA</w:t>
      </w:r>
      <w:r w:rsidRPr="00E80F7F">
        <w:rPr>
          <w:vertAlign w:val="subscript"/>
          <w:lang w:val="en-GB"/>
        </w:rPr>
        <w:t>0.85</w:t>
      </w:r>
      <w:r w:rsidRPr="00E80F7F">
        <w:rPr>
          <w:lang w:val="en-GB"/>
        </w:rPr>
        <w:t>Cs</w:t>
      </w:r>
      <w:r w:rsidRPr="00E80F7F">
        <w:rPr>
          <w:vertAlign w:val="subscript"/>
          <w:lang w:val="en-GB"/>
        </w:rPr>
        <w:t>0.15</w:t>
      </w:r>
      <w:r w:rsidRPr="00E80F7F">
        <w:rPr>
          <w:lang w:val="en-GB"/>
        </w:rPr>
        <w:t>Pb(I</w:t>
      </w:r>
      <w:r w:rsidRPr="00E80F7F">
        <w:rPr>
          <w:vertAlign w:val="subscript"/>
          <w:lang w:val="en-GB"/>
        </w:rPr>
        <w:t>0.77</w:t>
      </w:r>
      <w:r w:rsidRPr="00E80F7F">
        <w:rPr>
          <w:lang w:val="en-GB"/>
        </w:rPr>
        <w:t>Br</w:t>
      </w:r>
      <w:r w:rsidRPr="00E80F7F">
        <w:rPr>
          <w:vertAlign w:val="subscript"/>
          <w:lang w:val="en-GB"/>
        </w:rPr>
        <w:t>0.23</w:t>
      </w:r>
      <w:r w:rsidRPr="00E80F7F">
        <w:rPr>
          <w:lang w:val="en-GB"/>
        </w:rPr>
        <w:t>)</w:t>
      </w:r>
      <w:r w:rsidRPr="00E80F7F">
        <w:rPr>
          <w:vertAlign w:val="subscript"/>
          <w:lang w:val="en-GB"/>
        </w:rPr>
        <w:t>3</w:t>
      </w:r>
      <w:r>
        <w:rPr>
          <w:lang w:val="en-GB"/>
        </w:rPr>
        <w:t xml:space="preserve">), </w:t>
      </w:r>
      <w:r w:rsidRPr="00E80F7F">
        <w:rPr>
          <w:b/>
          <w:lang w:val="en-GB"/>
        </w:rPr>
        <w:t>b</w:t>
      </w:r>
      <w:r w:rsidRPr="00E80F7F">
        <w:rPr>
          <w:lang w:val="en-GB"/>
        </w:rPr>
        <w:t xml:space="preserve"> MAPbI</w:t>
      </w:r>
      <w:r w:rsidRPr="00E80F7F">
        <w:rPr>
          <w:vertAlign w:val="subscript"/>
          <w:lang w:val="en-GB"/>
        </w:rPr>
        <w:t>3</w:t>
      </w:r>
      <w:r w:rsidRPr="00E80F7F">
        <w:rPr>
          <w:lang w:val="en-GB"/>
        </w:rPr>
        <w:t xml:space="preserve">, and </w:t>
      </w:r>
      <w:r w:rsidRPr="00E80F7F">
        <w:rPr>
          <w:b/>
          <w:lang w:val="en-GB"/>
        </w:rPr>
        <w:t>c</w:t>
      </w:r>
      <w:r w:rsidRPr="00E80F7F">
        <w:rPr>
          <w:lang w:val="en-GB"/>
        </w:rPr>
        <w:t xml:space="preserve"> </w:t>
      </w:r>
      <w:r>
        <w:rPr>
          <w:lang w:val="en-GB"/>
        </w:rPr>
        <w:t>95:5 triple halide (</w:t>
      </w:r>
      <w:r w:rsidRPr="00205EC2">
        <w:rPr>
          <w:lang w:val="en-GB"/>
        </w:rPr>
        <w:t>Cs</w:t>
      </w:r>
      <w:r w:rsidRPr="00205EC2">
        <w:rPr>
          <w:vertAlign w:val="subscript"/>
          <w:lang w:val="en-GB"/>
        </w:rPr>
        <w:t>0.05</w:t>
      </w:r>
      <w:r w:rsidRPr="00205EC2">
        <w:rPr>
          <w:lang w:val="en-GB"/>
        </w:rPr>
        <w:t>(FA</w:t>
      </w:r>
      <w:r>
        <w:rPr>
          <w:vertAlign w:val="subscript"/>
          <w:lang w:val="en-GB"/>
        </w:rPr>
        <w:t>0.95</w:t>
      </w:r>
      <w:r w:rsidRPr="00205EC2">
        <w:rPr>
          <w:lang w:val="en-GB"/>
        </w:rPr>
        <w:t>MA</w:t>
      </w:r>
      <w:r>
        <w:rPr>
          <w:vertAlign w:val="subscript"/>
          <w:lang w:val="en-GB"/>
        </w:rPr>
        <w:t>0.05</w:t>
      </w:r>
      <w:r w:rsidRPr="00205EC2">
        <w:rPr>
          <w:lang w:val="en-GB"/>
        </w:rPr>
        <w:t>)</w:t>
      </w:r>
      <w:r w:rsidRPr="00205EC2">
        <w:rPr>
          <w:vertAlign w:val="subscript"/>
          <w:lang w:val="en-GB"/>
        </w:rPr>
        <w:t>0.95</w:t>
      </w:r>
      <w:r w:rsidRPr="00205EC2">
        <w:rPr>
          <w:lang w:val="en-GB"/>
        </w:rPr>
        <w:t>Pb(I</w:t>
      </w:r>
      <w:r>
        <w:rPr>
          <w:vertAlign w:val="subscript"/>
          <w:lang w:val="en-GB"/>
        </w:rPr>
        <w:t>0.95</w:t>
      </w:r>
      <w:r w:rsidRPr="00205EC2">
        <w:rPr>
          <w:lang w:val="en-GB"/>
        </w:rPr>
        <w:t>Br</w:t>
      </w:r>
      <w:r>
        <w:rPr>
          <w:vertAlign w:val="subscript"/>
          <w:lang w:val="en-GB"/>
        </w:rPr>
        <w:t>0.05</w:t>
      </w:r>
      <w:r w:rsidRPr="00205EC2">
        <w:rPr>
          <w:lang w:val="en-GB"/>
        </w:rPr>
        <w:t>)</w:t>
      </w:r>
      <w:r w:rsidRPr="00205EC2">
        <w:rPr>
          <w:vertAlign w:val="subscript"/>
          <w:lang w:val="en-GB"/>
        </w:rPr>
        <w:t>3</w:t>
      </w:r>
      <w:r>
        <w:rPr>
          <w:lang w:val="en-GB"/>
        </w:rPr>
        <w:t xml:space="preserve"> + </w:t>
      </w:r>
      <w:r w:rsidRPr="00763D2A">
        <w:rPr>
          <w:lang w:val="en-GB"/>
        </w:rPr>
        <w:t>2</w:t>
      </w:r>
      <w:r>
        <w:rPr>
          <w:lang w:val="en-GB"/>
        </w:rPr>
        <w:t xml:space="preserve">0 mol% MACl) </w:t>
      </w:r>
      <w:r w:rsidRPr="00E80F7F">
        <w:rPr>
          <w:lang w:val="en-GB"/>
        </w:rPr>
        <w:t>perovskite solar cells after different ageing times.</w:t>
      </w:r>
      <w:r>
        <w:rPr>
          <w:lang w:val="en-GB"/>
        </w:rPr>
        <w:t xml:space="preserve"> The 95:5 triple halide cells do not show ionic losses (Figure S8) and increased ionic densities on these timescales. </w:t>
      </w:r>
    </w:p>
    <w:p w14:paraId="36A2CE3C" w14:textId="77777777" w:rsidR="00345759" w:rsidRPr="00E80F7F" w:rsidRDefault="00345759" w:rsidP="00345759">
      <w:pPr>
        <w:jc w:val="both"/>
        <w:rPr>
          <w:lang w:val="en-GB"/>
        </w:rPr>
      </w:pPr>
    </w:p>
    <w:p w14:paraId="1ECEA5D9" w14:textId="77777777" w:rsidR="00345759" w:rsidRPr="00E80F7F" w:rsidRDefault="00345759" w:rsidP="00345759">
      <w:pPr>
        <w:jc w:val="center"/>
        <w:rPr>
          <w:lang w:val="en-GB"/>
        </w:rPr>
      </w:pPr>
      <w:r>
        <w:rPr>
          <w:noProof/>
        </w:rPr>
        <w:lastRenderedPageBreak/>
        <w:drawing>
          <wp:inline distT="0" distB="0" distL="0" distR="0" wp14:anchorId="417B8917" wp14:editId="3B4712FE">
            <wp:extent cx="5731510" cy="4451985"/>
            <wp:effectExtent l="0" t="0" r="2540" b="5715"/>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4451985"/>
                    </a:xfrm>
                    <a:prstGeom prst="rect">
                      <a:avLst/>
                    </a:prstGeom>
                  </pic:spPr>
                </pic:pic>
              </a:graphicData>
            </a:graphic>
          </wp:inline>
        </w:drawing>
      </w:r>
    </w:p>
    <w:p w14:paraId="78BD2555" w14:textId="77777777" w:rsidR="00345759" w:rsidRPr="00E80F7F" w:rsidRDefault="00345759" w:rsidP="00345759">
      <w:pPr>
        <w:jc w:val="both"/>
        <w:rPr>
          <w:lang w:val="en-GB"/>
        </w:rPr>
      </w:pPr>
      <w:r w:rsidRPr="00E80F7F">
        <w:rPr>
          <w:b/>
          <w:lang w:val="en-GB"/>
        </w:rPr>
        <w:t xml:space="preserve">Figure S18.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measured at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cells after different ageing times. </w:t>
      </w:r>
      <w:r>
        <w:rPr>
          <w:lang w:val="en-GB"/>
        </w:rPr>
        <w:t>A</w:t>
      </w:r>
      <w:r w:rsidRPr="00E80F7F">
        <w:rPr>
          <w:lang w:val="en-GB"/>
        </w:rPr>
        <w:t xml:space="preserve">geing was carried out by keeping the cell at 75 </w:t>
      </w:r>
      <w:r>
        <w:rPr>
          <w:lang w:val="en-GB"/>
        </w:rPr>
        <w:t>°</w:t>
      </w:r>
      <w:r w:rsidRPr="00E80F7F">
        <w:rPr>
          <w:lang w:val="en-GB"/>
        </w:rPr>
        <w:t xml:space="preserve">C in the dark. We note the measurement </w:t>
      </w:r>
      <w:r>
        <w:rPr>
          <w:lang w:val="en-GB"/>
        </w:rPr>
        <w:t xml:space="preserve">at 5 h is an outlier. </w:t>
      </w:r>
    </w:p>
    <w:p w14:paraId="0B4E343B" w14:textId="77777777" w:rsidR="00345759" w:rsidRPr="00E80F7F" w:rsidRDefault="00345759" w:rsidP="00345759">
      <w:pPr>
        <w:jc w:val="center"/>
        <w:rPr>
          <w:lang w:val="en-GB"/>
        </w:rPr>
      </w:pPr>
    </w:p>
    <w:p w14:paraId="523662C5" w14:textId="77777777" w:rsidR="00345759" w:rsidRPr="00E80F7F" w:rsidRDefault="00345759" w:rsidP="00345759">
      <w:pPr>
        <w:jc w:val="both"/>
        <w:rPr>
          <w:lang w:val="en-GB"/>
        </w:rPr>
      </w:pPr>
      <w:r>
        <w:rPr>
          <w:noProof/>
        </w:rPr>
        <w:lastRenderedPageBreak/>
        <w:drawing>
          <wp:inline distT="0" distB="0" distL="0" distR="0" wp14:anchorId="30B079BC" wp14:editId="7D3AE481">
            <wp:extent cx="5731510" cy="4420235"/>
            <wp:effectExtent l="0" t="0" r="2540"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4420235"/>
                    </a:xfrm>
                    <a:prstGeom prst="rect">
                      <a:avLst/>
                    </a:prstGeom>
                  </pic:spPr>
                </pic:pic>
              </a:graphicData>
            </a:graphic>
          </wp:inline>
        </w:drawing>
      </w:r>
      <w:r w:rsidRPr="00E80F7F">
        <w:rPr>
          <w:b/>
          <w:lang w:val="en-GB"/>
        </w:rPr>
        <w:t xml:space="preserve">Figure S19. 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measured at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perovskite solar cells after different ageing times. Ageing was carried out at MPP conditions under 1 sun equivalent illumination with a white LED in a glovebox.</w:t>
      </w:r>
    </w:p>
    <w:p w14:paraId="0B780745" w14:textId="77777777" w:rsidR="00345759" w:rsidRPr="00E80F7F" w:rsidRDefault="00345759" w:rsidP="00345759">
      <w:pPr>
        <w:jc w:val="both"/>
        <w:rPr>
          <w:lang w:val="en-GB"/>
        </w:rPr>
      </w:pPr>
    </w:p>
    <w:p w14:paraId="16BBA488" w14:textId="77777777" w:rsidR="00345759" w:rsidRPr="00E80F7F" w:rsidRDefault="00345759" w:rsidP="00345759">
      <w:pPr>
        <w:jc w:val="both"/>
        <w:rPr>
          <w:lang w:val="en-GB"/>
        </w:rPr>
      </w:pPr>
    </w:p>
    <w:p w14:paraId="37A3AD4E" w14:textId="77777777" w:rsidR="00345759" w:rsidRPr="00E80F7F" w:rsidRDefault="00345759" w:rsidP="00345759">
      <w:pPr>
        <w:jc w:val="center"/>
        <w:rPr>
          <w:b/>
          <w:lang w:val="en-GB"/>
        </w:rPr>
      </w:pPr>
      <w:r>
        <w:rPr>
          <w:noProof/>
        </w:rPr>
        <w:lastRenderedPageBreak/>
        <w:drawing>
          <wp:inline distT="0" distB="0" distL="0" distR="0" wp14:anchorId="575D2671" wp14:editId="2B98A760">
            <wp:extent cx="5731510" cy="4702175"/>
            <wp:effectExtent l="0" t="0" r="2540" b="3175"/>
            <wp:docPr id="19" name="Grafik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4702175"/>
                    </a:xfrm>
                    <a:prstGeom prst="rect">
                      <a:avLst/>
                    </a:prstGeom>
                  </pic:spPr>
                </pic:pic>
              </a:graphicData>
            </a:graphic>
          </wp:inline>
        </w:drawing>
      </w:r>
    </w:p>
    <w:p w14:paraId="1D3C5025" w14:textId="77777777" w:rsidR="00345759" w:rsidRPr="005D6D1C" w:rsidRDefault="00345759" w:rsidP="00345759">
      <w:pPr>
        <w:jc w:val="both"/>
        <w:rPr>
          <w:lang w:val="en-GB"/>
        </w:rPr>
      </w:pPr>
      <w:r w:rsidRPr="00E80F7F">
        <w:rPr>
          <w:b/>
          <w:lang w:val="en-GB"/>
        </w:rPr>
        <w:t>Figure S20.</w:t>
      </w:r>
      <w:r w:rsidRPr="00E80F7F">
        <w:rPr>
          <w:b/>
          <w:i/>
          <w:lang w:val="en-GB"/>
        </w:rPr>
        <w:t xml:space="preserve"> </w:t>
      </w:r>
      <w:r w:rsidRPr="00E80F7F">
        <w:rPr>
          <w:b/>
          <w:lang w:val="en-GB"/>
        </w:rPr>
        <w:t xml:space="preserve">a </w:t>
      </w:r>
      <w:r w:rsidRPr="00E80F7F">
        <w:rPr>
          <w:lang w:val="en-GB"/>
        </w:rPr>
        <w:t xml:space="preserve">The power conversion efficiency (PCE), </w:t>
      </w:r>
      <w:r w:rsidRPr="00E80F7F">
        <w:rPr>
          <w:b/>
          <w:lang w:val="en-GB"/>
        </w:rPr>
        <w:t>b</w:t>
      </w:r>
      <w:r w:rsidRPr="00E80F7F">
        <w:rPr>
          <w:lang w:val="en-GB"/>
        </w:rPr>
        <w:t xml:space="preserve"> short-circuit current density (</w:t>
      </w:r>
      <w:r w:rsidRPr="00E80F7F">
        <w:rPr>
          <w:i/>
          <w:lang w:val="en-GB"/>
        </w:rPr>
        <w:t>J</w:t>
      </w:r>
      <w:r w:rsidRPr="00E80F7F">
        <w:rPr>
          <w:vertAlign w:val="subscript"/>
          <w:lang w:val="en-GB"/>
        </w:rPr>
        <w:t>SC</w:t>
      </w:r>
      <w:r w:rsidRPr="00E80F7F">
        <w:rPr>
          <w:lang w:val="en-GB"/>
        </w:rPr>
        <w:t xml:space="preserve">), </w:t>
      </w:r>
      <w:r w:rsidRPr="00E80F7F">
        <w:rPr>
          <w:b/>
          <w:lang w:val="en-GB"/>
        </w:rPr>
        <w:t>c</w:t>
      </w:r>
      <w:r w:rsidRPr="00E80F7F">
        <w:rPr>
          <w:lang w:val="en-GB"/>
        </w:rPr>
        <w:t xml:space="preserve"> open-circuit voltage (</w:t>
      </w:r>
      <w:r w:rsidRPr="00E80F7F">
        <w:rPr>
          <w:i/>
          <w:lang w:val="en-GB"/>
        </w:rPr>
        <w:t>V</w:t>
      </w:r>
      <w:r w:rsidRPr="00E80F7F">
        <w:rPr>
          <w:vertAlign w:val="subscript"/>
          <w:lang w:val="en-GB"/>
        </w:rPr>
        <w:t>OC</w:t>
      </w:r>
      <w:r w:rsidRPr="00E80F7F">
        <w:rPr>
          <w:lang w:val="en-GB"/>
        </w:rPr>
        <w:t xml:space="preserve">) and </w:t>
      </w:r>
      <w:r w:rsidRPr="00E80F7F">
        <w:rPr>
          <w:b/>
          <w:lang w:val="en-GB"/>
        </w:rPr>
        <w:t>d</w:t>
      </w:r>
      <w:r w:rsidRPr="00E80F7F">
        <w:rPr>
          <w:lang w:val="en-GB"/>
        </w:rPr>
        <w:t xml:space="preserve"> fill factor (FF) measured at different scan speeds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 xml:space="preserve">perovskite solar cells after different ageing times. </w:t>
      </w:r>
      <w:r w:rsidRPr="005D6D1C">
        <w:rPr>
          <w:lang w:val="en-GB"/>
        </w:rPr>
        <w:t>Ageing was carried out by keeping the device in the dark and in the glovebox and applying a forward bias to it</w:t>
      </w:r>
      <w:r>
        <w:rPr>
          <w:lang w:val="en-GB"/>
        </w:rPr>
        <w:t xml:space="preserve"> to injected the </w:t>
      </w:r>
      <w:r w:rsidRPr="005D6D1C">
        <w:rPr>
          <w:i/>
          <w:lang w:val="en-GB"/>
        </w:rPr>
        <w:t>J</w:t>
      </w:r>
      <w:r w:rsidRPr="005D6D1C">
        <w:rPr>
          <w:vertAlign w:val="subscript"/>
          <w:lang w:val="en-GB"/>
        </w:rPr>
        <w:t>SC</w:t>
      </w:r>
      <w:r>
        <w:rPr>
          <w:lang w:val="en-GB"/>
        </w:rPr>
        <w:t xml:space="preserve"> of the cell. </w:t>
      </w:r>
    </w:p>
    <w:p w14:paraId="2DDB67DF" w14:textId="77777777" w:rsidR="00345759" w:rsidRPr="00E80F7F" w:rsidRDefault="00345759" w:rsidP="00345759">
      <w:pPr>
        <w:jc w:val="both"/>
        <w:rPr>
          <w:lang w:val="en-GB"/>
        </w:rPr>
      </w:pPr>
    </w:p>
    <w:p w14:paraId="552C93FA" w14:textId="77777777" w:rsidR="00345759" w:rsidRPr="00E80F7F" w:rsidRDefault="00345759" w:rsidP="00345759">
      <w:pPr>
        <w:jc w:val="both"/>
        <w:rPr>
          <w:lang w:val="en-GB"/>
        </w:rPr>
      </w:pPr>
    </w:p>
    <w:p w14:paraId="2A35BFFA" w14:textId="77777777" w:rsidR="00345759" w:rsidRPr="00E80F7F" w:rsidRDefault="00345759" w:rsidP="00345759">
      <w:pPr>
        <w:jc w:val="both"/>
        <w:rPr>
          <w:lang w:val="en-GB"/>
        </w:rPr>
      </w:pPr>
    </w:p>
    <w:p w14:paraId="6B12B1B5" w14:textId="77777777" w:rsidR="00345759" w:rsidRPr="00E80F7F" w:rsidRDefault="00345759" w:rsidP="00345759">
      <w:pPr>
        <w:jc w:val="both"/>
        <w:rPr>
          <w:lang w:val="en-GB"/>
        </w:rPr>
      </w:pPr>
    </w:p>
    <w:p w14:paraId="47386F6E" w14:textId="77777777" w:rsidR="00345759" w:rsidRPr="00E80F7F" w:rsidRDefault="00345759" w:rsidP="00345759">
      <w:pPr>
        <w:rPr>
          <w:lang w:val="en-GB"/>
        </w:rPr>
      </w:pPr>
      <w:r w:rsidRPr="00E80F7F">
        <w:rPr>
          <w:lang w:val="en-GB"/>
        </w:rPr>
        <w:br w:type="page"/>
      </w:r>
    </w:p>
    <w:p w14:paraId="5B17A068" w14:textId="77777777" w:rsidR="00345759" w:rsidRPr="00E80F7F" w:rsidRDefault="00345759" w:rsidP="00345759">
      <w:pPr>
        <w:jc w:val="center"/>
        <w:rPr>
          <w:lang w:val="en-GB"/>
        </w:rPr>
      </w:pPr>
      <w:r w:rsidRPr="00E80F7F">
        <w:rPr>
          <w:noProof/>
        </w:rPr>
        <w:lastRenderedPageBreak/>
        <w:drawing>
          <wp:inline distT="0" distB="0" distL="0" distR="0" wp14:anchorId="1A59DE0D" wp14:editId="04A859D7">
            <wp:extent cx="3710084" cy="3062689"/>
            <wp:effectExtent l="0" t="0" r="5080" b="444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719353" cy="3070341"/>
                    </a:xfrm>
                    <a:prstGeom prst="rect">
                      <a:avLst/>
                    </a:prstGeom>
                  </pic:spPr>
                </pic:pic>
              </a:graphicData>
            </a:graphic>
          </wp:inline>
        </w:drawing>
      </w:r>
    </w:p>
    <w:p w14:paraId="3471A0A1" w14:textId="77777777" w:rsidR="00345759" w:rsidRPr="00E80F7F" w:rsidRDefault="00345759" w:rsidP="00345759">
      <w:pPr>
        <w:jc w:val="both"/>
        <w:rPr>
          <w:lang w:val="en-GB"/>
        </w:rPr>
      </w:pPr>
      <w:r w:rsidRPr="00E80F7F">
        <w:rPr>
          <w:b/>
          <w:lang w:val="en-GB"/>
        </w:rPr>
        <w:t>Figure S21.</w:t>
      </w:r>
      <w:r w:rsidRPr="00E80F7F">
        <w:rPr>
          <w:lang w:val="en-GB"/>
        </w:rPr>
        <w:t xml:space="preserve"> Bias Assisted Charge Extraction (BACE) measurements for Cs</w:t>
      </w:r>
      <w:r w:rsidRPr="00E80F7F">
        <w:rPr>
          <w:vertAlign w:val="subscript"/>
          <w:lang w:val="en-GB"/>
        </w:rPr>
        <w:t>0.05</w:t>
      </w:r>
      <w:r w:rsidRPr="00E80F7F">
        <w:rPr>
          <w:lang w:val="en-GB"/>
        </w:rPr>
        <w:t>(FA</w:t>
      </w:r>
      <w:r w:rsidRPr="00E80F7F">
        <w:rPr>
          <w:vertAlign w:val="subscript"/>
          <w:lang w:val="en-GB"/>
        </w:rPr>
        <w:t>0.83</w:t>
      </w:r>
      <w:r w:rsidRPr="00E80F7F">
        <w:rPr>
          <w:lang w:val="en-GB"/>
        </w:rPr>
        <w:t>MA</w:t>
      </w:r>
      <w:r w:rsidRPr="00E80F7F">
        <w:rPr>
          <w:vertAlign w:val="subscript"/>
          <w:lang w:val="en-GB"/>
        </w:rPr>
        <w:t>0.17</w:t>
      </w:r>
      <w:r w:rsidRPr="00E80F7F">
        <w:rPr>
          <w:lang w:val="en-GB"/>
        </w:rPr>
        <w:t>)</w:t>
      </w:r>
      <w:r w:rsidRPr="00E80F7F">
        <w:rPr>
          <w:vertAlign w:val="subscript"/>
          <w:lang w:val="en-GB"/>
        </w:rPr>
        <w:t>0.95</w:t>
      </w:r>
      <w:r w:rsidRPr="00E80F7F">
        <w:rPr>
          <w:lang w:val="en-GB"/>
        </w:rPr>
        <w:t>Pb(I</w:t>
      </w:r>
      <w:r w:rsidRPr="00E80F7F">
        <w:rPr>
          <w:vertAlign w:val="subscript"/>
          <w:lang w:val="en-GB"/>
        </w:rPr>
        <w:t>0.83</w:t>
      </w:r>
      <w:r w:rsidRPr="00E80F7F">
        <w:rPr>
          <w:lang w:val="en-GB"/>
        </w:rPr>
        <w:t>Br</w:t>
      </w:r>
      <w:r w:rsidRPr="00E80F7F">
        <w:rPr>
          <w:vertAlign w:val="subscript"/>
          <w:lang w:val="en-GB"/>
        </w:rPr>
        <w:t>0.17</w:t>
      </w:r>
      <w:r w:rsidRPr="00E80F7F">
        <w:rPr>
          <w:lang w:val="en-GB"/>
        </w:rPr>
        <w:t>)</w:t>
      </w:r>
      <w:r w:rsidRPr="00E80F7F">
        <w:rPr>
          <w:vertAlign w:val="subscript"/>
          <w:lang w:val="en-GB"/>
        </w:rPr>
        <w:t xml:space="preserve">3 </w:t>
      </w:r>
      <w:r w:rsidRPr="00E80F7F">
        <w:rPr>
          <w:lang w:val="en-GB"/>
        </w:rPr>
        <w:t>perovskite solar cells by keeping the cell at 85 ⁰C for the specified time.</w:t>
      </w:r>
    </w:p>
    <w:p w14:paraId="062C1B15" w14:textId="77777777" w:rsidR="00345759" w:rsidRPr="00E80F7F" w:rsidRDefault="00345759" w:rsidP="00345759">
      <w:pPr>
        <w:jc w:val="both"/>
        <w:rPr>
          <w:b/>
          <w:lang w:val="en-GB"/>
        </w:rPr>
      </w:pPr>
    </w:p>
    <w:p w14:paraId="651798E4" w14:textId="77777777" w:rsidR="00345759" w:rsidRPr="00E80F7F" w:rsidRDefault="00345759" w:rsidP="00345759">
      <w:pPr>
        <w:jc w:val="both"/>
        <w:rPr>
          <w:b/>
          <w:lang w:val="en-GB"/>
        </w:rPr>
      </w:pPr>
    </w:p>
    <w:p w14:paraId="55515FBC" w14:textId="77777777" w:rsidR="00345759" w:rsidRPr="00E80F7F" w:rsidRDefault="00345759" w:rsidP="00345759">
      <w:pPr>
        <w:jc w:val="center"/>
        <w:rPr>
          <w:lang w:val="en-GB"/>
        </w:rPr>
      </w:pPr>
      <w:r w:rsidRPr="00E80F7F">
        <w:rPr>
          <w:noProof/>
        </w:rPr>
        <w:lastRenderedPageBreak/>
        <w:drawing>
          <wp:inline distT="0" distB="0" distL="0" distR="0" wp14:anchorId="498B3AA9" wp14:editId="7D565004">
            <wp:extent cx="5731510" cy="4161155"/>
            <wp:effectExtent l="0" t="0" r="254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4161155"/>
                    </a:xfrm>
                    <a:prstGeom prst="rect">
                      <a:avLst/>
                    </a:prstGeom>
                  </pic:spPr>
                </pic:pic>
              </a:graphicData>
            </a:graphic>
          </wp:inline>
        </w:drawing>
      </w:r>
    </w:p>
    <w:p w14:paraId="2DD28145" w14:textId="77777777" w:rsidR="00345759" w:rsidRPr="00E80F7F" w:rsidRDefault="00345759" w:rsidP="00345759">
      <w:pPr>
        <w:jc w:val="both"/>
        <w:rPr>
          <w:lang w:val="en-GB"/>
        </w:rPr>
      </w:pPr>
      <w:r w:rsidRPr="00E80F7F">
        <w:rPr>
          <w:b/>
          <w:lang w:val="en-GB"/>
        </w:rPr>
        <w:t xml:space="preserve">Figure S22. </w:t>
      </w:r>
      <w:r w:rsidRPr="00E80F7F">
        <w:t>XPS survey of Si wafers suspended (distance of ca. 1 mm) on top of different perovskite films (the neat TC films, TC capped with C</w:t>
      </w:r>
      <w:r w:rsidRPr="00E80F7F">
        <w:rPr>
          <w:vertAlign w:val="subscript"/>
        </w:rPr>
        <w:t>60</w:t>
      </w:r>
      <w:r w:rsidRPr="00E80F7F">
        <w:t xml:space="preserve"> and TC capped with C60 and 1 nm (100 nm) of Cu ) after 10 hours of  illumination. We observe the capture of iodine for the bare perovskite sample, evidencing the release of iodine under illumination but no other perovskite species (e.g., iodine or lead) for all other sample stacks suggesting an effective diffusion barrier on these short timescales</w:t>
      </w:r>
    </w:p>
    <w:p w14:paraId="7FB602F6" w14:textId="77777777" w:rsidR="00345759" w:rsidRPr="00E80F7F" w:rsidRDefault="00345759" w:rsidP="00345759">
      <w:pPr>
        <w:jc w:val="both"/>
        <w:rPr>
          <w:lang w:val="en-GB"/>
        </w:rPr>
      </w:pPr>
    </w:p>
    <w:p w14:paraId="049CA1D7" w14:textId="77777777" w:rsidR="00345759" w:rsidRPr="00E80F7F" w:rsidRDefault="00345759" w:rsidP="00345759">
      <w:pPr>
        <w:jc w:val="center"/>
        <w:rPr>
          <w:lang w:val="en-GB"/>
        </w:rPr>
      </w:pPr>
      <w:r w:rsidRPr="00E80F7F">
        <w:rPr>
          <w:noProof/>
        </w:rPr>
        <w:lastRenderedPageBreak/>
        <w:drawing>
          <wp:inline distT="0" distB="0" distL="0" distR="0" wp14:anchorId="7348957F" wp14:editId="429C26A4">
            <wp:extent cx="4110628" cy="3280396"/>
            <wp:effectExtent l="0" t="0" r="4445"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115319" cy="3284140"/>
                    </a:xfrm>
                    <a:prstGeom prst="rect">
                      <a:avLst/>
                    </a:prstGeom>
                  </pic:spPr>
                </pic:pic>
              </a:graphicData>
            </a:graphic>
          </wp:inline>
        </w:drawing>
      </w:r>
    </w:p>
    <w:p w14:paraId="07F95BFF" w14:textId="77777777" w:rsidR="00345759" w:rsidRDefault="00345759" w:rsidP="00345759">
      <w:pPr>
        <w:jc w:val="both"/>
      </w:pPr>
      <w:r w:rsidRPr="00E80F7F">
        <w:rPr>
          <w:b/>
          <w:lang w:val="en-GB"/>
        </w:rPr>
        <w:t xml:space="preserve">Figure S23. </w:t>
      </w:r>
      <w:r w:rsidRPr="00E80F7F">
        <w:rPr>
          <w:lang w:val="en-GB"/>
        </w:rPr>
        <w:t>An</w:t>
      </w:r>
      <w:r w:rsidRPr="00E80F7F">
        <w:rPr>
          <w:i/>
          <w:lang w:val="en-GB"/>
        </w:rPr>
        <w:t xml:space="preserve"> </w:t>
      </w:r>
      <w:r w:rsidRPr="00E80F7F">
        <w:t>XPS survey of Si wafers suspended on top (at a distance of ca. 1 mm) of different perovskite films, i.e. the neat 83-17 triple cation (TC) film, TC capped with C</w:t>
      </w:r>
      <w:r w:rsidRPr="00E80F7F">
        <w:rPr>
          <w:vertAlign w:val="subscript"/>
        </w:rPr>
        <w:t>60</w:t>
      </w:r>
      <w:r w:rsidRPr="00E80F7F">
        <w:t xml:space="preserve"> and TC capped with C</w:t>
      </w:r>
      <w:r w:rsidRPr="00E80F7F">
        <w:rPr>
          <w:vertAlign w:val="subscript"/>
        </w:rPr>
        <w:t>60</w:t>
      </w:r>
      <w:r w:rsidRPr="00E80F7F">
        <w:t xml:space="preserve"> and 1 nm (100 nm) of Cu, after 10 hours of  illumination. We observe the capture of iodine for the bare perovskite sample, evidencing the release of iodine under illumination but no other perovskite species (e.g., iodine or lead) for all other sample stacks suggesting an effective diffusion barrier on these short timescales. </w:t>
      </w:r>
    </w:p>
    <w:p w14:paraId="044B0388" w14:textId="77777777" w:rsidR="00345759" w:rsidRDefault="00345759" w:rsidP="00345759">
      <w:pPr>
        <w:jc w:val="both"/>
      </w:pPr>
    </w:p>
    <w:p w14:paraId="4CD32D3B" w14:textId="77777777" w:rsidR="00345759" w:rsidRPr="00E80F7F" w:rsidRDefault="00345759" w:rsidP="00345759">
      <w:pPr>
        <w:jc w:val="both"/>
      </w:pPr>
    </w:p>
    <w:p w14:paraId="5C7B0C72" w14:textId="77777777" w:rsidR="00345759" w:rsidRPr="00E80F7F" w:rsidRDefault="00345759" w:rsidP="00345759">
      <w:pPr>
        <w:jc w:val="both"/>
        <w:rPr>
          <w:lang w:val="en-GB"/>
        </w:rPr>
      </w:pPr>
    </w:p>
    <w:p w14:paraId="77994D59" w14:textId="77777777" w:rsidR="00345759" w:rsidRPr="00E80F7F" w:rsidRDefault="00345759" w:rsidP="00345759">
      <w:pPr>
        <w:rPr>
          <w:color w:val="808080" w:themeColor="background1" w:themeShade="80"/>
          <w:lang w:val="en-GB"/>
        </w:rPr>
      </w:pPr>
      <w:r w:rsidRPr="00E80F7F">
        <w:rPr>
          <w:noProof/>
        </w:rPr>
        <w:drawing>
          <wp:inline distT="0" distB="0" distL="0" distR="0" wp14:anchorId="7B834501" wp14:editId="75FB38FC">
            <wp:extent cx="5731510" cy="2297430"/>
            <wp:effectExtent l="0" t="0" r="2540" b="762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31510" cy="2297430"/>
                    </a:xfrm>
                    <a:prstGeom prst="rect">
                      <a:avLst/>
                    </a:prstGeom>
                  </pic:spPr>
                </pic:pic>
              </a:graphicData>
            </a:graphic>
          </wp:inline>
        </w:drawing>
      </w:r>
    </w:p>
    <w:p w14:paraId="4F394AAA" w14:textId="77777777" w:rsidR="00345759" w:rsidRDefault="00345759" w:rsidP="00345759">
      <w:pPr>
        <w:jc w:val="both"/>
        <w:rPr>
          <w:lang w:val="en-GB"/>
        </w:rPr>
      </w:pPr>
      <w:r w:rsidRPr="00E80F7F">
        <w:rPr>
          <w:b/>
          <w:lang w:val="en-GB"/>
        </w:rPr>
        <w:t xml:space="preserve">Figure S24. </w:t>
      </w:r>
      <w:r w:rsidRPr="00E80F7F">
        <w:rPr>
          <w:lang w:val="en-GB"/>
        </w:rPr>
        <w:t xml:space="preserve">Simulated band diagrams at </w:t>
      </w:r>
      <w:r w:rsidRPr="00E80F7F">
        <w:rPr>
          <w:i/>
          <w:lang w:val="en-GB"/>
        </w:rPr>
        <w:t>V</w:t>
      </w:r>
      <w:r w:rsidRPr="00E80F7F">
        <w:rPr>
          <w:vertAlign w:val="subscript"/>
          <w:lang w:val="en-GB"/>
        </w:rPr>
        <w:t>OC</w:t>
      </w:r>
      <w:r w:rsidRPr="00E80F7F">
        <w:rPr>
          <w:lang w:val="en-GB"/>
        </w:rPr>
        <w:t xml:space="preserve"> for devices with a </w:t>
      </w:r>
      <w:r w:rsidRPr="00E80F7F">
        <w:rPr>
          <w:i/>
          <w:lang w:val="en-GB"/>
        </w:rPr>
        <w:t>V</w:t>
      </w:r>
      <w:r w:rsidRPr="00E80F7F">
        <w:rPr>
          <w:vertAlign w:val="subscript"/>
          <w:lang w:val="en-GB"/>
        </w:rPr>
        <w:t xml:space="preserve">BI </w:t>
      </w:r>
      <w:r w:rsidRPr="00E80F7F">
        <w:rPr>
          <w:lang w:val="en-GB"/>
        </w:rPr>
        <w:t xml:space="preserve">of 1.5 V with different mobile ion densities. It can be seen that increasing mobile ion densities lead to a stronger QFLS bending closer to the </w:t>
      </w:r>
      <w:r w:rsidRPr="00E80F7F">
        <w:rPr>
          <w:lang w:val="en-GB"/>
        </w:rPr>
        <w:lastRenderedPageBreak/>
        <w:t>perovskite – C</w:t>
      </w:r>
      <w:r w:rsidRPr="00E80F7F">
        <w:rPr>
          <w:vertAlign w:val="subscript"/>
          <w:lang w:val="en-GB"/>
        </w:rPr>
        <w:t>60</w:t>
      </w:r>
      <w:r>
        <w:rPr>
          <w:lang w:val="en-GB"/>
        </w:rPr>
        <w:t xml:space="preserve"> interface.</w:t>
      </w:r>
      <w:r w:rsidRPr="00E80F7F">
        <w:rPr>
          <w:lang w:val="en-GB"/>
        </w:rPr>
        <w:t xml:space="preserve"> The QFLS in the bulk remains nearly constant (1.167 eV, 1.162 and 1.154 eV) for mobile ion densities of 10</w:t>
      </w:r>
      <w:r w:rsidRPr="00E80F7F">
        <w:rPr>
          <w:vertAlign w:val="superscript"/>
          <w:lang w:val="en-GB"/>
        </w:rPr>
        <w:t>15</w:t>
      </w:r>
      <w:r w:rsidRPr="00E80F7F">
        <w:rPr>
          <w:lang w:val="en-GB"/>
        </w:rPr>
        <w:t>, 10</w:t>
      </w:r>
      <w:r w:rsidRPr="00E80F7F">
        <w:rPr>
          <w:vertAlign w:val="superscript"/>
          <w:lang w:val="en-GB"/>
        </w:rPr>
        <w:t>16</w:t>
      </w:r>
      <w:r w:rsidRPr="00E80F7F">
        <w:rPr>
          <w:lang w:val="en-GB"/>
        </w:rPr>
        <w:t xml:space="preserve"> and 10</w:t>
      </w:r>
      <w:r w:rsidRPr="00E80F7F">
        <w:rPr>
          <w:vertAlign w:val="superscript"/>
          <w:lang w:val="en-GB"/>
        </w:rPr>
        <w:t>17</w:t>
      </w:r>
      <w:r w:rsidRPr="00E80F7F">
        <w:rPr>
          <w:lang w:val="en-GB"/>
        </w:rPr>
        <w:t xml:space="preserve"> cm</w:t>
      </w:r>
      <w:r w:rsidRPr="00E80F7F">
        <w:rPr>
          <w:vertAlign w:val="superscript"/>
          <w:lang w:val="en-GB"/>
        </w:rPr>
        <w:t>-3</w:t>
      </w:r>
      <w:r w:rsidRPr="00E80F7F">
        <w:rPr>
          <w:lang w:val="en-GB"/>
        </w:rPr>
        <w:t xml:space="preserve"> respectively. However, despite the near-constant QFLS, the </w:t>
      </w:r>
      <w:r w:rsidRPr="00E80F7F">
        <w:rPr>
          <w:i/>
          <w:lang w:val="en-GB"/>
        </w:rPr>
        <w:t>V</w:t>
      </w:r>
      <w:r w:rsidRPr="00E80F7F">
        <w:rPr>
          <w:vertAlign w:val="subscript"/>
          <w:lang w:val="en-GB"/>
        </w:rPr>
        <w:t>OC</w:t>
      </w:r>
      <w:r w:rsidRPr="00E80F7F">
        <w:rPr>
          <w:lang w:val="en-GB"/>
        </w:rPr>
        <w:t xml:space="preserve"> of the simulated </w:t>
      </w:r>
      <w:r w:rsidRPr="00E80F7F">
        <w:rPr>
          <w:i/>
          <w:lang w:val="en-GB"/>
        </w:rPr>
        <w:t>JV</w:t>
      </w:r>
      <w:r w:rsidRPr="00E80F7F">
        <w:rPr>
          <w:lang w:val="en-GB"/>
        </w:rPr>
        <w:t xml:space="preserve"> curves is strongly reduced with increasing ion densities, dropping from 1.165 through 1.140 to 1.077 V. </w:t>
      </w:r>
      <w:r>
        <w:rPr>
          <w:lang w:val="en-GB"/>
        </w:rPr>
        <w:t>The origin of this effect is discussed in Figure S25</w:t>
      </w:r>
      <w:r w:rsidRPr="00E80F7F">
        <w:rPr>
          <w:lang w:val="en-GB"/>
        </w:rPr>
        <w:t xml:space="preserve">. </w:t>
      </w:r>
    </w:p>
    <w:p w14:paraId="63F234FF" w14:textId="77777777" w:rsidR="00345759" w:rsidRPr="00E80F7F" w:rsidRDefault="00345759" w:rsidP="00345759">
      <w:pPr>
        <w:jc w:val="both"/>
        <w:rPr>
          <w:lang w:val="en-GB"/>
        </w:rPr>
      </w:pPr>
    </w:p>
    <w:p w14:paraId="5DE80149" w14:textId="77777777" w:rsidR="00345759" w:rsidRPr="00E80F7F" w:rsidRDefault="00345759" w:rsidP="00345759">
      <w:pPr>
        <w:jc w:val="both"/>
        <w:rPr>
          <w:lang w:val="en-GB"/>
        </w:rPr>
      </w:pPr>
      <w:r w:rsidRPr="00E80F7F">
        <w:rPr>
          <w:noProof/>
        </w:rPr>
        <w:drawing>
          <wp:anchor distT="0" distB="0" distL="114300" distR="114300" simplePos="0" relativeHeight="251659264" behindDoc="0" locked="0" layoutInCell="1" allowOverlap="1" wp14:anchorId="41C6250A" wp14:editId="6987D675">
            <wp:simplePos x="0" y="0"/>
            <wp:positionH relativeFrom="column">
              <wp:posOffset>1549026</wp:posOffset>
            </wp:positionH>
            <wp:positionV relativeFrom="paragraph">
              <wp:posOffset>40304</wp:posOffset>
            </wp:positionV>
            <wp:extent cx="2548112" cy="6238482"/>
            <wp:effectExtent l="0" t="0" r="508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2548112" cy="6238482"/>
                    </a:xfrm>
                    <a:prstGeom prst="rect">
                      <a:avLst/>
                    </a:prstGeom>
                  </pic:spPr>
                </pic:pic>
              </a:graphicData>
            </a:graphic>
            <wp14:sizeRelH relativeFrom="page">
              <wp14:pctWidth>0</wp14:pctWidth>
            </wp14:sizeRelH>
            <wp14:sizeRelV relativeFrom="page">
              <wp14:pctHeight>0</wp14:pctHeight>
            </wp14:sizeRelV>
          </wp:anchor>
        </w:drawing>
      </w:r>
    </w:p>
    <w:p w14:paraId="288647E1" w14:textId="77777777" w:rsidR="00345759" w:rsidRPr="00E80F7F" w:rsidRDefault="00345759" w:rsidP="00345759">
      <w:pPr>
        <w:jc w:val="both"/>
        <w:rPr>
          <w:lang w:val="en-GB"/>
        </w:rPr>
      </w:pPr>
    </w:p>
    <w:p w14:paraId="42804DF7" w14:textId="77777777" w:rsidR="00345759" w:rsidRPr="00E80F7F" w:rsidRDefault="00345759" w:rsidP="00345759">
      <w:pPr>
        <w:jc w:val="both"/>
        <w:rPr>
          <w:b/>
          <w:lang w:val="en-GB"/>
        </w:rPr>
      </w:pPr>
    </w:p>
    <w:p w14:paraId="4F3BE4A8" w14:textId="77777777" w:rsidR="00345759" w:rsidRPr="00E80F7F" w:rsidRDefault="00345759" w:rsidP="00345759">
      <w:pPr>
        <w:jc w:val="center"/>
        <w:rPr>
          <w:b/>
          <w:lang w:val="en-GB"/>
        </w:rPr>
      </w:pPr>
    </w:p>
    <w:p w14:paraId="47BFD866" w14:textId="77777777" w:rsidR="00345759" w:rsidRPr="00E80F7F" w:rsidRDefault="00345759" w:rsidP="00345759">
      <w:pPr>
        <w:jc w:val="both"/>
        <w:rPr>
          <w:b/>
          <w:lang w:val="en-GB"/>
        </w:rPr>
      </w:pPr>
    </w:p>
    <w:p w14:paraId="25DD92F4" w14:textId="77777777" w:rsidR="00345759" w:rsidRPr="00E80F7F" w:rsidRDefault="00345759" w:rsidP="00345759">
      <w:pPr>
        <w:jc w:val="both"/>
        <w:rPr>
          <w:b/>
          <w:lang w:val="en-GB"/>
        </w:rPr>
      </w:pPr>
    </w:p>
    <w:p w14:paraId="405B6292" w14:textId="77777777" w:rsidR="00345759" w:rsidRPr="00E80F7F" w:rsidRDefault="00345759" w:rsidP="00345759">
      <w:pPr>
        <w:jc w:val="both"/>
        <w:rPr>
          <w:b/>
          <w:lang w:val="en-GB"/>
        </w:rPr>
      </w:pPr>
    </w:p>
    <w:p w14:paraId="0CE16345" w14:textId="77777777" w:rsidR="00345759" w:rsidRPr="00E80F7F" w:rsidRDefault="00345759" w:rsidP="00345759">
      <w:pPr>
        <w:jc w:val="both"/>
        <w:rPr>
          <w:b/>
          <w:lang w:val="en-GB"/>
        </w:rPr>
      </w:pPr>
    </w:p>
    <w:p w14:paraId="3DA9F494" w14:textId="77777777" w:rsidR="00345759" w:rsidRPr="00E80F7F" w:rsidRDefault="00345759" w:rsidP="00345759">
      <w:pPr>
        <w:jc w:val="both"/>
        <w:rPr>
          <w:b/>
          <w:lang w:val="en-GB"/>
        </w:rPr>
      </w:pPr>
    </w:p>
    <w:p w14:paraId="3C18B98B" w14:textId="77777777" w:rsidR="00345759" w:rsidRPr="00E80F7F" w:rsidRDefault="00345759" w:rsidP="00345759">
      <w:pPr>
        <w:jc w:val="both"/>
        <w:rPr>
          <w:b/>
          <w:lang w:val="en-GB"/>
        </w:rPr>
      </w:pPr>
    </w:p>
    <w:p w14:paraId="1B92D2EE" w14:textId="77777777" w:rsidR="00345759" w:rsidRPr="00E80F7F" w:rsidRDefault="00345759" w:rsidP="00345759">
      <w:pPr>
        <w:jc w:val="both"/>
        <w:rPr>
          <w:b/>
          <w:lang w:val="en-GB"/>
        </w:rPr>
      </w:pPr>
    </w:p>
    <w:p w14:paraId="6AB2A83C" w14:textId="77777777" w:rsidR="00345759" w:rsidRPr="00E80F7F" w:rsidRDefault="00345759" w:rsidP="00345759">
      <w:pPr>
        <w:jc w:val="both"/>
        <w:rPr>
          <w:b/>
          <w:lang w:val="en-GB"/>
        </w:rPr>
      </w:pPr>
    </w:p>
    <w:p w14:paraId="62ECF357" w14:textId="77777777" w:rsidR="00345759" w:rsidRPr="00E80F7F" w:rsidRDefault="00345759" w:rsidP="00345759">
      <w:pPr>
        <w:jc w:val="both"/>
        <w:rPr>
          <w:b/>
          <w:lang w:val="en-GB"/>
        </w:rPr>
      </w:pPr>
    </w:p>
    <w:p w14:paraId="37403FE0" w14:textId="77777777" w:rsidR="00345759" w:rsidRPr="00E80F7F" w:rsidRDefault="00345759" w:rsidP="00345759">
      <w:pPr>
        <w:jc w:val="both"/>
        <w:rPr>
          <w:b/>
          <w:lang w:val="en-GB"/>
        </w:rPr>
      </w:pPr>
    </w:p>
    <w:p w14:paraId="36DF4419" w14:textId="77777777" w:rsidR="00345759" w:rsidRPr="00E80F7F" w:rsidRDefault="00345759" w:rsidP="00345759">
      <w:pPr>
        <w:jc w:val="both"/>
        <w:rPr>
          <w:b/>
          <w:lang w:val="en-GB"/>
        </w:rPr>
      </w:pPr>
    </w:p>
    <w:p w14:paraId="2E44571D" w14:textId="77777777" w:rsidR="00345759" w:rsidRPr="00E80F7F" w:rsidRDefault="00345759" w:rsidP="00345759">
      <w:pPr>
        <w:jc w:val="both"/>
        <w:rPr>
          <w:b/>
          <w:lang w:val="en-GB"/>
        </w:rPr>
      </w:pPr>
    </w:p>
    <w:p w14:paraId="0ECEB9D2" w14:textId="77777777" w:rsidR="00345759" w:rsidRPr="00E80F7F" w:rsidRDefault="00345759" w:rsidP="00345759">
      <w:pPr>
        <w:jc w:val="both"/>
        <w:rPr>
          <w:b/>
          <w:lang w:val="en-GB"/>
        </w:rPr>
      </w:pPr>
    </w:p>
    <w:p w14:paraId="2BBB6F4D" w14:textId="77777777" w:rsidR="00345759" w:rsidRPr="00E80F7F" w:rsidRDefault="00345759" w:rsidP="00345759">
      <w:pPr>
        <w:jc w:val="both"/>
        <w:rPr>
          <w:b/>
          <w:lang w:val="en-GB"/>
        </w:rPr>
      </w:pPr>
    </w:p>
    <w:p w14:paraId="50A9B7C9" w14:textId="77777777" w:rsidR="00345759" w:rsidRPr="00E80F7F" w:rsidRDefault="00345759" w:rsidP="00345759">
      <w:pPr>
        <w:jc w:val="both"/>
        <w:rPr>
          <w:b/>
          <w:lang w:val="en-GB"/>
        </w:rPr>
      </w:pPr>
    </w:p>
    <w:p w14:paraId="19FC798E" w14:textId="77777777" w:rsidR="00345759" w:rsidRPr="00E80F7F" w:rsidRDefault="00345759" w:rsidP="00345759">
      <w:pPr>
        <w:jc w:val="both"/>
        <w:rPr>
          <w:b/>
          <w:lang w:val="en-GB"/>
        </w:rPr>
      </w:pPr>
    </w:p>
    <w:p w14:paraId="05D006C5" w14:textId="77777777" w:rsidR="00345759" w:rsidRPr="00E80F7F" w:rsidRDefault="00345759" w:rsidP="00345759">
      <w:pPr>
        <w:jc w:val="both"/>
        <w:rPr>
          <w:b/>
          <w:lang w:val="en-GB"/>
        </w:rPr>
      </w:pPr>
    </w:p>
    <w:p w14:paraId="18A0604D" w14:textId="77777777" w:rsidR="00345759" w:rsidRPr="00E80F7F" w:rsidRDefault="00345759" w:rsidP="00345759">
      <w:pPr>
        <w:jc w:val="both"/>
        <w:rPr>
          <w:b/>
          <w:lang w:val="en-GB"/>
        </w:rPr>
      </w:pPr>
    </w:p>
    <w:p w14:paraId="5B9B2E4E" w14:textId="77777777" w:rsidR="00345759" w:rsidRPr="00E80F7F" w:rsidRDefault="00345759" w:rsidP="00345759">
      <w:pPr>
        <w:jc w:val="both"/>
        <w:rPr>
          <w:lang w:val="en-GB"/>
        </w:rPr>
      </w:pPr>
      <w:r w:rsidRPr="00E80F7F">
        <w:rPr>
          <w:b/>
          <w:lang w:val="en-GB"/>
        </w:rPr>
        <w:t xml:space="preserve">Figure S25. a </w:t>
      </w:r>
      <w:r w:rsidRPr="00E80F7F">
        <w:rPr>
          <w:lang w:val="en-GB"/>
        </w:rPr>
        <w:t xml:space="preserve">The band diagram showing the conduction and valence band as well as electron and hole quasi-Fermi levels (QFLs) for a device with a </w:t>
      </w:r>
      <w:r w:rsidRPr="00E80F7F">
        <w:rPr>
          <w:i/>
          <w:lang w:val="en-GB"/>
        </w:rPr>
        <w:t>V</w:t>
      </w:r>
      <w:r w:rsidRPr="00E80F7F">
        <w:rPr>
          <w:vertAlign w:val="subscript"/>
          <w:lang w:val="en-GB"/>
        </w:rPr>
        <w:t xml:space="preserve">BI </w:t>
      </w:r>
      <w:r w:rsidRPr="00E80F7F">
        <w:rPr>
          <w:lang w:val="en-GB"/>
        </w:rPr>
        <w:t xml:space="preserve">of 1.5 V at its </w:t>
      </w:r>
      <w:r w:rsidRPr="00E80F7F">
        <w:rPr>
          <w:i/>
          <w:lang w:val="en-GB"/>
        </w:rPr>
        <w:t>V</w:t>
      </w:r>
      <w:r w:rsidRPr="00E80F7F">
        <w:rPr>
          <w:vertAlign w:val="subscript"/>
          <w:lang w:val="en-GB"/>
        </w:rPr>
        <w:t>OC</w:t>
      </w:r>
      <w:r w:rsidRPr="00E80F7F">
        <w:rPr>
          <w:lang w:val="en-GB"/>
        </w:rPr>
        <w:t xml:space="preserve"> (1.14) reveals a bending of the electron QFL at the C</w:t>
      </w:r>
      <w:r w:rsidRPr="00E80F7F">
        <w:rPr>
          <w:vertAlign w:val="subscript"/>
          <w:lang w:val="en-GB"/>
        </w:rPr>
        <w:t>60</w:t>
      </w:r>
      <w:r w:rsidRPr="00E80F7F">
        <w:rPr>
          <w:lang w:val="en-GB"/>
        </w:rPr>
        <w:t xml:space="preserve"> interface. </w:t>
      </w:r>
      <w:r w:rsidRPr="00E80F7F">
        <w:rPr>
          <w:b/>
          <w:lang w:val="en-GB"/>
        </w:rPr>
        <w:t>b</w:t>
      </w:r>
      <w:r w:rsidRPr="00E80F7F">
        <w:rPr>
          <w:lang w:val="en-GB"/>
        </w:rPr>
        <w:t xml:space="preserve"> The carrier density profile at </w:t>
      </w:r>
      <w:r w:rsidRPr="00E80F7F">
        <w:rPr>
          <w:i/>
          <w:lang w:val="en-GB"/>
        </w:rPr>
        <w:t>V</w:t>
      </w:r>
      <w:r w:rsidRPr="00E80F7F">
        <w:rPr>
          <w:vertAlign w:val="subscript"/>
          <w:lang w:val="en-GB"/>
        </w:rPr>
        <w:t>OC</w:t>
      </w:r>
      <w:r w:rsidRPr="00E80F7F">
        <w:rPr>
          <w:lang w:val="en-GB"/>
        </w:rPr>
        <w:t xml:space="preserve"> shows an excess of holes in the device, while the electron density drops in the vicinity to the C</w:t>
      </w:r>
      <w:r w:rsidRPr="00E80F7F">
        <w:rPr>
          <w:vertAlign w:val="subscript"/>
          <w:lang w:val="en-GB"/>
        </w:rPr>
        <w:t>60</w:t>
      </w:r>
      <w:r w:rsidRPr="00E80F7F">
        <w:rPr>
          <w:lang w:val="en-GB"/>
        </w:rPr>
        <w:t xml:space="preserve"> layer. This is due to the screened internal field in case </w:t>
      </w:r>
      <w:r w:rsidRPr="00E80F7F">
        <w:rPr>
          <w:lang w:val="en-GB"/>
        </w:rPr>
        <w:lastRenderedPageBreak/>
        <w:t xml:space="preserve">of </w:t>
      </w:r>
      <w:r>
        <w:rPr>
          <w:lang w:val="en-GB"/>
        </w:rPr>
        <w:t xml:space="preserve">a </w:t>
      </w:r>
      <w:r w:rsidRPr="00E80F7F">
        <w:rPr>
          <w:lang w:val="en-GB"/>
        </w:rPr>
        <w:t xml:space="preserve">higher ion density which is shown in panel </w:t>
      </w:r>
      <w:r w:rsidRPr="00E80F7F">
        <w:rPr>
          <w:b/>
          <w:lang w:val="en-GB"/>
        </w:rPr>
        <w:t xml:space="preserve">c. </w:t>
      </w:r>
      <w:r w:rsidRPr="00E80F7F">
        <w:rPr>
          <w:lang w:val="en-GB"/>
        </w:rPr>
        <w:t xml:space="preserve">Considering that the total (electron and hole) current depends on the conductivity and the gradient of the QFL, i.e. </w:t>
      </w:r>
      <m:oMath>
        <m:sSub>
          <m:sSubPr>
            <m:ctrlPr>
              <w:rPr>
                <w:rFonts w:ascii="Cambria Math" w:hAnsi="Cambria Math"/>
                <w:i/>
                <w:lang w:val="en-GB"/>
              </w:rPr>
            </m:ctrlPr>
          </m:sSubPr>
          <m:e>
            <m:r>
              <w:rPr>
                <w:rFonts w:ascii="Cambria Math" w:hAnsi="Cambria Math"/>
                <w:lang w:val="en-GB"/>
              </w:rPr>
              <m:t>J</m:t>
            </m:r>
          </m:e>
          <m:sub>
            <m:r>
              <m:rPr>
                <m:sty m:val="p"/>
              </m:rPr>
              <w:rPr>
                <w:rFonts w:ascii="Cambria Math" w:hAnsi="Cambria Math"/>
                <w:lang w:val="en-GB"/>
              </w:rPr>
              <m:t>e/h</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σ</m:t>
            </m:r>
          </m:e>
          <m:sub>
            <m:r>
              <m:rPr>
                <m:sty m:val="p"/>
              </m:rPr>
              <w:rPr>
                <w:rFonts w:ascii="Cambria Math" w:hAnsi="Cambria Math"/>
                <w:lang w:val="en-GB"/>
              </w:rPr>
              <m:t>e,h</m:t>
            </m:r>
          </m:sub>
        </m:sSub>
        <m:r>
          <w:rPr>
            <w:rFonts w:ascii="Cambria Math" w:hAnsi="Cambria Math"/>
            <w:lang w:val="en-GB"/>
          </w:rPr>
          <m:t>/e *</m:t>
        </m:r>
        <m:r>
          <m:rPr>
            <m:sty m:val="p"/>
          </m:rPr>
          <w:rPr>
            <w:rFonts w:ascii="Cambria Math" w:hAnsi="Cambria Math"/>
            <w:lang w:val="en-GB"/>
          </w:rPr>
          <m:t>∇</m:t>
        </m:r>
        <m:sSub>
          <m:sSubPr>
            <m:ctrlPr>
              <w:rPr>
                <w:rFonts w:ascii="Cambria Math" w:hAnsi="Cambria Math"/>
                <w:i/>
                <w:lang w:val="en-GB"/>
              </w:rPr>
            </m:ctrlPr>
          </m:sSubPr>
          <m:e>
            <m:r>
              <w:rPr>
                <w:rFonts w:ascii="Cambria Math" w:hAnsi="Cambria Math"/>
                <w:lang w:val="en-GB"/>
              </w:rPr>
              <m:t>E</m:t>
            </m:r>
          </m:e>
          <m:sub>
            <m:r>
              <m:rPr>
                <m:sty m:val="p"/>
              </m:rPr>
              <w:rPr>
                <w:rFonts w:ascii="Cambria Math" w:hAnsi="Cambria Math"/>
                <w:lang w:val="en-GB"/>
              </w:rPr>
              <m:t>f,e/h</m:t>
            </m:r>
          </m:sub>
        </m:sSub>
      </m:oMath>
      <w:r w:rsidRPr="00E80F7F">
        <w:rPr>
          <w:lang w:val="en-GB"/>
        </w:rPr>
        <w:t xml:space="preserve"> and that the electron and hole current have to be equal at </w:t>
      </w:r>
      <w:r w:rsidRPr="00E80F7F">
        <w:rPr>
          <w:i/>
          <w:lang w:val="en-GB"/>
        </w:rPr>
        <w:t>V</w:t>
      </w:r>
      <w:r w:rsidRPr="00E80F7F">
        <w:rPr>
          <w:vertAlign w:val="subscript"/>
          <w:lang w:val="en-GB"/>
        </w:rPr>
        <w:t>OC</w:t>
      </w:r>
      <w:r w:rsidRPr="00E80F7F">
        <w:rPr>
          <w:lang w:val="en-GB"/>
        </w:rPr>
        <w:t xml:space="preserve">, follows that: </w:t>
      </w:r>
      <m:oMath>
        <m:f>
          <m:fPr>
            <m:ctrlPr>
              <w:rPr>
                <w:rFonts w:ascii="Cambria Math" w:hAnsi="Cambria Math"/>
                <w:i/>
                <w:iCs/>
              </w:rPr>
            </m:ctrlPr>
          </m:fPr>
          <m:num>
            <m:sSub>
              <m:sSubPr>
                <m:ctrlPr>
                  <w:rPr>
                    <w:rFonts w:ascii="Cambria Math" w:hAnsi="Cambria Math"/>
                    <w:i/>
                    <w:iCs/>
                  </w:rPr>
                </m:ctrlPr>
              </m:sSubPr>
              <m:e>
                <m:r>
                  <w:rPr>
                    <w:rFonts w:ascii="Cambria Math" w:hAnsi="Cambria Math"/>
                  </w:rPr>
                  <m:t>σ</m:t>
                </m:r>
              </m:e>
              <m:sub>
                <m:r>
                  <w:rPr>
                    <w:rFonts w:ascii="Cambria Math" w:hAnsi="Cambria Math"/>
                  </w:rPr>
                  <m:t>h</m:t>
                </m:r>
              </m:sub>
            </m:sSub>
          </m:num>
          <m:den>
            <m:sSub>
              <m:sSubPr>
                <m:ctrlPr>
                  <w:rPr>
                    <w:rFonts w:ascii="Cambria Math" w:hAnsi="Cambria Math"/>
                    <w:i/>
                    <w:iCs/>
                  </w:rPr>
                </m:ctrlPr>
              </m:sSubPr>
              <m:e>
                <m:r>
                  <w:rPr>
                    <w:rFonts w:ascii="Cambria Math" w:hAnsi="Cambria Math"/>
                  </w:rPr>
                  <m:t>σ</m:t>
                </m:r>
              </m:e>
              <m:sub>
                <m:r>
                  <w:rPr>
                    <w:rFonts w:ascii="Cambria Math" w:hAnsi="Cambria Math"/>
                  </w:rPr>
                  <m:t>e</m:t>
                </m:r>
              </m:sub>
            </m:sSub>
          </m:den>
        </m:f>
        <m:r>
          <w:rPr>
            <w:rFonts w:ascii="Cambria Math" w:hAnsi="Cambria Math"/>
          </w:rPr>
          <m:t>=</m:t>
        </m:r>
        <m:f>
          <m:fPr>
            <m:ctrlPr>
              <w:rPr>
                <w:rFonts w:ascii="Cambria Math" w:hAnsi="Cambria Math"/>
                <w:i/>
                <w:iCs/>
              </w:rPr>
            </m:ctrlPr>
          </m:fPr>
          <m:num>
            <m:r>
              <m:rPr>
                <m:sty m:val="p"/>
              </m:rPr>
              <w:rPr>
                <w:rFonts w:ascii="Cambria Math" w:hAnsi="Cambria Math"/>
              </w:rPr>
              <m:t>∇</m:t>
            </m:r>
            <m:sSub>
              <m:sSubPr>
                <m:ctrlPr>
                  <w:rPr>
                    <w:rFonts w:ascii="Cambria Math" w:hAnsi="Cambria Math"/>
                    <w:i/>
                    <w:iCs/>
                  </w:rPr>
                </m:ctrlPr>
              </m:sSubPr>
              <m:e>
                <m:r>
                  <w:rPr>
                    <w:rFonts w:ascii="Cambria Math" w:hAnsi="Cambria Math"/>
                  </w:rPr>
                  <m:t>E</m:t>
                </m:r>
              </m:e>
              <m:sub>
                <m:r>
                  <m:rPr>
                    <m:sty m:val="p"/>
                  </m:rPr>
                  <w:rPr>
                    <w:rFonts w:ascii="Cambria Math" w:hAnsi="Cambria Math"/>
                  </w:rPr>
                  <m:t>f,e</m:t>
                </m:r>
              </m:sub>
            </m:sSub>
          </m:num>
          <m:den>
            <m:r>
              <m:rPr>
                <m:sty m:val="p"/>
              </m:rPr>
              <w:rPr>
                <w:rFonts w:ascii="Cambria Math" w:hAnsi="Cambria Math"/>
              </w:rPr>
              <m:t>∇</m:t>
            </m:r>
            <m:sSub>
              <m:sSubPr>
                <m:ctrlPr>
                  <w:rPr>
                    <w:rFonts w:ascii="Cambria Math" w:hAnsi="Cambria Math"/>
                    <w:i/>
                    <w:iCs/>
                  </w:rPr>
                </m:ctrlPr>
              </m:sSubPr>
              <m:e>
                <m:r>
                  <w:rPr>
                    <w:rFonts w:ascii="Cambria Math" w:hAnsi="Cambria Math"/>
                  </w:rPr>
                  <m:t>E</m:t>
                </m:r>
              </m:e>
              <m:sub>
                <m:r>
                  <m:rPr>
                    <m:sty m:val="p"/>
                  </m:rPr>
                  <w:rPr>
                    <w:rFonts w:ascii="Cambria Math" w:hAnsi="Cambria Math"/>
                  </w:rPr>
                  <m:t>f,h</m:t>
                </m:r>
              </m:sub>
            </m:sSub>
          </m:den>
        </m:f>
        <m:r>
          <w:rPr>
            <w:rFonts w:ascii="Cambria Math" w:hAnsi="Cambria Math"/>
          </w:rPr>
          <m:t>→</m:t>
        </m:r>
        <m:r>
          <m:rPr>
            <m:sty m:val="p"/>
          </m:rPr>
          <w:rPr>
            <w:rFonts w:ascii="Cambria Math" w:hAnsi="Cambria Math"/>
          </w:rPr>
          <m:t>∇</m:t>
        </m:r>
        <m:sSub>
          <m:sSubPr>
            <m:ctrlPr>
              <w:rPr>
                <w:rFonts w:ascii="Cambria Math" w:hAnsi="Cambria Math"/>
                <w:i/>
                <w:iCs/>
              </w:rPr>
            </m:ctrlPr>
          </m:sSubPr>
          <m:e>
            <m:r>
              <w:rPr>
                <w:rFonts w:ascii="Cambria Math" w:hAnsi="Cambria Math"/>
              </w:rPr>
              <m:t>E</m:t>
            </m:r>
          </m:e>
          <m:sub>
            <m:r>
              <m:rPr>
                <m:sty m:val="p"/>
              </m:rPr>
              <w:rPr>
                <w:rFonts w:ascii="Cambria Math" w:hAnsi="Cambria Math"/>
              </w:rPr>
              <m:t>f,e</m:t>
            </m:r>
          </m:sub>
        </m:sSub>
        <m:r>
          <w:rPr>
            <w:rFonts w:ascii="Cambria Math" w:hAnsi="Cambria Math"/>
          </w:rPr>
          <m:t>=</m:t>
        </m:r>
        <m:f>
          <m:fPr>
            <m:ctrlPr>
              <w:rPr>
                <w:rFonts w:ascii="Cambria Math" w:hAnsi="Cambria Math"/>
                <w:i/>
                <w:iCs/>
              </w:rPr>
            </m:ctrlPr>
          </m:fPr>
          <m:num>
            <m:sSub>
              <m:sSubPr>
                <m:ctrlPr>
                  <w:rPr>
                    <w:rFonts w:ascii="Cambria Math" w:hAnsi="Cambria Math"/>
                    <w:i/>
                    <w:iCs/>
                  </w:rPr>
                </m:ctrlPr>
              </m:sSubPr>
              <m:e>
                <m:r>
                  <w:rPr>
                    <w:rFonts w:ascii="Cambria Math" w:hAnsi="Cambria Math"/>
                  </w:rPr>
                  <m:t>σ</m:t>
                </m:r>
              </m:e>
              <m:sub>
                <m:r>
                  <w:rPr>
                    <w:rFonts w:ascii="Cambria Math" w:hAnsi="Cambria Math"/>
                  </w:rPr>
                  <m:t>h</m:t>
                </m:r>
              </m:sub>
            </m:sSub>
          </m:num>
          <m:den>
            <m:sSub>
              <m:sSubPr>
                <m:ctrlPr>
                  <w:rPr>
                    <w:rFonts w:ascii="Cambria Math" w:hAnsi="Cambria Math"/>
                    <w:i/>
                    <w:iCs/>
                  </w:rPr>
                </m:ctrlPr>
              </m:sSubPr>
              <m:e>
                <m:r>
                  <w:rPr>
                    <w:rFonts w:ascii="Cambria Math" w:hAnsi="Cambria Math"/>
                  </w:rPr>
                  <m:t>σ</m:t>
                </m:r>
              </m:e>
              <m:sub>
                <m:r>
                  <w:rPr>
                    <w:rFonts w:ascii="Cambria Math" w:hAnsi="Cambria Math"/>
                  </w:rPr>
                  <m:t>e</m:t>
                </m:r>
              </m:sub>
            </m:sSub>
          </m:den>
        </m:f>
        <m:r>
          <w:rPr>
            <w:rFonts w:ascii="Cambria Math" w:hAnsi="Cambria Math"/>
          </w:rPr>
          <m:t>⋅</m:t>
        </m:r>
        <m:r>
          <m:rPr>
            <m:sty m:val="p"/>
          </m:rPr>
          <w:rPr>
            <w:rFonts w:ascii="Cambria Math" w:hAnsi="Cambria Math"/>
          </w:rPr>
          <m:t>∇</m:t>
        </m:r>
        <m:sSub>
          <m:sSubPr>
            <m:ctrlPr>
              <w:rPr>
                <w:rFonts w:ascii="Cambria Math" w:hAnsi="Cambria Math"/>
                <w:i/>
                <w:iCs/>
              </w:rPr>
            </m:ctrlPr>
          </m:sSubPr>
          <m:e>
            <m:r>
              <w:rPr>
                <w:rFonts w:ascii="Cambria Math" w:hAnsi="Cambria Math"/>
              </w:rPr>
              <m:t>E</m:t>
            </m:r>
          </m:e>
          <m:sub>
            <m:r>
              <m:rPr>
                <m:sty m:val="p"/>
              </m:rPr>
              <w:rPr>
                <w:rFonts w:ascii="Cambria Math" w:hAnsi="Cambria Math"/>
              </w:rPr>
              <m:t>f,h</m:t>
            </m:r>
          </m:sub>
        </m:sSub>
      </m:oMath>
      <w:r w:rsidRPr="00E80F7F">
        <w:rPr>
          <w:iCs/>
        </w:rPr>
        <w:t>.</w:t>
      </w:r>
      <w:r w:rsidRPr="00E80F7F">
        <w:rPr>
          <w:lang w:val="en-GB"/>
        </w:rPr>
        <w:fldChar w:fldCharType="begin" w:fldLock="1"/>
      </w:r>
      <w:r w:rsidRPr="00E80F7F">
        <w:rPr>
          <w:lang w:val="en-GB"/>
        </w:rPr>
        <w:instrText>ADDIN CSL_CITATION {"citationItems":[{"id":"ITEM-1","itemData":{"DOI":"10.1109/PVSC40753.2019.8980762","ISBN":"9781728104942","ISSN":"01608371","abstract":"In order to understand how contacts influence the performance of solar cells, we previously developed and presented the concept of partial specific resistances: for each contact of a solar cell, we defined voltage-dependent specific resistances to electrons and to holes. Although the connection between these partial specific resistances and the cell performance metrics at open circuit (iVoc and Voc) is straightforward, the relationship becomes more complex when current flows out of the cell, in particular at the maximum power point. In the present work, we investigate the dependence of these hole and electron specific resistances on implied voltage. We show that the shapes of these curves - and not simply the resistance values at the maximum power point, which do not correspond to the same injection level in every cell - dictate the cell efficiency.","author":[{"dropping-particle":"","family":"Onno","given":"Arthur","non-dropping-particle":"","parse-names":false,"suffix":""},{"dropping-particle":"","family":"Chen","given":"Christopher","non-dropping-particle":"","parse-names":false,"suffix":""},{"dropping-particle":"","family":"Holman","given":"Zachary C.","non-dropping-particle":"","parse-names":false,"suffix":""}],"container-title":"Conference Record of the IEEE Photovoltaic Specialists Conference","id":"ITEM-1","issued":{"date-parts":[["2019"]]},"page":"2329-2333","title":"Electron and hole partial specific resistances: A framework to understand contacts to solar cells","type":"article-journal"},"uris":["http://www.mendeley.com/documents/?uuid=ce60539c-81fe-4527-9c82-071ef3dc3acb","http://www.mendeley.com/documents/?uuid=3d0ca0c8-e6bd-4aef-94fb-66b50af58b0a"]},{"id":"ITEM-2","itemData":{"ISBN":"9783527404285","author":[{"dropping-particle":"","family":"Würfel","given":"Peter","non-dropping-particle":"","parse-names":false,"suffix":""},{"dropping-particle":"","family":"Würfel","given":"Uli","non-dropping-particle":"","parse-names":false,"suffix":""}],"edition":"2nd","id":"ITEM-2","issued":{"date-parts":[["2009","1"]]},"publisher":"Wiley-VCH","publisher-place":"Weinheim","title":"Physics of Solar Cells: From Basic Principles to Advanced Concepts","type":"book"},"uris":["http://www.mendeley.com/documents/?uuid=a3778c05-21b4-4a12-9ab0-56fd47b52b4f","http://www.mendeley.com/documents/?uuid=5229da5a-038c-44ed-985a-c47b9e9de045"]},{"id":"ITEM-3","itemData":{"DOI":"10.1002/solr.202100107","ISSN":"2367198X","abstract":"Excellent contact passivation and selectivity are prerequisites to realize the full potential of high-material-quality perovskite solar cells, first to maximize the internal voltage (or quasi-Fermi-level separation) iV within the absorber, then to translate this high internal voltage into a high external voltage V. Experimental quantification of contact passivation and selectivity is, thus, key to improving device performance. Here, open-circuit measurements of iVoc and Voc, combined with surface photovoltage measurements, are used to systematically quantify the passivation—using iVoc as a metric—and the selectivity—defined as Soc = Voc/iVoc—of a range of common carrier transport layers to wide-bandgap (1.67 eV) perovskite absorbers. The resulting solar cells suffer from large voltage deficits, particularly when NiOx is used as the hole transport layer, even though it provides better passivation than its polymer-based counterparts (PTAA and PTAA/PFN). This indicates a poor selectivity of NiOx (Soc &lt; 0.81 for NiOx-based devices), whereas devices using polymer-based hole transport layers exhibit high selectivity (Soc = 0.94–0.95). In agreement with recent reports, this low selectivity is attributed to the formation of an interlayer of non-perovskite material with high resistance to holes at the perovskite/NiOx interface. These measurements also imply that the selectivity of the C60-based electron transport layers is relatively good.","author":[{"dropping-particle":"","family":"Kavadiya","given":"Shalinee","non-dropping-particle":"","parse-names":false,"suffix":""},{"dropping-particle":"","family":"Onno","given":"Arthur","non-dropping-particle":"","parse-names":false,"suffix":""},{"dropping-particle":"","family":"Boyd","given":"Caleb C.","non-dropping-particle":"","parse-names":false,"suffix":""},{"dropping-particle":"","family":"Wang","given":"Xingyi","non-dropping-particle":"","parse-names":false,"suffix":""},{"dropping-particle":"","family":"Cetta","given":"Alexa","non-dropping-particle":"","parse-names":false,"suffix":""},{"dropping-particle":"","family":"McGehee","given":"Michael D.","non-dropping-particle":"","parse-names":false,"suffix":""},{"dropping-particle":"","family":"Holman","given":"Zachary C.","non-dropping-particle":"","parse-names":false,"suffix":""}],"container-title":"Solar RRL","id":"ITEM-3","issue":"7","issued":{"date-parts":[["2021"]]},"page":"1-9","title":"Investigation of the Selectivity of Carrier Transport Layers in Wide-Bandgap Perovskite Solar Cells","type":"article-journal","volume":"5"},"uris":["http://www.mendeley.com/documents/?uuid=9325f4cc-c668-4e0e-9cca-889a28c60034","http://www.mendeley.com/documents/?uuid=a706dad6-dbc0-4550-bda2-97df86cc6cdc"]}],"mendeley":{"formattedCitation":"&lt;sup&gt;4–6&lt;/sup&gt;","plainTextFormattedCitation":"4–6","previouslyFormattedCitation":"&lt;sup&gt;4–6&lt;/sup&gt;"},"properties":{"noteIndex":0},"schema":"https://github.com/citation-style-language/schema/raw/master/csl-citation.json"}</w:instrText>
      </w:r>
      <w:r w:rsidRPr="00E80F7F">
        <w:rPr>
          <w:lang w:val="en-GB"/>
        </w:rPr>
        <w:fldChar w:fldCharType="separate"/>
      </w:r>
      <w:r w:rsidRPr="00E80F7F">
        <w:rPr>
          <w:noProof/>
          <w:vertAlign w:val="superscript"/>
          <w:lang w:val="en-GB"/>
        </w:rPr>
        <w:t>4–6</w:t>
      </w:r>
      <w:r w:rsidRPr="00E80F7F">
        <w:rPr>
          <w:lang w:val="en-GB"/>
        </w:rPr>
        <w:fldChar w:fldCharType="end"/>
      </w:r>
      <w:r w:rsidRPr="00E80F7F">
        <w:rPr>
          <w:iCs/>
        </w:rPr>
        <w:t xml:space="preserve"> </w:t>
      </w:r>
      <w:r w:rsidRPr="00E80F7F">
        <w:rPr>
          <w:lang w:val="en-GB"/>
        </w:rPr>
        <w:t>Because the conductivity of holes is greatly enhanced at the electron-selective interface, while the electron conductive is strongly decreased (inversion population)</w:t>
      </w:r>
      <w:r>
        <w:rPr>
          <w:lang w:val="en-GB"/>
        </w:rPr>
        <w:t>,</w:t>
      </w:r>
      <w:r w:rsidRPr="00E80F7F">
        <w:rPr>
          <w:lang w:val="en-GB"/>
        </w:rPr>
        <w:t xml:space="preserve"> allows us to conclude that the electron QFL bends at the C</w:t>
      </w:r>
      <w:r w:rsidRPr="00E80F7F">
        <w:rPr>
          <w:vertAlign w:val="subscript"/>
          <w:lang w:val="en-GB"/>
        </w:rPr>
        <w:t>60</w:t>
      </w:r>
      <w:r w:rsidRPr="00E80F7F">
        <w:rPr>
          <w:lang w:val="en-GB"/>
        </w:rPr>
        <w:t xml:space="preserve"> interface.</w:t>
      </w:r>
    </w:p>
    <w:p w14:paraId="6B4C5959" w14:textId="77777777" w:rsidR="00345759" w:rsidRPr="00927761" w:rsidRDefault="00345759" w:rsidP="00345759">
      <w:pPr>
        <w:jc w:val="both"/>
        <w:rPr>
          <w:b/>
          <w:sz w:val="24"/>
          <w:lang w:val="en-GB"/>
        </w:rPr>
      </w:pPr>
    </w:p>
    <w:p w14:paraId="6B0CA490" w14:textId="77777777" w:rsidR="00345759" w:rsidRPr="00927761" w:rsidRDefault="00345759" w:rsidP="00345759">
      <w:pPr>
        <w:rPr>
          <w:lang w:val="en-GB"/>
        </w:rPr>
      </w:pPr>
      <w:r w:rsidRPr="00927761">
        <w:rPr>
          <w:b/>
          <w:lang w:val="en-GB"/>
        </w:rPr>
        <w:t>Supplementary Table S1.</w:t>
      </w:r>
      <w:r w:rsidRPr="00927761">
        <w:rPr>
          <w:lang w:val="en-GB"/>
        </w:rPr>
        <w:t xml:space="preserve"> IonMonger simulation parameters for the 83</w:t>
      </w:r>
      <w:r>
        <w:rPr>
          <w:lang w:val="en-GB"/>
        </w:rPr>
        <w:t>:</w:t>
      </w:r>
      <w:r w:rsidRPr="00927761">
        <w:rPr>
          <w:lang w:val="en-GB"/>
        </w:rPr>
        <w:t>17 triple cation standard cell.</w:t>
      </w:r>
    </w:p>
    <w:tbl>
      <w:tblPr>
        <w:tblStyle w:val="TableGrid"/>
        <w:tblW w:w="361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13"/>
        <w:gridCol w:w="1023"/>
        <w:gridCol w:w="1023"/>
        <w:gridCol w:w="761"/>
        <w:gridCol w:w="738"/>
      </w:tblGrid>
      <w:tr w:rsidR="00345759" w:rsidRPr="00927761" w14:paraId="167FA772" w14:textId="77777777" w:rsidTr="00027E96">
        <w:trPr>
          <w:jc w:val="center"/>
        </w:trPr>
        <w:tc>
          <w:tcPr>
            <w:tcW w:w="3097" w:type="dxa"/>
            <w:tcBorders>
              <w:top w:val="single" w:sz="4" w:space="0" w:color="auto"/>
              <w:left w:val="single" w:sz="4" w:space="0" w:color="auto"/>
              <w:bottom w:val="single" w:sz="4" w:space="0" w:color="auto"/>
            </w:tcBorders>
          </w:tcPr>
          <w:p w14:paraId="5F12249E" w14:textId="77777777" w:rsidR="00345759" w:rsidRPr="00927761" w:rsidRDefault="00345759" w:rsidP="00027E96">
            <w:pPr>
              <w:spacing w:line="276" w:lineRule="auto"/>
              <w:rPr>
                <w:b/>
                <w:sz w:val="21"/>
                <w:lang w:val="en-GB"/>
              </w:rPr>
            </w:pPr>
            <w:r w:rsidRPr="00927761">
              <w:rPr>
                <w:b/>
                <w:sz w:val="21"/>
                <w:lang w:val="en-GB"/>
              </w:rPr>
              <w:t>Parameter</w:t>
            </w:r>
          </w:p>
        </w:tc>
        <w:tc>
          <w:tcPr>
            <w:tcW w:w="987" w:type="dxa"/>
            <w:tcBorders>
              <w:top w:val="single" w:sz="4" w:space="0" w:color="auto"/>
              <w:bottom w:val="single" w:sz="4" w:space="0" w:color="auto"/>
            </w:tcBorders>
          </w:tcPr>
          <w:p w14:paraId="5613A86C" w14:textId="77777777" w:rsidR="00345759" w:rsidRPr="00927761" w:rsidRDefault="00345759" w:rsidP="00027E96">
            <w:pPr>
              <w:spacing w:line="276" w:lineRule="auto"/>
              <w:jc w:val="both"/>
              <w:rPr>
                <w:b/>
                <w:sz w:val="21"/>
                <w:lang w:val="en-GB"/>
              </w:rPr>
            </w:pPr>
            <w:r w:rsidRPr="00927761">
              <w:rPr>
                <w:b/>
                <w:sz w:val="21"/>
                <w:lang w:val="en-GB"/>
              </w:rPr>
              <w:t>Symbol</w:t>
            </w:r>
          </w:p>
        </w:tc>
        <w:tc>
          <w:tcPr>
            <w:tcW w:w="987" w:type="dxa"/>
            <w:tcBorders>
              <w:top w:val="single" w:sz="4" w:space="0" w:color="auto"/>
              <w:bottom w:val="single" w:sz="4" w:space="0" w:color="auto"/>
            </w:tcBorders>
          </w:tcPr>
          <w:p w14:paraId="4B312E12" w14:textId="77777777" w:rsidR="00345759" w:rsidRPr="00927761" w:rsidRDefault="00345759" w:rsidP="00027E96">
            <w:pPr>
              <w:spacing w:line="276" w:lineRule="auto"/>
              <w:rPr>
                <w:b/>
                <w:sz w:val="21"/>
                <w:lang w:val="en-GB"/>
              </w:rPr>
            </w:pPr>
            <w:r w:rsidRPr="00927761">
              <w:rPr>
                <w:b/>
                <w:sz w:val="21"/>
                <w:lang w:val="en-GB"/>
              </w:rPr>
              <w:t>Value</w:t>
            </w:r>
          </w:p>
        </w:tc>
        <w:tc>
          <w:tcPr>
            <w:tcW w:w="734" w:type="dxa"/>
            <w:tcBorders>
              <w:top w:val="single" w:sz="4" w:space="0" w:color="auto"/>
              <w:bottom w:val="single" w:sz="4" w:space="0" w:color="auto"/>
            </w:tcBorders>
          </w:tcPr>
          <w:p w14:paraId="38C14587" w14:textId="77777777" w:rsidR="00345759" w:rsidRPr="00927761" w:rsidRDefault="00345759" w:rsidP="00027E96">
            <w:pPr>
              <w:spacing w:line="276" w:lineRule="auto"/>
              <w:rPr>
                <w:b/>
                <w:sz w:val="21"/>
                <w:lang w:val="en-GB"/>
              </w:rPr>
            </w:pPr>
            <w:r w:rsidRPr="00927761">
              <w:rPr>
                <w:b/>
                <w:sz w:val="21"/>
                <w:lang w:val="en-GB"/>
              </w:rPr>
              <w:t>Unit</w:t>
            </w:r>
          </w:p>
        </w:tc>
        <w:tc>
          <w:tcPr>
            <w:tcW w:w="712" w:type="dxa"/>
            <w:tcBorders>
              <w:top w:val="single" w:sz="4" w:space="0" w:color="auto"/>
              <w:bottom w:val="single" w:sz="4" w:space="0" w:color="auto"/>
              <w:right w:val="single" w:sz="4" w:space="0" w:color="auto"/>
            </w:tcBorders>
          </w:tcPr>
          <w:p w14:paraId="69950F7A" w14:textId="77777777" w:rsidR="00345759" w:rsidRPr="00927761" w:rsidRDefault="00345759" w:rsidP="00027E96">
            <w:pPr>
              <w:spacing w:line="276" w:lineRule="auto"/>
              <w:jc w:val="both"/>
              <w:rPr>
                <w:b/>
                <w:sz w:val="21"/>
                <w:lang w:val="en-GB"/>
              </w:rPr>
            </w:pPr>
            <w:r w:rsidRPr="00927761">
              <w:rPr>
                <w:b/>
                <w:sz w:val="21"/>
                <w:lang w:val="en-GB"/>
              </w:rPr>
              <w:t>Ref.</w:t>
            </w:r>
          </w:p>
        </w:tc>
      </w:tr>
      <w:tr w:rsidR="00345759" w:rsidRPr="00927761" w14:paraId="0190EED0" w14:textId="77777777" w:rsidTr="00027E96">
        <w:trPr>
          <w:jc w:val="center"/>
        </w:trPr>
        <w:tc>
          <w:tcPr>
            <w:tcW w:w="3097" w:type="dxa"/>
            <w:tcBorders>
              <w:top w:val="single" w:sz="4" w:space="0" w:color="auto"/>
              <w:left w:val="single" w:sz="4" w:space="0" w:color="auto"/>
              <w:bottom w:val="dotted" w:sz="4" w:space="0" w:color="auto"/>
            </w:tcBorders>
          </w:tcPr>
          <w:p w14:paraId="3A477803" w14:textId="77777777" w:rsidR="00345759" w:rsidRPr="00927761" w:rsidRDefault="00345759" w:rsidP="00027E96">
            <w:pPr>
              <w:spacing w:line="276" w:lineRule="auto"/>
              <w:rPr>
                <w:sz w:val="21"/>
                <w:lang w:val="en-GB"/>
              </w:rPr>
            </w:pPr>
            <w:r w:rsidRPr="00927761">
              <w:rPr>
                <w:sz w:val="21"/>
                <w:lang w:val="en-GB"/>
              </w:rPr>
              <w:t>Majority carrier band offset between perovskite and C</w:t>
            </w:r>
            <w:r w:rsidRPr="00927761">
              <w:rPr>
                <w:sz w:val="21"/>
                <w:vertAlign w:val="subscript"/>
                <w:lang w:val="en-GB"/>
              </w:rPr>
              <w:t>60</w:t>
            </w:r>
          </w:p>
        </w:tc>
        <w:tc>
          <w:tcPr>
            <w:tcW w:w="987" w:type="dxa"/>
            <w:tcBorders>
              <w:top w:val="single" w:sz="4" w:space="0" w:color="auto"/>
              <w:bottom w:val="dotted" w:sz="4" w:space="0" w:color="auto"/>
            </w:tcBorders>
          </w:tcPr>
          <w:p w14:paraId="62D3DC63" w14:textId="77777777" w:rsidR="00345759" w:rsidRPr="00927761" w:rsidRDefault="00345759" w:rsidP="00027E96">
            <w:pPr>
              <w:spacing w:line="276" w:lineRule="auto"/>
              <w:jc w:val="both"/>
              <w:rPr>
                <w:sz w:val="21"/>
                <w:lang w:val="en-GB"/>
              </w:rPr>
            </w:pPr>
            <m:oMathPara>
              <m:oMath>
                <m:r>
                  <w:rPr>
                    <w:rFonts w:ascii="Cambria Math" w:hAnsi="Cambria Math"/>
                    <w:sz w:val="21"/>
                    <w:lang w:val="en-GB"/>
                  </w:rPr>
                  <m:t>∆</m:t>
                </m:r>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maj</m:t>
                    </m:r>
                    <m:r>
                      <w:rPr>
                        <w:rFonts w:ascii="Cambria Math" w:hAnsi="Cambria Math"/>
                        <w:sz w:val="21"/>
                        <w:lang w:val="en-GB"/>
                      </w:rPr>
                      <m:t>,</m:t>
                    </m:r>
                    <m:r>
                      <m:rPr>
                        <m:sty m:val="p"/>
                      </m:rPr>
                      <w:rPr>
                        <w:rFonts w:ascii="Cambria Math" w:hAnsi="Cambria Math"/>
                        <w:sz w:val="21"/>
                        <w:lang w:val="en-GB"/>
                      </w:rPr>
                      <m:t>c</m:t>
                    </m:r>
                  </m:sub>
                </m:sSub>
              </m:oMath>
            </m:oMathPara>
          </w:p>
        </w:tc>
        <w:tc>
          <w:tcPr>
            <w:tcW w:w="987" w:type="dxa"/>
            <w:tcBorders>
              <w:top w:val="single" w:sz="4" w:space="0" w:color="auto"/>
              <w:bottom w:val="dotted" w:sz="4" w:space="0" w:color="auto"/>
            </w:tcBorders>
          </w:tcPr>
          <w:p w14:paraId="74BA9EDF" w14:textId="77777777" w:rsidR="00345759" w:rsidRPr="00927761" w:rsidRDefault="00345759" w:rsidP="00027E96">
            <w:pPr>
              <w:spacing w:line="276" w:lineRule="auto"/>
              <w:rPr>
                <w:sz w:val="21"/>
                <w:lang w:val="en-GB"/>
              </w:rPr>
            </w:pPr>
            <w:r w:rsidRPr="00927761">
              <w:rPr>
                <w:sz w:val="21"/>
                <w:lang w:val="en-GB"/>
              </w:rPr>
              <w:t xml:space="preserve">0 </w:t>
            </w:r>
          </w:p>
        </w:tc>
        <w:tc>
          <w:tcPr>
            <w:tcW w:w="734" w:type="dxa"/>
            <w:tcBorders>
              <w:top w:val="single" w:sz="4" w:space="0" w:color="auto"/>
              <w:bottom w:val="dotted" w:sz="4" w:space="0" w:color="auto"/>
            </w:tcBorders>
          </w:tcPr>
          <w:p w14:paraId="366DDA35"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single" w:sz="4" w:space="0" w:color="auto"/>
              <w:bottom w:val="dotted" w:sz="4" w:space="0" w:color="auto"/>
              <w:right w:val="single" w:sz="4" w:space="0" w:color="auto"/>
            </w:tcBorders>
          </w:tcPr>
          <w:p w14:paraId="2F58ED36"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{"citationItems":[{"id":"ITEM-1","itemData":{"DOI":"10.1039/C9EE02020A","ISSN":"1754-5692","abstract":"We quantify recombination losses in the bulk and interfaces for different perovskite compositions and popular charge transport layers.","author":[{"dropping-particle":"","family":"Stolterfoht","given":"Martin","non-dropping-particle":"","parse-names":false,"suffix":""},{"dropping-particle":"","family":"Caprioglio","given":"Pietro","non-dropping-particle":"","parse-names":false,"suffix":""},{"dropping-particle":"","family":"Wolff","given":"Christian M.","non-dropping-particle":"","parse-names":false,"suffix":""},{"dropping-particle":"","family":"Márquez","given":"José A.","non-dropping-particle":"","parse-names":false,"suffix":""},{"dropping-particle":"","family":"Nordmann","given":"Joleik","non-dropping-particle":"","parse-names":false,"suffix":""},{"dropping-particle":"","family":"Zhang","given":"Shanshan","non-dropping-particle":"","parse-names":false,"suffix":""},{"dropping-particle":"","family":"Rothhardt","given":"Daniel","non-dropping-particle":"","parse-names":false,"suffix":""},{"dropping-particle":"","family":"Hörmann","given":"Ulrich","non-dropping-particle":"","parse-names":false,"suffix":""},{"dropping-particle":"","family":"Amir","given":"Yohai","non-dropping-particle":"","parse-names":false,"suffix":""},{"dropping-particle":"","family":"Redinger","given":"Alex","non-dropping-particle":"","parse-names":false,"suffix":""},{"dropping-particle":"","family":"Kegelmann","given":"Lukas","non-dropping-particle":"","parse-names":false,"suffix":""},{"dropping-particle":"","family":"Zu","given":"Fengshuo","non-dropping-particle":"","parse-names":false,"suffix":""},{"dropping-particle":"","family":"Albrecht","given":"Steve","non-dropping-particle":"","parse-names":false,"suffix":""},{"dropping-particle":"","family":"Koch","given":"Norbert","non-dropping-particle":"","parse-names":false,"suffix":""},{"dropping-particle":"","family":"Kirchartz","given":"Thomas","non-dropping-particle":"","parse-names":false,"suffix":""},{"dropping-particle":"","family":"Saliba","given":"Michael","non-dropping-particle":"","parse-names":false,"suffix":""},{"dropping-particle":"","family":"Unold","given":"Thomas","non-dropping-particle":"","parse-names":false,"suffix":""},{"dropping-particle":"","family":"Neher","given":"Dieter","non-dropping-particle":"","parse-names":false,"suffix":""}],"container-title":"Energy &amp; Environmental Science","id":"ITEM-1","issue":"9","issued":{"date-parts":[["2019"]]},"page":"2778-2788","title":"The impact of energy alignment and interfacial recombination on the internal and external open-circuit voltage of perovskite solar cells","type":"article-journal","volume":"12"},"uris":["http://www.mendeley.com/documents/?uuid=29c0d728-e0e8-3e95-b588-fcc74c37a6c9"]}],"mendeley":{"formattedCitation":"&lt;sup&gt;7&lt;/sup&gt;","plainTextFormattedCitation":"7","previouslyFormattedCitation":"&lt;sup&gt;7&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7</w:t>
            </w:r>
            <w:r w:rsidRPr="00927761">
              <w:rPr>
                <w:sz w:val="21"/>
                <w:lang w:val="en-GB"/>
              </w:rPr>
              <w:fldChar w:fldCharType="end"/>
            </w:r>
          </w:p>
        </w:tc>
      </w:tr>
      <w:tr w:rsidR="00345759" w:rsidRPr="00927761" w14:paraId="5EC170BF" w14:textId="77777777" w:rsidTr="00027E96">
        <w:trPr>
          <w:jc w:val="center"/>
        </w:trPr>
        <w:tc>
          <w:tcPr>
            <w:tcW w:w="3097" w:type="dxa"/>
            <w:tcBorders>
              <w:top w:val="dotted" w:sz="4" w:space="0" w:color="auto"/>
              <w:left w:val="single" w:sz="4" w:space="0" w:color="auto"/>
              <w:bottom w:val="dotted" w:sz="4" w:space="0" w:color="auto"/>
            </w:tcBorders>
          </w:tcPr>
          <w:p w14:paraId="30264BE6" w14:textId="77777777" w:rsidR="00345759" w:rsidRPr="00927761" w:rsidRDefault="00345759" w:rsidP="00027E96">
            <w:pPr>
              <w:spacing w:line="276" w:lineRule="auto"/>
              <w:rPr>
                <w:sz w:val="21"/>
                <w:lang w:val="en-GB"/>
              </w:rPr>
            </w:pPr>
            <w:r w:rsidRPr="00927761">
              <w:rPr>
                <w:sz w:val="21"/>
                <w:lang w:val="en-GB"/>
              </w:rPr>
              <w:t>Majority carrier band offset between perovskite and PTAA</w:t>
            </w:r>
          </w:p>
        </w:tc>
        <w:tc>
          <w:tcPr>
            <w:tcW w:w="987" w:type="dxa"/>
            <w:tcBorders>
              <w:top w:val="dotted" w:sz="4" w:space="0" w:color="auto"/>
              <w:bottom w:val="dotted" w:sz="4" w:space="0" w:color="auto"/>
            </w:tcBorders>
          </w:tcPr>
          <w:p w14:paraId="483A8215" w14:textId="77777777" w:rsidR="00345759" w:rsidRPr="00927761" w:rsidRDefault="00345759" w:rsidP="00027E96">
            <w:pPr>
              <w:spacing w:line="276" w:lineRule="auto"/>
              <w:jc w:val="both"/>
              <w:rPr>
                <w:sz w:val="21"/>
                <w:lang w:val="en-GB"/>
              </w:rPr>
            </w:pPr>
            <m:oMathPara>
              <m:oMath>
                <m:r>
                  <w:rPr>
                    <w:rFonts w:ascii="Cambria Math" w:hAnsi="Cambria Math"/>
                    <w:sz w:val="21"/>
                    <w:lang w:val="en-GB"/>
                  </w:rPr>
                  <m:t>∆</m:t>
                </m:r>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maj</m:t>
                    </m:r>
                    <m:r>
                      <w:rPr>
                        <w:rFonts w:ascii="Cambria Math" w:hAnsi="Cambria Math"/>
                        <w:sz w:val="21"/>
                        <w:lang w:val="en-GB"/>
                      </w:rPr>
                      <m:t>,</m:t>
                    </m:r>
                    <m:r>
                      <m:rPr>
                        <m:sty m:val="p"/>
                      </m:rPr>
                      <w:rPr>
                        <w:rFonts w:ascii="Cambria Math" w:hAnsi="Cambria Math"/>
                        <w:sz w:val="21"/>
                        <w:lang w:val="en-GB"/>
                      </w:rPr>
                      <m:t>v</m:t>
                    </m:r>
                  </m:sub>
                </m:sSub>
              </m:oMath>
            </m:oMathPara>
          </w:p>
        </w:tc>
        <w:tc>
          <w:tcPr>
            <w:tcW w:w="987" w:type="dxa"/>
            <w:tcBorders>
              <w:top w:val="dotted" w:sz="4" w:space="0" w:color="auto"/>
              <w:bottom w:val="dotted" w:sz="4" w:space="0" w:color="auto"/>
            </w:tcBorders>
          </w:tcPr>
          <w:p w14:paraId="079D4892" w14:textId="77777777" w:rsidR="00345759" w:rsidRPr="00927761" w:rsidRDefault="00345759" w:rsidP="00027E96">
            <w:pPr>
              <w:spacing w:line="276" w:lineRule="auto"/>
              <w:rPr>
                <w:sz w:val="21"/>
                <w:lang w:val="en-GB"/>
              </w:rPr>
            </w:pPr>
            <w:r w:rsidRPr="00927761">
              <w:rPr>
                <w:sz w:val="21"/>
                <w:lang w:val="en-GB"/>
              </w:rPr>
              <w:t xml:space="preserve">0 </w:t>
            </w:r>
          </w:p>
        </w:tc>
        <w:tc>
          <w:tcPr>
            <w:tcW w:w="734" w:type="dxa"/>
            <w:tcBorders>
              <w:top w:val="dotted" w:sz="4" w:space="0" w:color="auto"/>
              <w:bottom w:val="dotted" w:sz="4" w:space="0" w:color="auto"/>
            </w:tcBorders>
          </w:tcPr>
          <w:p w14:paraId="37F5B83F"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68AA0CFF"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{"citationItems":[{"id":"ITEM-1","itemData":{"DOI":"10.1039/C9EE02020A","ISSN":"1754-5692","abstract":"We quantify recombination losses in the bulk and interfaces for different perovskite compositions and popular charge transport layers.","author":[{"dropping-particle":"","family":"Stolterfoht","given":"Martin","non-dropping-particle":"","parse-names":false,"suffix":""},{"dropping-particle":"","family":"Caprioglio","given":"Pietro","non-dropping-particle":"","parse-names":false,"suffix":""},{"dropping-particle":"","family":"Wolff","given":"Christian M.","non-dropping-particle":"","parse-names":false,"suffix":""},{"dropping-particle":"","family":"Márquez","given":"José A.","non-dropping-particle":"","parse-names":false,"suffix":""},{"dropping-particle":"","family":"Nordmann","given":"Joleik","non-dropping-particle":"","parse-names":false,"suffix":""},{"dropping-particle":"","family":"Zhang","given":"Shanshan","non-dropping-particle":"","parse-names":false,"suffix":""},{"dropping-particle":"","family":"Rothhardt","given":"Daniel","non-dropping-particle":"","parse-names":false,"suffix":""},{"dropping-particle":"","family":"Hörmann","given":"Ulrich","non-dropping-particle":"","parse-names":false,"suffix":""},{"dropping-particle":"","family":"Amir","given":"Yohai","non-dropping-particle":"","parse-names":false,"suffix":""},{"dropping-particle":"","family":"Redinger","given":"Alex","non-dropping-particle":"","parse-names":false,"suffix":""},{"dropping-particle":"","family":"Kegelmann","given":"Lukas","non-dropping-particle":"","parse-names":false,"suffix":""},{"dropping-particle":"","family":"Zu","given":"Fengshuo","non-dropping-particle":"","parse-names":false,"suffix":""},{"dropping-particle":"","family":"Albrecht","given":"Steve","non-dropping-particle":"","parse-names":false,"suffix":""},{"dropping-particle":"","family":"Koch","given":"Norbert","non-dropping-particle":"","parse-names":false,"suffix":""},{"dropping-particle":"","family":"Kirchartz","given":"Thomas","non-dropping-particle":"","parse-names":false,"suffix":""},{"dropping-particle":"","family":"Saliba","given":"Michael","non-dropping-particle":"","parse-names":false,"suffix":""},{"dropping-particle":"","family":"Unold","given":"Thomas","non-dropping-particle":"","parse-names":false,"suffix":""},{"dropping-particle":"","family":"Neher","given":"Dieter","non-dropping-particle":"","parse-names":false,"suffix":""}],"container-title":"Energy &amp; Environmental Science","id":"ITEM-1","issue":"9","issued":{"date-parts":[["2019"]]},"page":"2778-2788","title":"The impact of energy alignment and interfacial recombination on the internal and external open-circuit voltage of perovskite solar cells","type":"article-journal","volume":"12"},"uris":["http://www.mendeley.com/documents/?uuid=29c0d728-e0e8-3e95-b588-fcc74c37a6c9"]}],"mendeley":{"formattedCitation":"&lt;sup&gt;7&lt;/sup&gt;","plainTextFormattedCitation":"7","previouslyFormattedCitation":"&lt;sup&gt;7&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7</w:t>
            </w:r>
            <w:r w:rsidRPr="00927761">
              <w:rPr>
                <w:sz w:val="21"/>
                <w:lang w:val="en-GB"/>
              </w:rPr>
              <w:fldChar w:fldCharType="end"/>
            </w:r>
          </w:p>
        </w:tc>
      </w:tr>
      <w:tr w:rsidR="00345759" w:rsidRPr="00927761" w14:paraId="0FDA88F8" w14:textId="77777777" w:rsidTr="00027E96">
        <w:trPr>
          <w:jc w:val="center"/>
        </w:trPr>
        <w:tc>
          <w:tcPr>
            <w:tcW w:w="3097" w:type="dxa"/>
            <w:tcBorders>
              <w:top w:val="dotted" w:sz="4" w:space="0" w:color="auto"/>
              <w:left w:val="single" w:sz="4" w:space="0" w:color="auto"/>
              <w:bottom w:val="dotted" w:sz="4" w:space="0" w:color="auto"/>
            </w:tcBorders>
          </w:tcPr>
          <w:p w14:paraId="3E0F2E9F" w14:textId="77777777" w:rsidR="00345759" w:rsidRPr="00927761" w:rsidRDefault="00345759" w:rsidP="00027E96">
            <w:pPr>
              <w:spacing w:line="276" w:lineRule="auto"/>
              <w:rPr>
                <w:sz w:val="21"/>
                <w:lang w:val="en-GB"/>
              </w:rPr>
            </w:pPr>
            <w:r w:rsidRPr="00927761">
              <w:rPr>
                <w:sz w:val="21"/>
                <w:lang w:val="en-GB"/>
              </w:rPr>
              <w:t>Lifetime in perovskite</w:t>
            </w:r>
          </w:p>
        </w:tc>
        <w:tc>
          <w:tcPr>
            <w:tcW w:w="987" w:type="dxa"/>
            <w:tcBorders>
              <w:top w:val="dotted" w:sz="4" w:space="0" w:color="auto"/>
              <w:bottom w:val="dotted" w:sz="4" w:space="0" w:color="auto"/>
            </w:tcBorders>
          </w:tcPr>
          <w:p w14:paraId="677C5E6E"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τ</m:t>
                    </m:r>
                  </m:e>
                  <m:sub>
                    <m:r>
                      <m:rPr>
                        <m:sty m:val="p"/>
                      </m:rPr>
                      <w:rPr>
                        <w:rFonts w:ascii="Cambria Math" w:hAnsi="Cambria Math"/>
                        <w:sz w:val="21"/>
                        <w:lang w:val="en-GB"/>
                      </w:rPr>
                      <m:t>pero</m:t>
                    </m:r>
                  </m:sub>
                </m:sSub>
              </m:oMath>
            </m:oMathPara>
          </w:p>
        </w:tc>
        <w:tc>
          <w:tcPr>
            <w:tcW w:w="987" w:type="dxa"/>
            <w:tcBorders>
              <w:top w:val="dotted" w:sz="4" w:space="0" w:color="auto"/>
              <w:bottom w:val="dotted" w:sz="4" w:space="0" w:color="auto"/>
            </w:tcBorders>
          </w:tcPr>
          <w:p w14:paraId="293F858B" w14:textId="77777777" w:rsidR="00345759" w:rsidRPr="00927761" w:rsidRDefault="00345759" w:rsidP="00027E96">
            <w:pPr>
              <w:spacing w:line="276" w:lineRule="auto"/>
              <w:rPr>
                <w:sz w:val="21"/>
                <w:lang w:val="en-GB"/>
              </w:rPr>
            </w:pPr>
            <w:r w:rsidRPr="00927761">
              <w:rPr>
                <w:sz w:val="21"/>
                <w:lang w:val="en-GB"/>
              </w:rPr>
              <w:t>200</w:t>
            </w:r>
          </w:p>
        </w:tc>
        <w:tc>
          <w:tcPr>
            <w:tcW w:w="734" w:type="dxa"/>
            <w:tcBorders>
              <w:top w:val="dotted" w:sz="4" w:space="0" w:color="auto"/>
              <w:bottom w:val="dotted" w:sz="4" w:space="0" w:color="auto"/>
            </w:tcBorders>
          </w:tcPr>
          <w:p w14:paraId="04F2E856" w14:textId="77777777" w:rsidR="00345759" w:rsidRPr="00927761" w:rsidRDefault="00345759" w:rsidP="00027E96">
            <w:pPr>
              <w:spacing w:line="276" w:lineRule="auto"/>
              <w:rPr>
                <w:sz w:val="21"/>
                <w:lang w:val="en-GB"/>
              </w:rPr>
            </w:pPr>
            <w:r w:rsidRPr="00927761">
              <w:rPr>
                <w:sz w:val="21"/>
                <w:lang w:val="en-GB"/>
              </w:rPr>
              <w:t>ns</w:t>
            </w:r>
          </w:p>
        </w:tc>
        <w:tc>
          <w:tcPr>
            <w:tcW w:w="712" w:type="dxa"/>
            <w:tcBorders>
              <w:top w:val="dotted" w:sz="4" w:space="0" w:color="auto"/>
              <w:bottom w:val="dotted" w:sz="4" w:space="0" w:color="auto"/>
              <w:right w:val="single" w:sz="4" w:space="0" w:color="auto"/>
            </w:tcBorders>
          </w:tcPr>
          <w:p w14:paraId="75C7DF9D"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10.1038/s41560-018-0219-8","ISSN":"2058-7546","author":[{"dropping-particle":"","family":"Stolterfoht","given":"Martin","non-dropping-particle":"","parse-names":false,"suffix":""},{"dropping-particle":"","family":"Wolff","given":"Christian M","non-dropping-particle":"","parse-names":false,"suffix":""},{"dropping-particle":"","family":"Márquez","given":"José A","non-dropping-particle":"","parse-names":false,"suffix":""},{"dropping-particle":"","family":"Zhang","given":"Shanshan","non-dropping-particle":"","parse-names":false,"suffix":""},{"dropping-particle":"","family":"Hages","given":"Charles J","non-dropping-particle":"","parse-names":false,"suffix":""},{"dropping-particle":"","family":"Rothhardt","given":"Daniel","non-dropping-particle":"","parse-names":false,"suffix":""},{"dropping-particle":"","family":"Albrecht","given":"Steve","non-dropping-particle":"","parse-names":false,"suffix":""},{"dropping-particle":"","family":"Burn","given":"Paul L.","non-dropping-particle":"","parse-names":false,"suffix":""},{"dropping-particle":"","family":"Meredith","given":"Paul","non-dropping-particle":"","parse-names":false,"suffix":""},{"dropping-particle":"","family":"Unold","given":"Thomas","non-dropping-particle":"","parse-names":false,"suffix":""},{"dropping-particle":"","family":"Neher","given":"Dieter","non-dropping-particle":"","parse-names":false,"suffix":""}],"container-title":"Nature Energy","id":"ITEM-1","issue":"10","issued":{"date-parts":[["2018","10","30"]]},"page":"847-854","title":"Visualization and suppression of interfacial recombination for high-efficiency large-area pin perovskite solar cells","type":"article-journal","volume":"3"},"uris":["http://www.mendeley.com/documents/?uuid=464b3297-5ad8-4f13-b19f-aef82895888a"]}],"mendeley":{"formattedCitation":"&lt;sup&gt;8&lt;/sup&gt;","plainTextFormattedCitation":"8","previouslyFormattedCitation":"&lt;sup&gt;8&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8</w:t>
            </w:r>
            <w:r w:rsidRPr="00927761">
              <w:rPr>
                <w:sz w:val="21"/>
                <w:lang w:val="en-GB"/>
              </w:rPr>
              <w:fldChar w:fldCharType="end"/>
            </w:r>
          </w:p>
        </w:tc>
      </w:tr>
      <w:tr w:rsidR="00345759" w:rsidRPr="00927761" w14:paraId="1A98DB64" w14:textId="77777777" w:rsidTr="00027E96">
        <w:trPr>
          <w:jc w:val="center"/>
        </w:trPr>
        <w:tc>
          <w:tcPr>
            <w:tcW w:w="3097" w:type="dxa"/>
            <w:tcBorders>
              <w:top w:val="dotted" w:sz="4" w:space="0" w:color="auto"/>
              <w:left w:val="single" w:sz="4" w:space="0" w:color="auto"/>
              <w:bottom w:val="dotted" w:sz="4" w:space="0" w:color="auto"/>
            </w:tcBorders>
          </w:tcPr>
          <w:p w14:paraId="4DC53A2E" w14:textId="77777777" w:rsidR="00345759" w:rsidRPr="00927761" w:rsidRDefault="00345759" w:rsidP="00027E96">
            <w:pPr>
              <w:spacing w:line="276" w:lineRule="auto"/>
              <w:rPr>
                <w:sz w:val="21"/>
                <w:lang w:val="en-GB"/>
              </w:rPr>
            </w:pPr>
            <w:r w:rsidRPr="00927761">
              <w:rPr>
                <w:sz w:val="21"/>
                <w:lang w:val="en-GB"/>
              </w:rPr>
              <w:t>Ionized acceptors in PTAA</w:t>
            </w:r>
          </w:p>
        </w:tc>
        <w:tc>
          <w:tcPr>
            <w:tcW w:w="987" w:type="dxa"/>
            <w:tcBorders>
              <w:top w:val="dotted" w:sz="4" w:space="0" w:color="auto"/>
              <w:bottom w:val="dotted" w:sz="4" w:space="0" w:color="auto"/>
            </w:tcBorders>
          </w:tcPr>
          <w:p w14:paraId="2255D75F" w14:textId="77777777" w:rsidR="00345759" w:rsidRPr="00927761" w:rsidRDefault="00345759" w:rsidP="00027E96">
            <w:pPr>
              <w:spacing w:line="276" w:lineRule="auto"/>
              <w:jc w:val="both"/>
              <w:rPr>
                <w:sz w:val="21"/>
                <w:lang w:val="en-GB"/>
              </w:rPr>
            </w:pPr>
            <m:oMathPara>
              <m:oMath>
                <m:sSubSup>
                  <m:sSubSupPr>
                    <m:ctrlPr>
                      <w:rPr>
                        <w:rFonts w:ascii="Cambria Math" w:hAnsi="Cambria Math"/>
                        <w:i/>
                        <w:sz w:val="21"/>
                        <w:lang w:val="en-GB"/>
                      </w:rPr>
                    </m:ctrlPr>
                  </m:sSubSupPr>
                  <m:e>
                    <m:r>
                      <w:rPr>
                        <w:rFonts w:ascii="Cambria Math" w:hAnsi="Cambria Math"/>
                        <w:sz w:val="21"/>
                        <w:lang w:val="en-GB"/>
                      </w:rPr>
                      <m:t>N</m:t>
                    </m:r>
                  </m:e>
                  <m:sub>
                    <m:r>
                      <m:rPr>
                        <m:sty m:val="p"/>
                      </m:rPr>
                      <w:rPr>
                        <w:rFonts w:ascii="Cambria Math" w:hAnsi="Cambria Math"/>
                        <w:sz w:val="21"/>
                        <w:lang w:val="en-GB"/>
                      </w:rPr>
                      <m:t>A,</m:t>
                    </m:r>
                    <m:r>
                      <w:rPr>
                        <w:rFonts w:ascii="Cambria Math" w:hAnsi="Cambria Math"/>
                        <w:sz w:val="21"/>
                        <w:lang w:val="en-GB"/>
                      </w:rPr>
                      <m:t>p</m:t>
                    </m:r>
                  </m:sub>
                  <m:sup>
                    <m:r>
                      <w:rPr>
                        <w:rFonts w:ascii="Cambria Math" w:hAnsi="Cambria Math"/>
                        <w:sz w:val="21"/>
                        <w:lang w:val="en-GB"/>
                      </w:rPr>
                      <m:t>-</m:t>
                    </m:r>
                  </m:sup>
                </m:sSubSup>
              </m:oMath>
            </m:oMathPara>
          </w:p>
        </w:tc>
        <w:tc>
          <w:tcPr>
            <w:tcW w:w="987" w:type="dxa"/>
            <w:tcBorders>
              <w:top w:val="dotted" w:sz="4" w:space="0" w:color="auto"/>
              <w:bottom w:val="dotted" w:sz="4" w:space="0" w:color="auto"/>
            </w:tcBorders>
          </w:tcPr>
          <w:p w14:paraId="52341720" w14:textId="77777777" w:rsidR="00345759" w:rsidRPr="00927761" w:rsidRDefault="00345759" w:rsidP="00027E96">
            <w:pPr>
              <w:spacing w:line="276" w:lineRule="auto"/>
              <w:rPr>
                <w:sz w:val="21"/>
                <w:lang w:val="en-GB"/>
              </w:rPr>
            </w:pPr>
            <w:r w:rsidRPr="00927761">
              <w:rPr>
                <w:sz w:val="21"/>
                <w:lang w:val="en-GB"/>
              </w:rPr>
              <w:t>0</w:t>
            </w:r>
          </w:p>
        </w:tc>
        <w:tc>
          <w:tcPr>
            <w:tcW w:w="734" w:type="dxa"/>
            <w:tcBorders>
              <w:top w:val="dotted" w:sz="4" w:space="0" w:color="auto"/>
              <w:bottom w:val="dotted" w:sz="4" w:space="0" w:color="auto"/>
            </w:tcBorders>
          </w:tcPr>
          <w:p w14:paraId="336808A2"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bottom w:val="dotted" w:sz="4" w:space="0" w:color="auto"/>
              <w:right w:val="single" w:sz="4" w:space="0" w:color="auto"/>
            </w:tcBorders>
          </w:tcPr>
          <w:p w14:paraId="391FF8CE" w14:textId="77777777" w:rsidR="00345759" w:rsidRPr="00927761" w:rsidRDefault="00345759" w:rsidP="00027E96">
            <w:pPr>
              <w:spacing w:line="276" w:lineRule="auto"/>
              <w:jc w:val="both"/>
              <w:rPr>
                <w:sz w:val="21"/>
                <w:lang w:val="en-GB"/>
              </w:rPr>
            </w:pPr>
          </w:p>
        </w:tc>
      </w:tr>
      <w:tr w:rsidR="00345759" w:rsidRPr="00927761" w14:paraId="74C44F39" w14:textId="77777777" w:rsidTr="00027E96">
        <w:trPr>
          <w:jc w:val="center"/>
        </w:trPr>
        <w:tc>
          <w:tcPr>
            <w:tcW w:w="3097" w:type="dxa"/>
            <w:tcBorders>
              <w:top w:val="dotted" w:sz="4" w:space="0" w:color="auto"/>
              <w:left w:val="single" w:sz="4" w:space="0" w:color="auto"/>
              <w:bottom w:val="dotted" w:sz="4" w:space="0" w:color="auto"/>
            </w:tcBorders>
          </w:tcPr>
          <w:p w14:paraId="75255C06" w14:textId="77777777" w:rsidR="00345759" w:rsidRPr="00927761" w:rsidRDefault="00345759" w:rsidP="00027E96">
            <w:pPr>
              <w:spacing w:line="276" w:lineRule="auto"/>
              <w:rPr>
                <w:sz w:val="21"/>
                <w:lang w:val="en-GB"/>
              </w:rPr>
            </w:pPr>
            <w:r w:rsidRPr="00927761">
              <w:rPr>
                <w:sz w:val="21"/>
                <w:lang w:val="en-GB"/>
              </w:rPr>
              <w:t>Ionized donors in C</w:t>
            </w:r>
            <w:r w:rsidRPr="00927761">
              <w:rPr>
                <w:sz w:val="21"/>
                <w:vertAlign w:val="subscript"/>
                <w:lang w:val="en-GB"/>
              </w:rPr>
              <w:t>60</w:t>
            </w:r>
          </w:p>
        </w:tc>
        <w:tc>
          <w:tcPr>
            <w:tcW w:w="987" w:type="dxa"/>
            <w:tcBorders>
              <w:top w:val="dotted" w:sz="4" w:space="0" w:color="auto"/>
              <w:bottom w:val="dotted" w:sz="4" w:space="0" w:color="auto"/>
            </w:tcBorders>
          </w:tcPr>
          <w:p w14:paraId="35484412" w14:textId="77777777" w:rsidR="00345759" w:rsidRPr="00927761" w:rsidRDefault="00345759" w:rsidP="00027E96">
            <w:pPr>
              <w:spacing w:line="276" w:lineRule="auto"/>
              <w:jc w:val="both"/>
              <w:rPr>
                <w:sz w:val="21"/>
                <w:lang w:val="en-GB"/>
              </w:rPr>
            </w:pPr>
            <m:oMathPara>
              <m:oMath>
                <m:sSubSup>
                  <m:sSubSupPr>
                    <m:ctrlPr>
                      <w:rPr>
                        <w:rFonts w:ascii="Cambria Math" w:hAnsi="Cambria Math"/>
                        <w:i/>
                        <w:sz w:val="21"/>
                        <w:lang w:val="en-GB"/>
                      </w:rPr>
                    </m:ctrlPr>
                  </m:sSubSupPr>
                  <m:e>
                    <m:r>
                      <w:rPr>
                        <w:rFonts w:ascii="Cambria Math" w:hAnsi="Cambria Math"/>
                        <w:sz w:val="21"/>
                        <w:lang w:val="en-GB"/>
                      </w:rPr>
                      <m:t>N</m:t>
                    </m:r>
                  </m:e>
                  <m:sub>
                    <m:r>
                      <m:rPr>
                        <m:sty m:val="p"/>
                      </m:rPr>
                      <w:rPr>
                        <w:rFonts w:ascii="Cambria Math" w:hAnsi="Cambria Math"/>
                        <w:sz w:val="21"/>
                        <w:lang w:val="en-GB"/>
                      </w:rPr>
                      <m:t>D,</m:t>
                    </m:r>
                    <m:r>
                      <w:rPr>
                        <w:rFonts w:ascii="Cambria Math" w:hAnsi="Cambria Math"/>
                        <w:sz w:val="21"/>
                        <w:lang w:val="en-GB"/>
                      </w:rPr>
                      <m:t>n</m:t>
                    </m:r>
                  </m:sub>
                  <m:sup>
                    <m:r>
                      <w:rPr>
                        <w:rFonts w:ascii="Cambria Math" w:hAnsi="Cambria Math"/>
                        <w:sz w:val="21"/>
                        <w:lang w:val="en-GB"/>
                      </w:rPr>
                      <m:t>+</m:t>
                    </m:r>
                  </m:sup>
                </m:sSubSup>
              </m:oMath>
            </m:oMathPara>
          </w:p>
        </w:tc>
        <w:tc>
          <w:tcPr>
            <w:tcW w:w="987" w:type="dxa"/>
            <w:tcBorders>
              <w:top w:val="dotted" w:sz="4" w:space="0" w:color="auto"/>
              <w:bottom w:val="dotted" w:sz="4" w:space="0" w:color="auto"/>
            </w:tcBorders>
          </w:tcPr>
          <w:p w14:paraId="306843FA" w14:textId="77777777" w:rsidR="00345759" w:rsidRPr="00927761" w:rsidRDefault="00345759" w:rsidP="00027E96">
            <w:pPr>
              <w:spacing w:line="276" w:lineRule="auto"/>
              <w:rPr>
                <w:sz w:val="21"/>
                <w:lang w:val="en-GB"/>
              </w:rPr>
            </w:pPr>
            <w:r w:rsidRPr="00927761">
              <w:rPr>
                <w:sz w:val="21"/>
                <w:lang w:val="en-GB"/>
              </w:rPr>
              <w:t>0</w:t>
            </w:r>
          </w:p>
        </w:tc>
        <w:tc>
          <w:tcPr>
            <w:tcW w:w="734" w:type="dxa"/>
            <w:tcBorders>
              <w:top w:val="dotted" w:sz="4" w:space="0" w:color="auto"/>
              <w:bottom w:val="dotted" w:sz="4" w:space="0" w:color="auto"/>
            </w:tcBorders>
          </w:tcPr>
          <w:p w14:paraId="2B0494B4"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bottom w:val="dotted" w:sz="4" w:space="0" w:color="auto"/>
              <w:right w:val="single" w:sz="4" w:space="0" w:color="auto"/>
            </w:tcBorders>
          </w:tcPr>
          <w:p w14:paraId="69C990C9" w14:textId="77777777" w:rsidR="00345759" w:rsidRPr="00927761" w:rsidRDefault="00345759" w:rsidP="00027E96">
            <w:pPr>
              <w:spacing w:line="276" w:lineRule="auto"/>
              <w:jc w:val="both"/>
              <w:rPr>
                <w:sz w:val="21"/>
                <w:lang w:val="en-GB"/>
              </w:rPr>
            </w:pPr>
          </w:p>
        </w:tc>
      </w:tr>
      <w:tr w:rsidR="00345759" w:rsidRPr="00927761" w14:paraId="1D046A1A" w14:textId="77777777" w:rsidTr="00027E96">
        <w:trPr>
          <w:trHeight w:val="310"/>
          <w:jc w:val="center"/>
        </w:trPr>
        <w:tc>
          <w:tcPr>
            <w:tcW w:w="3097" w:type="dxa"/>
            <w:tcBorders>
              <w:top w:val="dotted" w:sz="4" w:space="0" w:color="auto"/>
              <w:left w:val="single" w:sz="4" w:space="0" w:color="auto"/>
              <w:bottom w:val="dotted" w:sz="4" w:space="0" w:color="auto"/>
            </w:tcBorders>
          </w:tcPr>
          <w:p w14:paraId="2A20469A" w14:textId="77777777" w:rsidR="00345759" w:rsidRPr="00927761" w:rsidRDefault="00345759" w:rsidP="00027E96">
            <w:pPr>
              <w:spacing w:line="276" w:lineRule="auto"/>
              <w:rPr>
                <w:sz w:val="21"/>
                <w:lang w:val="en-GB"/>
              </w:rPr>
            </w:pPr>
            <w:r w:rsidRPr="00927761">
              <w:rPr>
                <w:sz w:val="21"/>
                <w:lang w:val="en-GB"/>
              </w:rPr>
              <w:t>Minority carrier recombination velocity from perovskite to PTAA</w:t>
            </w:r>
          </w:p>
        </w:tc>
        <w:tc>
          <w:tcPr>
            <w:tcW w:w="987" w:type="dxa"/>
            <w:tcBorders>
              <w:top w:val="dotted" w:sz="4" w:space="0" w:color="auto"/>
              <w:bottom w:val="dotted" w:sz="4" w:space="0" w:color="auto"/>
            </w:tcBorders>
          </w:tcPr>
          <w:p w14:paraId="33415664"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S</m:t>
                    </m:r>
                  </m:e>
                  <m:sub>
                    <m:r>
                      <m:rPr>
                        <m:sty m:val="p"/>
                      </m:rPr>
                      <w:rPr>
                        <w:rFonts w:ascii="Cambria Math" w:hAnsi="Cambria Math"/>
                        <w:sz w:val="21"/>
                        <w:lang w:val="en-GB"/>
                      </w:rPr>
                      <m:t>min,</m:t>
                    </m:r>
                    <m:r>
                      <w:rPr>
                        <w:rFonts w:ascii="Cambria Math" w:hAnsi="Cambria Math"/>
                        <w:sz w:val="21"/>
                        <w:lang w:val="en-GB"/>
                      </w:rPr>
                      <m:t>n</m:t>
                    </m:r>
                  </m:sub>
                </m:sSub>
              </m:oMath>
            </m:oMathPara>
          </w:p>
        </w:tc>
        <w:tc>
          <w:tcPr>
            <w:tcW w:w="987" w:type="dxa"/>
            <w:tcBorders>
              <w:top w:val="dotted" w:sz="4" w:space="0" w:color="auto"/>
              <w:bottom w:val="dotted" w:sz="4" w:space="0" w:color="auto"/>
            </w:tcBorders>
          </w:tcPr>
          <w:p w14:paraId="6C9C0900" w14:textId="77777777" w:rsidR="00345759" w:rsidRPr="00927761" w:rsidRDefault="00345759" w:rsidP="00027E96">
            <w:pPr>
              <w:spacing w:line="276" w:lineRule="auto"/>
              <w:rPr>
                <w:sz w:val="21"/>
                <w:lang w:val="en-GB"/>
              </w:rPr>
            </w:pPr>
            <w:r w:rsidRPr="00927761">
              <w:rPr>
                <w:sz w:val="21"/>
                <w:lang w:val="en-GB"/>
              </w:rPr>
              <w:t>500</w:t>
            </w:r>
          </w:p>
        </w:tc>
        <w:tc>
          <w:tcPr>
            <w:tcW w:w="734" w:type="dxa"/>
            <w:tcBorders>
              <w:top w:val="dotted" w:sz="4" w:space="0" w:color="auto"/>
              <w:bottom w:val="dotted" w:sz="4" w:space="0" w:color="auto"/>
            </w:tcBorders>
          </w:tcPr>
          <w:p w14:paraId="39123A90" w14:textId="77777777" w:rsidR="00345759" w:rsidRPr="00927761" w:rsidRDefault="00345759" w:rsidP="00027E96">
            <w:pPr>
              <w:spacing w:line="276" w:lineRule="auto"/>
              <w:rPr>
                <w:sz w:val="21"/>
                <w:lang w:val="en-GB"/>
              </w:rPr>
            </w:pPr>
            <w:r w:rsidRPr="00927761">
              <w:rPr>
                <w:sz w:val="21"/>
                <w:lang w:val="en-GB"/>
              </w:rPr>
              <w:t>cm/s</w:t>
            </w:r>
          </w:p>
        </w:tc>
        <w:tc>
          <w:tcPr>
            <w:tcW w:w="712" w:type="dxa"/>
            <w:tcBorders>
              <w:top w:val="dotted" w:sz="4" w:space="0" w:color="auto"/>
              <w:bottom w:val="dotted" w:sz="4" w:space="0" w:color="auto"/>
              <w:right w:val="single" w:sz="4" w:space="0" w:color="auto"/>
            </w:tcBorders>
          </w:tcPr>
          <w:p w14:paraId="0B5D8001"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10.1038/s41560-018-0219-8","ISSN":"2058-7546","author":[{"dropping-particle":"","family":"Stolterfoht","given":"Martin","non-dropping-particle":"","parse-names":false,"suffix":""},{"dropping-particle":"","family":"Wolff","given":"Christian M","non-dropping-particle":"","parse-names":false,"suffix":""},{"dropping-particle":"","family":"Márquez","given":"José A","non-dropping-particle":"","parse-names":false,"suffix":""},{"dropping-particle":"","family":"Zhang","given":"Shanshan","non-dropping-particle":"","parse-names":false,"suffix":""},{"dropping-particle":"","family":"Hages","given":"Charles J","non-dropping-particle":"","parse-names":false,"suffix":""},{"dropping-particle":"","family":"Rothhardt","given":"Daniel","non-dropping-particle":"","parse-names":false,"suffix":""},{"dropping-particle":"","family":"Albrecht","given":"Steve","non-dropping-particle":"","parse-names":false,"suffix":""},{"dropping-particle":"","family":"Burn","given":"Paul L.","non-dropping-particle":"","parse-names":false,"suffix":""},{"dropping-particle":"","family":"Meredith","given":"Paul","non-dropping-particle":"","parse-names":false,"suffix":""},{"dropping-particle":"","family":"Unold","given":"Thomas","non-dropping-particle":"","parse-names":false,"suffix":""},{"dropping-particle":"","family":"Neher","given":"Dieter","non-dropping-particle":"","parse-names":false,"suffix":""}],"container-title":"Nature Energy","id":"ITEM-1","issue":"10","issued":{"date-parts":[["2018","10","30"]]},"page":"847-854","title":"Visualization and suppression of interfacial recombination for high-efficiency large-area pin perovskite solar cells","type":"article-journal","volume":"3"},"uris":["http://www.mendeley.com/documents/?uuid=464b3297-5ad8-4f13-b19f-aef82895888a"]}],"mendeley":{"formattedCitation":"&lt;sup&gt;8&lt;/sup&gt;","plainTextFormattedCitation":"8","previouslyFormattedCitation":"&lt;sup&gt;8&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8</w:t>
            </w:r>
            <w:r w:rsidRPr="00927761">
              <w:rPr>
                <w:sz w:val="21"/>
                <w:lang w:val="en-GB"/>
              </w:rPr>
              <w:fldChar w:fldCharType="end"/>
            </w:r>
          </w:p>
        </w:tc>
      </w:tr>
      <w:tr w:rsidR="00345759" w:rsidRPr="00927761" w14:paraId="5F885FD5" w14:textId="77777777" w:rsidTr="00027E96">
        <w:trPr>
          <w:jc w:val="center"/>
        </w:trPr>
        <w:tc>
          <w:tcPr>
            <w:tcW w:w="3097" w:type="dxa"/>
            <w:tcBorders>
              <w:top w:val="dotted" w:sz="4" w:space="0" w:color="auto"/>
              <w:left w:val="single" w:sz="4" w:space="0" w:color="auto"/>
              <w:bottom w:val="dotted" w:sz="4" w:space="0" w:color="auto"/>
            </w:tcBorders>
          </w:tcPr>
          <w:p w14:paraId="4D6722B7" w14:textId="77777777" w:rsidR="00345759" w:rsidRPr="00927761" w:rsidRDefault="00345759" w:rsidP="00027E96">
            <w:pPr>
              <w:spacing w:line="276" w:lineRule="auto"/>
              <w:rPr>
                <w:sz w:val="21"/>
                <w:lang w:val="en-GB"/>
              </w:rPr>
            </w:pPr>
            <w:r w:rsidRPr="00927761">
              <w:rPr>
                <w:sz w:val="21"/>
                <w:lang w:val="en-GB"/>
              </w:rPr>
              <w:t>Minority carrier recombination velocity from perovskite to C</w:t>
            </w:r>
            <w:r w:rsidRPr="00927761">
              <w:rPr>
                <w:sz w:val="21"/>
                <w:vertAlign w:val="subscript"/>
                <w:lang w:val="en-GB"/>
              </w:rPr>
              <w:t>60</w:t>
            </w:r>
          </w:p>
        </w:tc>
        <w:tc>
          <w:tcPr>
            <w:tcW w:w="987" w:type="dxa"/>
            <w:tcBorders>
              <w:top w:val="dotted" w:sz="4" w:space="0" w:color="auto"/>
              <w:bottom w:val="dotted" w:sz="4" w:space="0" w:color="auto"/>
            </w:tcBorders>
          </w:tcPr>
          <w:p w14:paraId="08AB93F6" w14:textId="77777777" w:rsidR="00345759" w:rsidRPr="00927761" w:rsidRDefault="00345759" w:rsidP="00027E96">
            <w:pPr>
              <w:spacing w:line="276" w:lineRule="auto"/>
              <w:jc w:val="both"/>
              <w:rPr>
                <w:rFonts w:ascii="Calibri" w:hAnsi="Calibri"/>
                <w:sz w:val="21"/>
                <w:lang w:val="en-GB"/>
              </w:rPr>
            </w:pPr>
            <m:oMathPara>
              <m:oMath>
                <m:sSub>
                  <m:sSubPr>
                    <m:ctrlPr>
                      <w:rPr>
                        <w:rFonts w:ascii="Cambria Math" w:hAnsi="Cambria Math"/>
                        <w:i/>
                        <w:sz w:val="21"/>
                        <w:lang w:val="en-GB"/>
                      </w:rPr>
                    </m:ctrlPr>
                  </m:sSubPr>
                  <m:e>
                    <m:r>
                      <w:rPr>
                        <w:rFonts w:ascii="Cambria Math" w:hAnsi="Cambria Math"/>
                        <w:sz w:val="21"/>
                        <w:lang w:val="en-GB"/>
                      </w:rPr>
                      <m:t>S</m:t>
                    </m:r>
                  </m:e>
                  <m:sub>
                    <m:r>
                      <m:rPr>
                        <m:sty m:val="p"/>
                      </m:rPr>
                      <w:rPr>
                        <w:rFonts w:ascii="Cambria Math" w:hAnsi="Cambria Math"/>
                        <w:sz w:val="21"/>
                        <w:lang w:val="en-GB"/>
                      </w:rPr>
                      <m:t>min,</m:t>
                    </m:r>
                    <m:r>
                      <w:rPr>
                        <w:rFonts w:ascii="Cambria Math" w:hAnsi="Cambria Math"/>
                        <w:sz w:val="21"/>
                        <w:lang w:val="en-GB"/>
                      </w:rPr>
                      <m:t>p</m:t>
                    </m:r>
                  </m:sub>
                </m:sSub>
              </m:oMath>
            </m:oMathPara>
          </w:p>
        </w:tc>
        <w:tc>
          <w:tcPr>
            <w:tcW w:w="987" w:type="dxa"/>
            <w:tcBorders>
              <w:top w:val="dotted" w:sz="4" w:space="0" w:color="auto"/>
              <w:bottom w:val="dotted" w:sz="4" w:space="0" w:color="auto"/>
            </w:tcBorders>
          </w:tcPr>
          <w:p w14:paraId="3957F0CD" w14:textId="77777777" w:rsidR="00345759" w:rsidRPr="00927761" w:rsidRDefault="00345759" w:rsidP="00027E96">
            <w:pPr>
              <w:spacing w:line="276" w:lineRule="auto"/>
              <w:rPr>
                <w:sz w:val="21"/>
                <w:lang w:val="en-GB"/>
              </w:rPr>
            </w:pPr>
            <w:r w:rsidRPr="00927761">
              <w:rPr>
                <w:sz w:val="21"/>
                <w:lang w:val="en-GB"/>
              </w:rPr>
              <w:t>2000</w:t>
            </w:r>
          </w:p>
        </w:tc>
        <w:tc>
          <w:tcPr>
            <w:tcW w:w="734" w:type="dxa"/>
            <w:tcBorders>
              <w:top w:val="dotted" w:sz="4" w:space="0" w:color="auto"/>
              <w:bottom w:val="dotted" w:sz="4" w:space="0" w:color="auto"/>
            </w:tcBorders>
          </w:tcPr>
          <w:p w14:paraId="7DBDB74B" w14:textId="77777777" w:rsidR="00345759" w:rsidRPr="00927761" w:rsidRDefault="00345759" w:rsidP="00027E96">
            <w:pPr>
              <w:spacing w:line="276" w:lineRule="auto"/>
              <w:rPr>
                <w:sz w:val="21"/>
                <w:lang w:val="en-GB"/>
              </w:rPr>
            </w:pPr>
            <w:r w:rsidRPr="00927761">
              <w:rPr>
                <w:sz w:val="21"/>
                <w:lang w:val="en-GB"/>
              </w:rPr>
              <w:t>cm/s</w:t>
            </w:r>
          </w:p>
        </w:tc>
        <w:tc>
          <w:tcPr>
            <w:tcW w:w="712" w:type="dxa"/>
            <w:tcBorders>
              <w:top w:val="dotted" w:sz="4" w:space="0" w:color="auto"/>
              <w:bottom w:val="dotted" w:sz="4" w:space="0" w:color="auto"/>
              <w:right w:val="single" w:sz="4" w:space="0" w:color="auto"/>
            </w:tcBorders>
          </w:tcPr>
          <w:p w14:paraId="722DBBBE"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10.1038/s41560-018-0219-8","ISSN":"2058-7546","author":[{"dropping-particle":"","family":"Stolterfoht","given":"Martin","non-dropping-particle":"","parse-names":false,"suffix":""},{"dropping-particle":"","family":"Wolff","given":"Christian M","non-dropping-particle":"","parse-names":false,"suffix":""},{"dropping-particle":"","family":"Márquez","given":"José A","non-dropping-particle":"","parse-names":false,"suffix":""},{"dropping-particle":"","family":"Zhang","given":"Shanshan","non-dropping-particle":"","parse-names":false,"suffix":""},{"dropping-particle":"","family":"Hages","given":"Charles J","non-dropping-particle":"","parse-names":false,"suffix":""},{"dropping-particle":"","family":"Rothhardt","given":"Daniel","non-dropping-particle":"","parse-names":false,"suffix":""},{"dropping-particle":"","family":"Albrecht","given":"Steve","non-dropping-particle":"","parse-names":false,"suffix":""},{"dropping-particle":"","family":"Burn","given":"Paul L.","non-dropping-particle":"","parse-names":false,"suffix":""},{"dropping-particle":"","family":"Meredith","given":"Paul","non-dropping-particle":"","parse-names":false,"suffix":""},{"dropping-particle":"","family":"Unold","given":"Thomas","non-dropping-particle":"","parse-names":false,"suffix":""},{"dropping-particle":"","family":"Neher","given":"Dieter","non-dropping-particle":"","parse-names":false,"suffix":""}],"container-title":"Nature Energy","id":"ITEM-1","issue":"10","issued":{"date-parts":[["2018","10","30"]]},"page":"847-854","title":"Visualization and suppression of interfacial recombination for high-efficiency large-area pin perovskite solar cells","type":"article-journal","volume":"3"},"uris":["http://www.mendeley.com/documents/?uuid=464b3297-5ad8-4f13-b19f-aef82895888a"]}],"mendeley":{"formattedCitation":"&lt;sup&gt;8&lt;/sup&gt;","plainTextFormattedCitation":"8","previouslyFormattedCitation":"&lt;sup&gt;8&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8</w:t>
            </w:r>
            <w:r w:rsidRPr="00927761">
              <w:rPr>
                <w:sz w:val="21"/>
                <w:lang w:val="en-GB"/>
              </w:rPr>
              <w:fldChar w:fldCharType="end"/>
            </w:r>
          </w:p>
        </w:tc>
      </w:tr>
      <w:tr w:rsidR="00345759" w:rsidRPr="00927761" w14:paraId="22488785" w14:textId="77777777" w:rsidTr="00027E96">
        <w:trPr>
          <w:jc w:val="center"/>
        </w:trPr>
        <w:tc>
          <w:tcPr>
            <w:tcW w:w="3097" w:type="dxa"/>
            <w:tcBorders>
              <w:top w:val="dotted" w:sz="4" w:space="0" w:color="auto"/>
              <w:left w:val="single" w:sz="4" w:space="0" w:color="auto"/>
              <w:bottom w:val="dotted" w:sz="4" w:space="0" w:color="auto"/>
            </w:tcBorders>
          </w:tcPr>
          <w:p w14:paraId="0DD1594E" w14:textId="77777777" w:rsidR="00345759" w:rsidRPr="00927761" w:rsidRDefault="00345759" w:rsidP="00027E96">
            <w:pPr>
              <w:spacing w:line="276" w:lineRule="auto"/>
              <w:rPr>
                <w:sz w:val="21"/>
                <w:lang w:val="en-GB"/>
              </w:rPr>
            </w:pPr>
            <w:r w:rsidRPr="00927761">
              <w:rPr>
                <w:sz w:val="21"/>
                <w:lang w:val="en-GB"/>
              </w:rPr>
              <w:t>Thickness of PTAA</w:t>
            </w:r>
          </w:p>
        </w:tc>
        <w:tc>
          <w:tcPr>
            <w:tcW w:w="987" w:type="dxa"/>
            <w:tcBorders>
              <w:top w:val="dotted" w:sz="4" w:space="0" w:color="auto"/>
              <w:bottom w:val="dotted" w:sz="4" w:space="0" w:color="auto"/>
            </w:tcBorders>
          </w:tcPr>
          <w:p w14:paraId="335BC088"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d</m:t>
                    </m:r>
                  </m:e>
                  <m:sub>
                    <m:r>
                      <m:rPr>
                        <m:sty m:val="p"/>
                      </m:rPr>
                      <w:rPr>
                        <w:rFonts w:ascii="Cambria Math" w:hAnsi="Cambria Math"/>
                        <w:sz w:val="21"/>
                        <w:lang w:val="en-GB"/>
                      </w:rPr>
                      <m:t>PTAA</m:t>
                    </m:r>
                  </m:sub>
                </m:sSub>
              </m:oMath>
            </m:oMathPara>
          </w:p>
        </w:tc>
        <w:tc>
          <w:tcPr>
            <w:tcW w:w="987" w:type="dxa"/>
            <w:tcBorders>
              <w:top w:val="dotted" w:sz="4" w:space="0" w:color="auto"/>
              <w:bottom w:val="dotted" w:sz="4" w:space="0" w:color="auto"/>
            </w:tcBorders>
          </w:tcPr>
          <w:p w14:paraId="61F5E7E9" w14:textId="77777777" w:rsidR="00345759" w:rsidRPr="00927761" w:rsidRDefault="00345759" w:rsidP="00027E96">
            <w:pPr>
              <w:spacing w:line="276" w:lineRule="auto"/>
              <w:rPr>
                <w:sz w:val="21"/>
                <w:lang w:val="en-GB"/>
              </w:rPr>
            </w:pPr>
            <w:r w:rsidRPr="00927761">
              <w:rPr>
                <w:sz w:val="21"/>
                <w:lang w:val="en-GB"/>
              </w:rPr>
              <w:t>10</w:t>
            </w:r>
          </w:p>
        </w:tc>
        <w:tc>
          <w:tcPr>
            <w:tcW w:w="734" w:type="dxa"/>
            <w:tcBorders>
              <w:top w:val="dotted" w:sz="4" w:space="0" w:color="auto"/>
              <w:bottom w:val="dotted" w:sz="4" w:space="0" w:color="auto"/>
            </w:tcBorders>
          </w:tcPr>
          <w:p w14:paraId="31CED2ED" w14:textId="77777777" w:rsidR="00345759" w:rsidRPr="00927761" w:rsidRDefault="00345759" w:rsidP="00027E96">
            <w:pPr>
              <w:spacing w:line="276" w:lineRule="auto"/>
              <w:rPr>
                <w:sz w:val="21"/>
                <w:lang w:val="en-GB"/>
              </w:rPr>
            </w:pPr>
            <w:r w:rsidRPr="00927761">
              <w:rPr>
                <w:sz w:val="21"/>
                <w:lang w:val="en-GB"/>
              </w:rPr>
              <w:t>nm</w:t>
            </w:r>
          </w:p>
        </w:tc>
        <w:tc>
          <w:tcPr>
            <w:tcW w:w="712" w:type="dxa"/>
            <w:tcBorders>
              <w:top w:val="dotted" w:sz="4" w:space="0" w:color="auto"/>
              <w:bottom w:val="dotted" w:sz="4" w:space="0" w:color="auto"/>
              <w:right w:val="single" w:sz="4" w:space="0" w:color="auto"/>
            </w:tcBorders>
          </w:tcPr>
          <w:p w14:paraId="667E9C8C" w14:textId="77777777" w:rsidR="00345759" w:rsidRPr="00927761" w:rsidRDefault="00345759" w:rsidP="00027E96">
            <w:pPr>
              <w:spacing w:line="276" w:lineRule="auto"/>
              <w:jc w:val="both"/>
              <w:rPr>
                <w:sz w:val="21"/>
                <w:lang w:val="en-GB"/>
              </w:rPr>
            </w:pPr>
          </w:p>
        </w:tc>
      </w:tr>
      <w:tr w:rsidR="00345759" w:rsidRPr="00927761" w14:paraId="1D1EC1AD" w14:textId="77777777" w:rsidTr="00027E96">
        <w:trPr>
          <w:jc w:val="center"/>
        </w:trPr>
        <w:tc>
          <w:tcPr>
            <w:tcW w:w="3097" w:type="dxa"/>
            <w:tcBorders>
              <w:top w:val="dotted" w:sz="4" w:space="0" w:color="auto"/>
              <w:left w:val="single" w:sz="4" w:space="0" w:color="auto"/>
              <w:bottom w:val="dotted" w:sz="4" w:space="0" w:color="auto"/>
            </w:tcBorders>
          </w:tcPr>
          <w:p w14:paraId="5383B8EE" w14:textId="77777777" w:rsidR="00345759" w:rsidRPr="00927761" w:rsidRDefault="00345759" w:rsidP="00027E96">
            <w:pPr>
              <w:spacing w:line="276" w:lineRule="auto"/>
              <w:rPr>
                <w:sz w:val="21"/>
                <w:lang w:val="en-GB"/>
              </w:rPr>
            </w:pPr>
            <w:r w:rsidRPr="00927761">
              <w:rPr>
                <w:sz w:val="21"/>
                <w:lang w:val="en-GB"/>
              </w:rPr>
              <w:t>Thickness of perovskite</w:t>
            </w:r>
          </w:p>
        </w:tc>
        <w:tc>
          <w:tcPr>
            <w:tcW w:w="987" w:type="dxa"/>
            <w:tcBorders>
              <w:top w:val="dotted" w:sz="4" w:space="0" w:color="auto"/>
              <w:bottom w:val="dotted" w:sz="4" w:space="0" w:color="auto"/>
            </w:tcBorders>
          </w:tcPr>
          <w:p w14:paraId="7F5A6477"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d</m:t>
                    </m:r>
                  </m:e>
                  <m:sub>
                    <m:r>
                      <m:rPr>
                        <m:sty m:val="p"/>
                      </m:rPr>
                      <w:rPr>
                        <w:rFonts w:ascii="Cambria Math" w:hAnsi="Cambria Math"/>
                        <w:sz w:val="21"/>
                        <w:lang w:val="en-GB"/>
                      </w:rPr>
                      <m:t>pero</m:t>
                    </m:r>
                  </m:sub>
                </m:sSub>
              </m:oMath>
            </m:oMathPara>
          </w:p>
        </w:tc>
        <w:tc>
          <w:tcPr>
            <w:tcW w:w="987" w:type="dxa"/>
            <w:tcBorders>
              <w:top w:val="dotted" w:sz="4" w:space="0" w:color="auto"/>
              <w:bottom w:val="dotted" w:sz="4" w:space="0" w:color="auto"/>
            </w:tcBorders>
          </w:tcPr>
          <w:p w14:paraId="49CD198C" w14:textId="77777777" w:rsidR="00345759" w:rsidRPr="00927761" w:rsidRDefault="00345759" w:rsidP="00027E96">
            <w:pPr>
              <w:spacing w:line="276" w:lineRule="auto"/>
              <w:rPr>
                <w:sz w:val="21"/>
                <w:lang w:val="en-GB"/>
              </w:rPr>
            </w:pPr>
            <w:r w:rsidRPr="00927761">
              <w:rPr>
                <w:sz w:val="21"/>
                <w:lang w:val="en-GB"/>
              </w:rPr>
              <w:t>400</w:t>
            </w:r>
          </w:p>
        </w:tc>
        <w:tc>
          <w:tcPr>
            <w:tcW w:w="734" w:type="dxa"/>
            <w:tcBorders>
              <w:top w:val="dotted" w:sz="4" w:space="0" w:color="auto"/>
              <w:bottom w:val="dotted" w:sz="4" w:space="0" w:color="auto"/>
            </w:tcBorders>
          </w:tcPr>
          <w:p w14:paraId="5C59F47D" w14:textId="77777777" w:rsidR="00345759" w:rsidRPr="00927761" w:rsidRDefault="00345759" w:rsidP="00027E96">
            <w:pPr>
              <w:spacing w:line="276" w:lineRule="auto"/>
              <w:rPr>
                <w:sz w:val="21"/>
                <w:lang w:val="en-GB"/>
              </w:rPr>
            </w:pPr>
            <w:r w:rsidRPr="00927761">
              <w:rPr>
                <w:sz w:val="21"/>
                <w:lang w:val="en-GB"/>
              </w:rPr>
              <w:t>nm</w:t>
            </w:r>
          </w:p>
        </w:tc>
        <w:tc>
          <w:tcPr>
            <w:tcW w:w="712" w:type="dxa"/>
            <w:tcBorders>
              <w:top w:val="dotted" w:sz="4" w:space="0" w:color="auto"/>
              <w:bottom w:val="dotted" w:sz="4" w:space="0" w:color="auto"/>
              <w:right w:val="single" w:sz="4" w:space="0" w:color="auto"/>
            </w:tcBorders>
          </w:tcPr>
          <w:p w14:paraId="02053715" w14:textId="77777777" w:rsidR="00345759" w:rsidRPr="00927761" w:rsidRDefault="00345759" w:rsidP="00027E96">
            <w:pPr>
              <w:spacing w:line="276" w:lineRule="auto"/>
              <w:jc w:val="both"/>
              <w:rPr>
                <w:sz w:val="21"/>
                <w:lang w:val="en-GB"/>
              </w:rPr>
            </w:pPr>
          </w:p>
        </w:tc>
      </w:tr>
      <w:tr w:rsidR="00345759" w:rsidRPr="00927761" w14:paraId="73244F2A" w14:textId="77777777" w:rsidTr="00027E96">
        <w:trPr>
          <w:jc w:val="center"/>
        </w:trPr>
        <w:tc>
          <w:tcPr>
            <w:tcW w:w="3097" w:type="dxa"/>
            <w:tcBorders>
              <w:top w:val="dotted" w:sz="4" w:space="0" w:color="auto"/>
              <w:left w:val="single" w:sz="4" w:space="0" w:color="auto"/>
              <w:bottom w:val="dotted" w:sz="4" w:space="0" w:color="auto"/>
            </w:tcBorders>
          </w:tcPr>
          <w:p w14:paraId="3FF8C14C" w14:textId="77777777" w:rsidR="00345759" w:rsidRPr="00927761" w:rsidRDefault="00345759" w:rsidP="00027E96">
            <w:pPr>
              <w:spacing w:line="276" w:lineRule="auto"/>
              <w:rPr>
                <w:sz w:val="21"/>
                <w:lang w:val="en-GB"/>
              </w:rPr>
            </w:pPr>
            <w:r w:rsidRPr="00927761">
              <w:rPr>
                <w:sz w:val="21"/>
                <w:lang w:val="en-GB"/>
              </w:rPr>
              <w:t>Thickness of C</w:t>
            </w:r>
            <w:r w:rsidRPr="00927761">
              <w:rPr>
                <w:sz w:val="21"/>
                <w:vertAlign w:val="subscript"/>
                <w:lang w:val="en-GB"/>
              </w:rPr>
              <w:t>60</w:t>
            </w:r>
          </w:p>
        </w:tc>
        <w:tc>
          <w:tcPr>
            <w:tcW w:w="987" w:type="dxa"/>
            <w:tcBorders>
              <w:top w:val="dotted" w:sz="4" w:space="0" w:color="auto"/>
              <w:bottom w:val="dotted" w:sz="4" w:space="0" w:color="auto"/>
            </w:tcBorders>
          </w:tcPr>
          <w:p w14:paraId="451C5AF9"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d</m:t>
                    </m:r>
                  </m:e>
                  <m:sub>
                    <m:r>
                      <m:rPr>
                        <m:sty m:val="p"/>
                      </m:rPr>
                      <w:rPr>
                        <w:rFonts w:ascii="Cambria Math" w:hAnsi="Cambria Math"/>
                        <w:sz w:val="21"/>
                        <w:lang w:val="en-GB"/>
                      </w:rPr>
                      <m:t>C60</m:t>
                    </m:r>
                  </m:sub>
                </m:sSub>
              </m:oMath>
            </m:oMathPara>
          </w:p>
        </w:tc>
        <w:tc>
          <w:tcPr>
            <w:tcW w:w="987" w:type="dxa"/>
            <w:tcBorders>
              <w:top w:val="dotted" w:sz="4" w:space="0" w:color="auto"/>
              <w:bottom w:val="dotted" w:sz="4" w:space="0" w:color="auto"/>
            </w:tcBorders>
          </w:tcPr>
          <w:p w14:paraId="6BDADE8B" w14:textId="77777777" w:rsidR="00345759" w:rsidRPr="00927761" w:rsidRDefault="00345759" w:rsidP="00027E96">
            <w:pPr>
              <w:spacing w:line="276" w:lineRule="auto"/>
              <w:rPr>
                <w:sz w:val="21"/>
                <w:lang w:val="en-GB"/>
              </w:rPr>
            </w:pPr>
            <w:r w:rsidRPr="00927761">
              <w:rPr>
                <w:sz w:val="21"/>
                <w:lang w:val="en-GB"/>
              </w:rPr>
              <w:t>30</w:t>
            </w:r>
          </w:p>
        </w:tc>
        <w:tc>
          <w:tcPr>
            <w:tcW w:w="734" w:type="dxa"/>
            <w:tcBorders>
              <w:top w:val="dotted" w:sz="4" w:space="0" w:color="auto"/>
              <w:bottom w:val="dotted" w:sz="4" w:space="0" w:color="auto"/>
            </w:tcBorders>
          </w:tcPr>
          <w:p w14:paraId="46985D67" w14:textId="77777777" w:rsidR="00345759" w:rsidRPr="00927761" w:rsidRDefault="00345759" w:rsidP="00027E96">
            <w:pPr>
              <w:spacing w:line="276" w:lineRule="auto"/>
              <w:rPr>
                <w:sz w:val="21"/>
                <w:lang w:val="en-GB"/>
              </w:rPr>
            </w:pPr>
            <w:r w:rsidRPr="00927761">
              <w:rPr>
                <w:sz w:val="21"/>
                <w:lang w:val="en-GB"/>
              </w:rPr>
              <w:t>nm</w:t>
            </w:r>
          </w:p>
        </w:tc>
        <w:tc>
          <w:tcPr>
            <w:tcW w:w="712" w:type="dxa"/>
            <w:tcBorders>
              <w:top w:val="dotted" w:sz="4" w:space="0" w:color="auto"/>
              <w:bottom w:val="dotted" w:sz="4" w:space="0" w:color="auto"/>
              <w:right w:val="single" w:sz="4" w:space="0" w:color="auto"/>
            </w:tcBorders>
          </w:tcPr>
          <w:p w14:paraId="5E440944" w14:textId="77777777" w:rsidR="00345759" w:rsidRPr="00927761" w:rsidRDefault="00345759" w:rsidP="00027E96">
            <w:pPr>
              <w:spacing w:line="276" w:lineRule="auto"/>
              <w:jc w:val="both"/>
              <w:rPr>
                <w:sz w:val="21"/>
                <w:lang w:val="en-GB"/>
              </w:rPr>
            </w:pPr>
          </w:p>
        </w:tc>
      </w:tr>
      <w:tr w:rsidR="00345759" w:rsidRPr="00927761" w14:paraId="2172B34A" w14:textId="77777777" w:rsidTr="00027E96">
        <w:trPr>
          <w:trHeight w:val="220"/>
          <w:jc w:val="center"/>
        </w:trPr>
        <w:tc>
          <w:tcPr>
            <w:tcW w:w="3097" w:type="dxa"/>
            <w:tcBorders>
              <w:top w:val="dotted" w:sz="4" w:space="0" w:color="auto"/>
              <w:left w:val="single" w:sz="4" w:space="0" w:color="auto"/>
              <w:bottom w:val="dotted" w:sz="4" w:space="0" w:color="auto"/>
            </w:tcBorders>
          </w:tcPr>
          <w:p w14:paraId="52FDF9D0" w14:textId="77777777" w:rsidR="00345759" w:rsidRPr="00927761" w:rsidRDefault="00345759" w:rsidP="00027E96">
            <w:pPr>
              <w:spacing w:line="276" w:lineRule="auto"/>
              <w:rPr>
                <w:sz w:val="21"/>
                <w:lang w:val="en-GB"/>
              </w:rPr>
            </w:pPr>
            <w:r w:rsidRPr="00927761">
              <w:rPr>
                <w:sz w:val="21"/>
                <w:lang w:val="en-GB"/>
              </w:rPr>
              <w:t>Offset between metal and PTAA</w:t>
            </w:r>
          </w:p>
        </w:tc>
        <w:tc>
          <w:tcPr>
            <w:tcW w:w="987" w:type="dxa"/>
            <w:tcBorders>
              <w:top w:val="dotted" w:sz="4" w:space="0" w:color="auto"/>
              <w:bottom w:val="dotted" w:sz="4" w:space="0" w:color="auto"/>
            </w:tcBorders>
          </w:tcPr>
          <w:p w14:paraId="74658EA1" w14:textId="77777777" w:rsidR="00345759" w:rsidRPr="00927761" w:rsidRDefault="00345759" w:rsidP="00027E96">
            <w:pPr>
              <w:spacing w:line="276" w:lineRule="auto"/>
              <w:jc w:val="both"/>
              <w:rPr>
                <w:sz w:val="21"/>
                <w:lang w:val="en-GB"/>
              </w:rPr>
            </w:pPr>
            <m:oMathPara>
              <m:oMath>
                <m:r>
                  <w:rPr>
                    <w:rFonts w:ascii="Cambria Math" w:hAnsi="Cambria Math"/>
                    <w:sz w:val="21"/>
                    <w:lang w:val="en-GB"/>
                  </w:rPr>
                  <m:t>∆</m:t>
                </m:r>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F, metal-</m:t>
                    </m:r>
                    <m:r>
                      <w:rPr>
                        <w:rFonts w:ascii="Cambria Math" w:hAnsi="Cambria Math"/>
                        <w:sz w:val="21"/>
                        <w:lang w:val="en-GB"/>
                      </w:rPr>
                      <m:t>p</m:t>
                    </m:r>
                  </m:sub>
                </m:sSub>
              </m:oMath>
            </m:oMathPara>
          </w:p>
        </w:tc>
        <w:tc>
          <w:tcPr>
            <w:tcW w:w="987" w:type="dxa"/>
            <w:tcBorders>
              <w:top w:val="dotted" w:sz="4" w:space="0" w:color="auto"/>
              <w:bottom w:val="dotted" w:sz="4" w:space="0" w:color="auto"/>
            </w:tcBorders>
          </w:tcPr>
          <w:p w14:paraId="771DB02B" w14:textId="77777777" w:rsidR="00345759" w:rsidRPr="00927761" w:rsidRDefault="00345759" w:rsidP="00027E96">
            <w:pPr>
              <w:spacing w:line="276" w:lineRule="auto"/>
              <w:rPr>
                <w:sz w:val="21"/>
                <w:lang w:val="en-GB"/>
              </w:rPr>
            </w:pPr>
            <w:r w:rsidRPr="00927761">
              <w:rPr>
                <w:sz w:val="21"/>
                <w:lang w:val="en-GB"/>
              </w:rPr>
              <w:t>0.05</w:t>
            </w:r>
          </w:p>
        </w:tc>
        <w:tc>
          <w:tcPr>
            <w:tcW w:w="734" w:type="dxa"/>
            <w:tcBorders>
              <w:top w:val="dotted" w:sz="4" w:space="0" w:color="auto"/>
              <w:bottom w:val="dotted" w:sz="4" w:space="0" w:color="auto"/>
            </w:tcBorders>
          </w:tcPr>
          <w:p w14:paraId="48FC6139"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152AAE70" w14:textId="77777777" w:rsidR="00345759" w:rsidRPr="00927761" w:rsidRDefault="00345759" w:rsidP="00027E96">
            <w:pPr>
              <w:spacing w:line="276" w:lineRule="auto"/>
              <w:jc w:val="both"/>
              <w:rPr>
                <w:sz w:val="21"/>
                <w:lang w:val="en-GB"/>
              </w:rPr>
            </w:pPr>
          </w:p>
        </w:tc>
      </w:tr>
      <w:tr w:rsidR="00345759" w:rsidRPr="00927761" w14:paraId="4D183A8E" w14:textId="77777777" w:rsidTr="00027E96">
        <w:trPr>
          <w:jc w:val="center"/>
        </w:trPr>
        <w:tc>
          <w:tcPr>
            <w:tcW w:w="3097" w:type="dxa"/>
            <w:tcBorders>
              <w:top w:val="dotted" w:sz="4" w:space="0" w:color="auto"/>
              <w:left w:val="single" w:sz="4" w:space="0" w:color="auto"/>
              <w:bottom w:val="dotted" w:sz="4" w:space="0" w:color="auto"/>
            </w:tcBorders>
          </w:tcPr>
          <w:p w14:paraId="4854E4FD" w14:textId="77777777" w:rsidR="00345759" w:rsidRPr="00927761" w:rsidRDefault="00345759" w:rsidP="00027E96">
            <w:pPr>
              <w:spacing w:line="276" w:lineRule="auto"/>
              <w:rPr>
                <w:sz w:val="21"/>
                <w:lang w:val="en-GB"/>
              </w:rPr>
            </w:pPr>
            <w:r w:rsidRPr="00927761">
              <w:rPr>
                <w:sz w:val="21"/>
                <w:lang w:val="en-GB"/>
              </w:rPr>
              <w:t>Offset between metal and C</w:t>
            </w:r>
            <w:r w:rsidRPr="00927761">
              <w:rPr>
                <w:sz w:val="21"/>
                <w:vertAlign w:val="subscript"/>
                <w:lang w:val="en-GB"/>
              </w:rPr>
              <w:t>60</w:t>
            </w:r>
          </w:p>
        </w:tc>
        <w:tc>
          <w:tcPr>
            <w:tcW w:w="987" w:type="dxa"/>
            <w:tcBorders>
              <w:top w:val="dotted" w:sz="4" w:space="0" w:color="auto"/>
              <w:bottom w:val="dotted" w:sz="4" w:space="0" w:color="auto"/>
            </w:tcBorders>
          </w:tcPr>
          <w:p w14:paraId="7BE1A635" w14:textId="77777777" w:rsidR="00345759" w:rsidRPr="00927761" w:rsidRDefault="00345759" w:rsidP="00027E96">
            <w:pPr>
              <w:spacing w:line="276" w:lineRule="auto"/>
              <w:jc w:val="both"/>
              <w:rPr>
                <w:sz w:val="21"/>
                <w:lang w:val="en-GB"/>
              </w:rPr>
            </w:pPr>
            <m:oMathPara>
              <m:oMath>
                <m:r>
                  <w:rPr>
                    <w:rFonts w:ascii="Cambria Math" w:hAnsi="Cambria Math"/>
                    <w:sz w:val="21"/>
                    <w:lang w:val="en-GB"/>
                  </w:rPr>
                  <m:t>∆</m:t>
                </m:r>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F, metal-</m:t>
                    </m:r>
                    <m:r>
                      <w:rPr>
                        <w:rFonts w:ascii="Cambria Math" w:hAnsi="Cambria Math"/>
                        <w:sz w:val="21"/>
                        <w:lang w:val="en-GB"/>
                      </w:rPr>
                      <m:t>n</m:t>
                    </m:r>
                  </m:sub>
                </m:sSub>
              </m:oMath>
            </m:oMathPara>
          </w:p>
        </w:tc>
        <w:tc>
          <w:tcPr>
            <w:tcW w:w="987" w:type="dxa"/>
            <w:tcBorders>
              <w:top w:val="dotted" w:sz="4" w:space="0" w:color="auto"/>
              <w:bottom w:val="dotted" w:sz="4" w:space="0" w:color="auto"/>
            </w:tcBorders>
          </w:tcPr>
          <w:p w14:paraId="1AB23977" w14:textId="77777777" w:rsidR="00345759" w:rsidRPr="00927761" w:rsidRDefault="00345759" w:rsidP="00027E96">
            <w:pPr>
              <w:spacing w:line="276" w:lineRule="auto"/>
              <w:rPr>
                <w:sz w:val="21"/>
                <w:lang w:val="en-GB"/>
              </w:rPr>
            </w:pPr>
            <w:r w:rsidRPr="00927761">
              <w:rPr>
                <w:sz w:val="21"/>
                <w:lang w:val="en-GB"/>
              </w:rPr>
              <w:t>0.05</w:t>
            </w:r>
          </w:p>
        </w:tc>
        <w:tc>
          <w:tcPr>
            <w:tcW w:w="734" w:type="dxa"/>
            <w:tcBorders>
              <w:top w:val="dotted" w:sz="4" w:space="0" w:color="auto"/>
              <w:bottom w:val="dotted" w:sz="4" w:space="0" w:color="auto"/>
            </w:tcBorders>
          </w:tcPr>
          <w:p w14:paraId="42534799"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0FEE895C" w14:textId="77777777" w:rsidR="00345759" w:rsidRPr="00927761" w:rsidRDefault="00345759" w:rsidP="00027E96">
            <w:pPr>
              <w:spacing w:line="276" w:lineRule="auto"/>
              <w:jc w:val="both"/>
              <w:rPr>
                <w:sz w:val="21"/>
                <w:lang w:val="en-GB"/>
              </w:rPr>
            </w:pPr>
          </w:p>
        </w:tc>
      </w:tr>
      <w:tr w:rsidR="00345759" w:rsidRPr="00927761" w14:paraId="4F48C892" w14:textId="77777777" w:rsidTr="00027E96">
        <w:trPr>
          <w:jc w:val="center"/>
        </w:trPr>
        <w:tc>
          <w:tcPr>
            <w:tcW w:w="3097" w:type="dxa"/>
            <w:tcBorders>
              <w:top w:val="dotted" w:sz="4" w:space="0" w:color="auto"/>
              <w:left w:val="single" w:sz="4" w:space="0" w:color="auto"/>
              <w:bottom w:val="dotted" w:sz="4" w:space="0" w:color="auto"/>
            </w:tcBorders>
          </w:tcPr>
          <w:p w14:paraId="358B32E7" w14:textId="77777777" w:rsidR="00345759" w:rsidRPr="00927761" w:rsidRDefault="00345759" w:rsidP="00027E96">
            <w:pPr>
              <w:spacing w:line="276" w:lineRule="auto"/>
              <w:rPr>
                <w:sz w:val="21"/>
                <w:lang w:val="en-GB"/>
              </w:rPr>
            </w:pPr>
            <w:r w:rsidRPr="00927761">
              <w:rPr>
                <w:sz w:val="21"/>
                <w:lang w:val="en-GB"/>
              </w:rPr>
              <w:t>Device built-in voltage</w:t>
            </w:r>
          </w:p>
        </w:tc>
        <w:tc>
          <w:tcPr>
            <w:tcW w:w="987" w:type="dxa"/>
            <w:tcBorders>
              <w:top w:val="dotted" w:sz="4" w:space="0" w:color="auto"/>
              <w:bottom w:val="dotted" w:sz="4" w:space="0" w:color="auto"/>
            </w:tcBorders>
          </w:tcPr>
          <w:p w14:paraId="382C8F2D"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V</m:t>
                    </m:r>
                  </m:e>
                  <m:sub>
                    <m:r>
                      <m:rPr>
                        <m:sty m:val="p"/>
                      </m:rPr>
                      <w:rPr>
                        <w:rFonts w:ascii="Cambria Math" w:hAnsi="Cambria Math"/>
                        <w:sz w:val="21"/>
                        <w:lang w:val="en-GB"/>
                      </w:rPr>
                      <m:t>BI</m:t>
                    </m:r>
                  </m:sub>
                </m:sSub>
              </m:oMath>
            </m:oMathPara>
          </w:p>
        </w:tc>
        <w:tc>
          <w:tcPr>
            <w:tcW w:w="987" w:type="dxa"/>
            <w:tcBorders>
              <w:top w:val="dotted" w:sz="4" w:space="0" w:color="auto"/>
              <w:bottom w:val="dotted" w:sz="4" w:space="0" w:color="auto"/>
            </w:tcBorders>
          </w:tcPr>
          <w:p w14:paraId="207D8139" w14:textId="77777777" w:rsidR="00345759" w:rsidRPr="00927761" w:rsidRDefault="00345759" w:rsidP="00027E96">
            <w:pPr>
              <w:spacing w:line="276" w:lineRule="auto"/>
              <w:rPr>
                <w:sz w:val="21"/>
                <w:lang w:val="en-GB"/>
              </w:rPr>
            </w:pPr>
            <w:r w:rsidRPr="00927761">
              <w:rPr>
                <w:sz w:val="21"/>
                <w:lang w:val="en-GB"/>
              </w:rPr>
              <w:t>1.5</w:t>
            </w:r>
          </w:p>
        </w:tc>
        <w:tc>
          <w:tcPr>
            <w:tcW w:w="734" w:type="dxa"/>
            <w:tcBorders>
              <w:top w:val="dotted" w:sz="4" w:space="0" w:color="auto"/>
              <w:bottom w:val="dotted" w:sz="4" w:space="0" w:color="auto"/>
            </w:tcBorders>
          </w:tcPr>
          <w:p w14:paraId="09D33350" w14:textId="77777777" w:rsidR="00345759" w:rsidRPr="00927761" w:rsidRDefault="00345759" w:rsidP="00027E96">
            <w:pPr>
              <w:spacing w:line="276" w:lineRule="auto"/>
              <w:rPr>
                <w:sz w:val="21"/>
                <w:lang w:val="en-GB"/>
              </w:rPr>
            </w:pPr>
            <w:r w:rsidRPr="00927761">
              <w:rPr>
                <w:sz w:val="21"/>
                <w:lang w:val="en-GB"/>
              </w:rPr>
              <w:t>V</w:t>
            </w:r>
          </w:p>
        </w:tc>
        <w:tc>
          <w:tcPr>
            <w:tcW w:w="712" w:type="dxa"/>
            <w:tcBorders>
              <w:top w:val="dotted" w:sz="4" w:space="0" w:color="auto"/>
              <w:bottom w:val="dotted" w:sz="4" w:space="0" w:color="auto"/>
              <w:right w:val="single" w:sz="4" w:space="0" w:color="auto"/>
            </w:tcBorders>
          </w:tcPr>
          <w:p w14:paraId="0664421B" w14:textId="77777777" w:rsidR="00345759" w:rsidRPr="00927761" w:rsidRDefault="00345759" w:rsidP="00027E96">
            <w:pPr>
              <w:spacing w:line="276" w:lineRule="auto"/>
              <w:jc w:val="both"/>
              <w:rPr>
                <w:sz w:val="21"/>
                <w:lang w:val="en-GB"/>
              </w:rPr>
            </w:pPr>
          </w:p>
        </w:tc>
      </w:tr>
      <w:tr w:rsidR="00345759" w:rsidRPr="00927761" w14:paraId="03F16FC2" w14:textId="77777777" w:rsidTr="00027E96">
        <w:trPr>
          <w:jc w:val="center"/>
        </w:trPr>
        <w:tc>
          <w:tcPr>
            <w:tcW w:w="3097" w:type="dxa"/>
            <w:tcBorders>
              <w:top w:val="dotted" w:sz="4" w:space="0" w:color="auto"/>
              <w:left w:val="single" w:sz="4" w:space="0" w:color="auto"/>
              <w:bottom w:val="dotted" w:sz="4" w:space="0" w:color="auto"/>
            </w:tcBorders>
          </w:tcPr>
          <w:p w14:paraId="36435CCF" w14:textId="77777777" w:rsidR="00345759" w:rsidRPr="00927761" w:rsidRDefault="00345759" w:rsidP="00027E96">
            <w:pPr>
              <w:spacing w:line="276" w:lineRule="auto"/>
              <w:rPr>
                <w:sz w:val="21"/>
                <w:lang w:val="en-GB"/>
              </w:rPr>
            </w:pPr>
            <w:r w:rsidRPr="00927761">
              <w:rPr>
                <w:sz w:val="21"/>
                <w:lang w:val="en-GB"/>
              </w:rPr>
              <w:t>Bandgap PTAA</w:t>
            </w:r>
          </w:p>
        </w:tc>
        <w:tc>
          <w:tcPr>
            <w:tcW w:w="987" w:type="dxa"/>
            <w:tcBorders>
              <w:top w:val="dotted" w:sz="4" w:space="0" w:color="auto"/>
              <w:bottom w:val="dotted" w:sz="4" w:space="0" w:color="auto"/>
            </w:tcBorders>
          </w:tcPr>
          <w:p w14:paraId="514C4DE3"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G,PTAA</m:t>
                    </m:r>
                    <m:r>
                      <w:rPr>
                        <w:rFonts w:ascii="Cambria Math" w:hAnsi="Cambria Math"/>
                        <w:sz w:val="21"/>
                        <w:lang w:val="en-GB"/>
                      </w:rPr>
                      <m:t xml:space="preserve"> </m:t>
                    </m:r>
                  </m:sub>
                </m:sSub>
                <m:r>
                  <w:rPr>
                    <w:rFonts w:ascii="Cambria Math" w:hAnsi="Cambria Math"/>
                    <w:sz w:val="21"/>
                    <w:lang w:val="en-GB"/>
                  </w:rPr>
                  <m:t xml:space="preserve"> </m:t>
                </m:r>
              </m:oMath>
            </m:oMathPara>
          </w:p>
        </w:tc>
        <w:tc>
          <w:tcPr>
            <w:tcW w:w="987" w:type="dxa"/>
            <w:tcBorders>
              <w:top w:val="dotted" w:sz="4" w:space="0" w:color="auto"/>
              <w:bottom w:val="dotted" w:sz="4" w:space="0" w:color="auto"/>
            </w:tcBorders>
          </w:tcPr>
          <w:p w14:paraId="7754CB63" w14:textId="77777777" w:rsidR="00345759" w:rsidRPr="00927761" w:rsidRDefault="00345759" w:rsidP="00027E96">
            <w:pPr>
              <w:spacing w:line="276" w:lineRule="auto"/>
              <w:rPr>
                <w:sz w:val="21"/>
                <w:lang w:val="en-GB"/>
              </w:rPr>
            </w:pPr>
            <w:r w:rsidRPr="00927761">
              <w:rPr>
                <w:sz w:val="21"/>
                <w:lang w:val="en-GB"/>
              </w:rPr>
              <w:t>3.0</w:t>
            </w:r>
          </w:p>
        </w:tc>
        <w:tc>
          <w:tcPr>
            <w:tcW w:w="734" w:type="dxa"/>
            <w:tcBorders>
              <w:top w:val="dotted" w:sz="4" w:space="0" w:color="auto"/>
              <w:bottom w:val="dotted" w:sz="4" w:space="0" w:color="auto"/>
            </w:tcBorders>
          </w:tcPr>
          <w:p w14:paraId="0B0B9193"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55DC6A93" w14:textId="77777777" w:rsidR="00345759" w:rsidRPr="00927761" w:rsidRDefault="00345759" w:rsidP="00027E96">
            <w:pPr>
              <w:spacing w:line="276" w:lineRule="auto"/>
              <w:jc w:val="both"/>
              <w:rPr>
                <w:sz w:val="21"/>
                <w:lang w:val="en-GB"/>
              </w:rPr>
            </w:pPr>
          </w:p>
        </w:tc>
      </w:tr>
      <w:tr w:rsidR="00345759" w:rsidRPr="00927761" w14:paraId="70C77318" w14:textId="77777777" w:rsidTr="00027E96">
        <w:trPr>
          <w:jc w:val="center"/>
        </w:trPr>
        <w:tc>
          <w:tcPr>
            <w:tcW w:w="3097" w:type="dxa"/>
            <w:tcBorders>
              <w:top w:val="dotted" w:sz="4" w:space="0" w:color="auto"/>
              <w:left w:val="single" w:sz="4" w:space="0" w:color="auto"/>
              <w:bottom w:val="dotted" w:sz="4" w:space="0" w:color="auto"/>
            </w:tcBorders>
          </w:tcPr>
          <w:p w14:paraId="60591D99" w14:textId="77777777" w:rsidR="00345759" w:rsidRPr="00927761" w:rsidRDefault="00345759" w:rsidP="00027E96">
            <w:pPr>
              <w:spacing w:line="276" w:lineRule="auto"/>
              <w:rPr>
                <w:sz w:val="21"/>
                <w:lang w:val="en-GB"/>
              </w:rPr>
            </w:pPr>
            <w:r w:rsidRPr="00927761">
              <w:rPr>
                <w:sz w:val="21"/>
                <w:lang w:val="en-GB"/>
              </w:rPr>
              <w:t>Electron affinity PTAA</w:t>
            </w:r>
          </w:p>
        </w:tc>
        <w:tc>
          <w:tcPr>
            <w:tcW w:w="987" w:type="dxa"/>
            <w:tcBorders>
              <w:top w:val="dotted" w:sz="4" w:space="0" w:color="auto"/>
              <w:bottom w:val="dotted" w:sz="4" w:space="0" w:color="auto"/>
            </w:tcBorders>
          </w:tcPr>
          <w:p w14:paraId="55D1524B"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A,PTAA</m:t>
                    </m:r>
                    <m:r>
                      <w:rPr>
                        <w:rFonts w:ascii="Cambria Math" w:hAnsi="Cambria Math"/>
                        <w:sz w:val="21"/>
                        <w:lang w:val="en-GB"/>
                      </w:rPr>
                      <m:t xml:space="preserve"> </m:t>
                    </m:r>
                  </m:sub>
                </m:sSub>
                <m:r>
                  <w:rPr>
                    <w:rFonts w:ascii="Cambria Math" w:hAnsi="Cambria Math"/>
                    <w:sz w:val="21"/>
                    <w:lang w:val="en-GB"/>
                  </w:rPr>
                  <m:t xml:space="preserve"> </m:t>
                </m:r>
              </m:oMath>
            </m:oMathPara>
          </w:p>
        </w:tc>
        <w:tc>
          <w:tcPr>
            <w:tcW w:w="987" w:type="dxa"/>
            <w:tcBorders>
              <w:top w:val="dotted" w:sz="4" w:space="0" w:color="auto"/>
              <w:bottom w:val="dotted" w:sz="4" w:space="0" w:color="auto"/>
            </w:tcBorders>
          </w:tcPr>
          <w:p w14:paraId="5A4EEDAC" w14:textId="77777777" w:rsidR="00345759" w:rsidRPr="00927761" w:rsidRDefault="00345759" w:rsidP="00027E96">
            <w:pPr>
              <w:spacing w:line="276" w:lineRule="auto"/>
              <w:rPr>
                <w:sz w:val="21"/>
                <w:lang w:val="en-GB"/>
              </w:rPr>
            </w:pPr>
            <w:r w:rsidRPr="00927761">
              <w:rPr>
                <w:sz w:val="21"/>
                <w:lang w:val="en-GB"/>
              </w:rPr>
              <w:t>2.5</w:t>
            </w:r>
          </w:p>
        </w:tc>
        <w:tc>
          <w:tcPr>
            <w:tcW w:w="734" w:type="dxa"/>
            <w:tcBorders>
              <w:top w:val="dotted" w:sz="4" w:space="0" w:color="auto"/>
              <w:bottom w:val="dotted" w:sz="4" w:space="0" w:color="auto"/>
            </w:tcBorders>
          </w:tcPr>
          <w:p w14:paraId="2100C4F1"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359002C8" w14:textId="77777777" w:rsidR="00345759" w:rsidRPr="00927761" w:rsidRDefault="00345759" w:rsidP="00027E96">
            <w:pPr>
              <w:spacing w:line="276" w:lineRule="auto"/>
              <w:jc w:val="both"/>
              <w:rPr>
                <w:sz w:val="21"/>
                <w:lang w:val="en-GB"/>
              </w:rPr>
            </w:pPr>
          </w:p>
        </w:tc>
      </w:tr>
      <w:tr w:rsidR="00345759" w:rsidRPr="00927761" w14:paraId="6A25276F" w14:textId="77777777" w:rsidTr="00027E96">
        <w:trPr>
          <w:jc w:val="center"/>
        </w:trPr>
        <w:tc>
          <w:tcPr>
            <w:tcW w:w="3097" w:type="dxa"/>
            <w:tcBorders>
              <w:top w:val="dotted" w:sz="4" w:space="0" w:color="auto"/>
              <w:left w:val="single" w:sz="4" w:space="0" w:color="auto"/>
              <w:bottom w:val="dotted" w:sz="4" w:space="0" w:color="auto"/>
            </w:tcBorders>
          </w:tcPr>
          <w:p w14:paraId="2E9741A7" w14:textId="77777777" w:rsidR="00345759" w:rsidRPr="00927761" w:rsidRDefault="00345759" w:rsidP="00027E96">
            <w:pPr>
              <w:spacing w:line="276" w:lineRule="auto"/>
              <w:rPr>
                <w:sz w:val="21"/>
                <w:lang w:val="en-GB"/>
              </w:rPr>
            </w:pPr>
            <w:r w:rsidRPr="00927761">
              <w:rPr>
                <w:sz w:val="21"/>
                <w:lang w:val="en-GB"/>
              </w:rPr>
              <w:t xml:space="preserve">Bandgap perovskite </w:t>
            </w:r>
          </w:p>
        </w:tc>
        <w:tc>
          <w:tcPr>
            <w:tcW w:w="987" w:type="dxa"/>
            <w:tcBorders>
              <w:top w:val="dotted" w:sz="4" w:space="0" w:color="auto"/>
              <w:bottom w:val="dotted" w:sz="4" w:space="0" w:color="auto"/>
            </w:tcBorders>
          </w:tcPr>
          <w:p w14:paraId="7BBE66BA"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G,pero</m:t>
                    </m:r>
                    <m:r>
                      <w:rPr>
                        <w:rFonts w:ascii="Cambria Math" w:hAnsi="Cambria Math"/>
                        <w:sz w:val="21"/>
                        <w:lang w:val="en-GB"/>
                      </w:rPr>
                      <m:t xml:space="preserve"> </m:t>
                    </m:r>
                  </m:sub>
                </m:sSub>
              </m:oMath>
            </m:oMathPara>
          </w:p>
        </w:tc>
        <w:tc>
          <w:tcPr>
            <w:tcW w:w="987" w:type="dxa"/>
            <w:tcBorders>
              <w:top w:val="dotted" w:sz="4" w:space="0" w:color="auto"/>
              <w:bottom w:val="dotted" w:sz="4" w:space="0" w:color="auto"/>
            </w:tcBorders>
          </w:tcPr>
          <w:p w14:paraId="5277DD36" w14:textId="77777777" w:rsidR="00345759" w:rsidRPr="00927761" w:rsidRDefault="00345759" w:rsidP="00027E96">
            <w:pPr>
              <w:spacing w:line="276" w:lineRule="auto"/>
              <w:rPr>
                <w:sz w:val="21"/>
                <w:lang w:val="en-GB"/>
              </w:rPr>
            </w:pPr>
            <w:r w:rsidRPr="00927761">
              <w:rPr>
                <w:sz w:val="21"/>
                <w:lang w:val="en-GB"/>
              </w:rPr>
              <w:t>1.63</w:t>
            </w:r>
          </w:p>
        </w:tc>
        <w:tc>
          <w:tcPr>
            <w:tcW w:w="734" w:type="dxa"/>
            <w:tcBorders>
              <w:top w:val="dotted" w:sz="4" w:space="0" w:color="auto"/>
              <w:bottom w:val="dotted" w:sz="4" w:space="0" w:color="auto"/>
            </w:tcBorders>
          </w:tcPr>
          <w:p w14:paraId="5B6E5355"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327FC13E" w14:textId="77777777" w:rsidR="00345759" w:rsidRPr="00927761" w:rsidRDefault="00345759" w:rsidP="00027E96">
            <w:pPr>
              <w:spacing w:line="276" w:lineRule="auto"/>
              <w:jc w:val="both"/>
              <w:rPr>
                <w:sz w:val="21"/>
                <w:lang w:val="en-GB"/>
              </w:rPr>
            </w:pPr>
          </w:p>
        </w:tc>
      </w:tr>
      <w:tr w:rsidR="00345759" w:rsidRPr="00927761" w14:paraId="05D744E4" w14:textId="77777777" w:rsidTr="00027E96">
        <w:trPr>
          <w:jc w:val="center"/>
        </w:trPr>
        <w:tc>
          <w:tcPr>
            <w:tcW w:w="3097" w:type="dxa"/>
            <w:tcBorders>
              <w:top w:val="dotted" w:sz="4" w:space="0" w:color="auto"/>
              <w:left w:val="single" w:sz="4" w:space="0" w:color="auto"/>
              <w:bottom w:val="dotted" w:sz="4" w:space="0" w:color="auto"/>
            </w:tcBorders>
          </w:tcPr>
          <w:p w14:paraId="2E66CB35" w14:textId="77777777" w:rsidR="00345759" w:rsidRPr="00927761" w:rsidRDefault="00345759" w:rsidP="00027E96">
            <w:pPr>
              <w:spacing w:line="276" w:lineRule="auto"/>
              <w:rPr>
                <w:sz w:val="21"/>
                <w:lang w:val="en-GB"/>
              </w:rPr>
            </w:pPr>
            <w:r w:rsidRPr="00927761">
              <w:rPr>
                <w:sz w:val="21"/>
                <w:lang w:val="en-GB"/>
              </w:rPr>
              <w:t>Electron affinity perovskite</w:t>
            </w:r>
          </w:p>
        </w:tc>
        <w:tc>
          <w:tcPr>
            <w:tcW w:w="987" w:type="dxa"/>
            <w:tcBorders>
              <w:top w:val="dotted" w:sz="4" w:space="0" w:color="auto"/>
              <w:bottom w:val="dotted" w:sz="4" w:space="0" w:color="auto"/>
            </w:tcBorders>
          </w:tcPr>
          <w:p w14:paraId="388E69BA"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A,pero</m:t>
                    </m:r>
                    <m:r>
                      <w:rPr>
                        <w:rFonts w:ascii="Cambria Math" w:hAnsi="Cambria Math"/>
                        <w:sz w:val="21"/>
                        <w:lang w:val="en-GB"/>
                      </w:rPr>
                      <m:t xml:space="preserve"> </m:t>
                    </m:r>
                  </m:sub>
                </m:sSub>
              </m:oMath>
            </m:oMathPara>
          </w:p>
        </w:tc>
        <w:tc>
          <w:tcPr>
            <w:tcW w:w="987" w:type="dxa"/>
            <w:tcBorders>
              <w:top w:val="dotted" w:sz="4" w:space="0" w:color="auto"/>
              <w:bottom w:val="dotted" w:sz="4" w:space="0" w:color="auto"/>
            </w:tcBorders>
          </w:tcPr>
          <w:p w14:paraId="4A7AC442" w14:textId="77777777" w:rsidR="00345759" w:rsidRPr="00927761" w:rsidRDefault="00345759" w:rsidP="00027E96">
            <w:pPr>
              <w:spacing w:line="276" w:lineRule="auto"/>
              <w:rPr>
                <w:sz w:val="21"/>
                <w:lang w:val="en-GB"/>
              </w:rPr>
            </w:pPr>
            <w:r w:rsidRPr="00927761">
              <w:rPr>
                <w:sz w:val="21"/>
                <w:lang w:val="en-GB"/>
              </w:rPr>
              <w:t>3.9</w:t>
            </w:r>
          </w:p>
        </w:tc>
        <w:tc>
          <w:tcPr>
            <w:tcW w:w="734" w:type="dxa"/>
            <w:tcBorders>
              <w:top w:val="dotted" w:sz="4" w:space="0" w:color="auto"/>
              <w:bottom w:val="dotted" w:sz="4" w:space="0" w:color="auto"/>
            </w:tcBorders>
          </w:tcPr>
          <w:p w14:paraId="62C800F3"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2DD9567A"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{"citationItems":[{"id":"ITEM-1","itemData":{"DOI":"10.1039/C9EE02020A","ISSN":"1754-5692","abstract":"We quantify recombination losses in the bulk and interfaces for different perovskite compositions and popular charge transport layers.","author":[{"dropping-particle":"","family":"Stolterfoht","given":"Martin","non-dropping-particle":"","parse-names":false,"suffix":""},{"dropping-particle":"","family":"Caprioglio","given":"Pietro","non-dropping-particle":"","parse-names":false,"suffix":""},{"dropping-particle":"","family":"Wolff","given":"Christian M.","non-dropping-particle":"","parse-names":false,"suffix":""},{"dropping-particle":"","family":"Márquez","given":"José A.","non-dropping-particle":"","parse-names":false,"suffix":""},{"dropping-particle":"","family":"Nordmann","given":"Joleik","non-dropping-particle":"","parse-names":false,"suffix":""},{"dropping-particle":"","family":"Zhang","given":"Shanshan","non-dropping-particle":"","parse-names":false,"suffix":""},{"dropping-particle":"","family":"Rothhardt","given":"Daniel","non-dropping-particle":"","parse-names":false,"suffix":""},{"dropping-particle":"","family":"Hörmann","given":"Ulrich","non-dropping-particle":"","parse-names":false,"suffix":""},{"dropping-particle":"","family":"Amir","given":"Yohai","non-dropping-particle":"","parse-names":false,"suffix":""},{"dropping-particle":"","family":"Redinger","given":"Alex","non-dropping-particle":"","parse-names":false,"suffix":""},{"dropping-particle":"","family":"Kegelmann","given":"Lukas","non-dropping-particle":"","parse-names":false,"suffix":""},{"dropping-particle":"","family":"Zu","given":"Fengshuo","non-dropping-particle":"","parse-names":false,"suffix":""},{"dropping-particle":"","family":"Albrecht","given":"Steve","non-dropping-particle":"","parse-names":false,"suffix":""},{"dropping-particle":"","family":"Koch","given":"Norbert","non-dropping-particle":"","parse-names":false,"suffix":""},{"dropping-particle":"","family":"Kirchartz","given":"Thomas","non-dropping-particle":"","parse-names":false,"suffix":""},{"dropping-particle":"","family":"Saliba","given":"Michael","non-dropping-particle":"","parse-names":false,"suffix":""},{"dropping-particle":"","family":"Unold","given":"Thomas","non-dropping-particle":"","parse-names":false,"suffix":""},{"dropping-particle":"","family":"Neher","given":"Dieter","non-dropping-particle":"","parse-names":false,"suffix":""}],"container-title":"Energy &amp; Environmental Science","id":"ITEM-1","issue":"9","issued":{"date-parts":[["2019"]]},"page":"2778-2788","title":"The impact of energy alignment and interfacial recombination on the internal and external open-circuit voltage of perovskite solar cells","type":"article-journal","volume":"12"},"uris":["http://www.mendeley.com/documents/?uuid=29c0d728-e0e8-3e95-b588-fcc74c37a6c9"]}],"mendeley":{"formattedCitation":"&lt;sup&gt;7&lt;/sup&gt;","plainTextFormattedCitation":"7","previouslyFormattedCitation":"&lt;sup&gt;7&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7</w:t>
            </w:r>
            <w:r w:rsidRPr="00927761">
              <w:rPr>
                <w:sz w:val="21"/>
                <w:lang w:val="en-GB"/>
              </w:rPr>
              <w:fldChar w:fldCharType="end"/>
            </w:r>
          </w:p>
        </w:tc>
      </w:tr>
      <w:tr w:rsidR="00345759" w:rsidRPr="00927761" w14:paraId="5BC88407" w14:textId="77777777" w:rsidTr="00027E96">
        <w:trPr>
          <w:jc w:val="center"/>
        </w:trPr>
        <w:tc>
          <w:tcPr>
            <w:tcW w:w="3097" w:type="dxa"/>
            <w:tcBorders>
              <w:top w:val="dotted" w:sz="4" w:space="0" w:color="auto"/>
              <w:left w:val="single" w:sz="4" w:space="0" w:color="auto"/>
              <w:bottom w:val="dotted" w:sz="4" w:space="0" w:color="auto"/>
            </w:tcBorders>
          </w:tcPr>
          <w:p w14:paraId="2E7A85A4" w14:textId="77777777" w:rsidR="00345759" w:rsidRPr="00927761" w:rsidRDefault="00345759" w:rsidP="00027E96">
            <w:pPr>
              <w:spacing w:line="276" w:lineRule="auto"/>
              <w:rPr>
                <w:sz w:val="21"/>
                <w:lang w:val="en-GB"/>
              </w:rPr>
            </w:pPr>
            <w:r w:rsidRPr="00927761">
              <w:rPr>
                <w:sz w:val="21"/>
                <w:lang w:val="en-GB"/>
              </w:rPr>
              <w:t>Electron affinity C</w:t>
            </w:r>
            <w:r w:rsidRPr="00927761">
              <w:rPr>
                <w:sz w:val="21"/>
                <w:vertAlign w:val="subscript"/>
                <w:lang w:val="en-GB"/>
              </w:rPr>
              <w:t>60</w:t>
            </w:r>
          </w:p>
        </w:tc>
        <w:tc>
          <w:tcPr>
            <w:tcW w:w="987" w:type="dxa"/>
            <w:tcBorders>
              <w:top w:val="dotted" w:sz="4" w:space="0" w:color="auto"/>
              <w:bottom w:val="dotted" w:sz="4" w:space="0" w:color="auto"/>
            </w:tcBorders>
          </w:tcPr>
          <w:p w14:paraId="2D65C1DE"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A,C60</m:t>
                    </m:r>
                    <m:r>
                      <w:rPr>
                        <w:rFonts w:ascii="Cambria Math" w:hAnsi="Cambria Math"/>
                        <w:sz w:val="21"/>
                        <w:lang w:val="en-GB"/>
                      </w:rPr>
                      <m:t xml:space="preserve"> </m:t>
                    </m:r>
                  </m:sub>
                </m:sSub>
                <m:r>
                  <w:rPr>
                    <w:rFonts w:ascii="Cambria Math" w:hAnsi="Cambria Math"/>
                    <w:sz w:val="21"/>
                    <w:lang w:val="en-GB"/>
                  </w:rPr>
                  <m:t xml:space="preserve"> </m:t>
                </m:r>
              </m:oMath>
            </m:oMathPara>
          </w:p>
        </w:tc>
        <w:tc>
          <w:tcPr>
            <w:tcW w:w="987" w:type="dxa"/>
            <w:tcBorders>
              <w:top w:val="dotted" w:sz="4" w:space="0" w:color="auto"/>
              <w:bottom w:val="dotted" w:sz="4" w:space="0" w:color="auto"/>
            </w:tcBorders>
          </w:tcPr>
          <w:p w14:paraId="33CB1A98" w14:textId="77777777" w:rsidR="00345759" w:rsidRPr="00927761" w:rsidRDefault="00345759" w:rsidP="00027E96">
            <w:pPr>
              <w:spacing w:line="276" w:lineRule="auto"/>
              <w:rPr>
                <w:sz w:val="21"/>
                <w:lang w:val="en-GB"/>
              </w:rPr>
            </w:pPr>
            <w:r w:rsidRPr="00927761">
              <w:rPr>
                <w:sz w:val="21"/>
                <w:lang w:val="en-GB"/>
              </w:rPr>
              <w:t>3.9</w:t>
            </w:r>
          </w:p>
        </w:tc>
        <w:tc>
          <w:tcPr>
            <w:tcW w:w="734" w:type="dxa"/>
            <w:tcBorders>
              <w:top w:val="dotted" w:sz="4" w:space="0" w:color="auto"/>
              <w:bottom w:val="dotted" w:sz="4" w:space="0" w:color="auto"/>
            </w:tcBorders>
          </w:tcPr>
          <w:p w14:paraId="11C814DC"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43D4F504" w14:textId="77777777" w:rsidR="00345759" w:rsidRPr="00927761" w:rsidRDefault="00345759" w:rsidP="00027E96">
            <w:pPr>
              <w:spacing w:line="276" w:lineRule="auto"/>
              <w:jc w:val="both"/>
              <w:rPr>
                <w:sz w:val="21"/>
                <w:lang w:val="en-GB"/>
              </w:rPr>
            </w:pPr>
          </w:p>
        </w:tc>
      </w:tr>
      <w:tr w:rsidR="00345759" w:rsidRPr="00927761" w14:paraId="26DFF402" w14:textId="77777777" w:rsidTr="00027E96">
        <w:trPr>
          <w:jc w:val="center"/>
        </w:trPr>
        <w:tc>
          <w:tcPr>
            <w:tcW w:w="3097" w:type="dxa"/>
            <w:tcBorders>
              <w:top w:val="dotted" w:sz="4" w:space="0" w:color="auto"/>
              <w:left w:val="single" w:sz="4" w:space="0" w:color="auto"/>
              <w:bottom w:val="dotted" w:sz="4" w:space="0" w:color="auto"/>
            </w:tcBorders>
          </w:tcPr>
          <w:p w14:paraId="367DD7C3" w14:textId="77777777" w:rsidR="00345759" w:rsidRPr="00927761" w:rsidRDefault="00345759" w:rsidP="00027E96">
            <w:pPr>
              <w:spacing w:line="276" w:lineRule="auto"/>
              <w:rPr>
                <w:sz w:val="21"/>
                <w:lang w:val="en-GB"/>
              </w:rPr>
            </w:pPr>
            <w:r w:rsidRPr="00927761">
              <w:rPr>
                <w:sz w:val="21"/>
                <w:lang w:val="en-GB"/>
              </w:rPr>
              <w:t>Bandgap C</w:t>
            </w:r>
            <w:r w:rsidRPr="00927761">
              <w:rPr>
                <w:sz w:val="21"/>
                <w:vertAlign w:val="subscript"/>
                <w:lang w:val="en-GB"/>
              </w:rPr>
              <w:t>60</w:t>
            </w:r>
          </w:p>
        </w:tc>
        <w:tc>
          <w:tcPr>
            <w:tcW w:w="987" w:type="dxa"/>
            <w:tcBorders>
              <w:top w:val="dotted" w:sz="4" w:space="0" w:color="auto"/>
              <w:bottom w:val="dotted" w:sz="4" w:space="0" w:color="auto"/>
            </w:tcBorders>
          </w:tcPr>
          <w:p w14:paraId="14CB17CE"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E</m:t>
                    </m:r>
                  </m:e>
                  <m:sub>
                    <m:r>
                      <m:rPr>
                        <m:sty m:val="p"/>
                      </m:rPr>
                      <w:rPr>
                        <w:rFonts w:ascii="Cambria Math" w:hAnsi="Cambria Math"/>
                        <w:sz w:val="21"/>
                        <w:lang w:val="en-GB"/>
                      </w:rPr>
                      <m:t>G,C60</m:t>
                    </m:r>
                    <m:r>
                      <w:rPr>
                        <w:rFonts w:ascii="Cambria Math" w:hAnsi="Cambria Math"/>
                        <w:sz w:val="21"/>
                        <w:lang w:val="en-GB"/>
                      </w:rPr>
                      <m:t xml:space="preserve"> </m:t>
                    </m:r>
                  </m:sub>
                </m:sSub>
              </m:oMath>
            </m:oMathPara>
          </w:p>
        </w:tc>
        <w:tc>
          <w:tcPr>
            <w:tcW w:w="987" w:type="dxa"/>
            <w:tcBorders>
              <w:top w:val="dotted" w:sz="4" w:space="0" w:color="auto"/>
              <w:bottom w:val="dotted" w:sz="4" w:space="0" w:color="auto"/>
            </w:tcBorders>
          </w:tcPr>
          <w:p w14:paraId="4E5CE3A5" w14:textId="77777777" w:rsidR="00345759" w:rsidRPr="00927761" w:rsidRDefault="00345759" w:rsidP="00027E96">
            <w:pPr>
              <w:spacing w:line="276" w:lineRule="auto"/>
              <w:rPr>
                <w:sz w:val="21"/>
                <w:lang w:val="en-GB"/>
              </w:rPr>
            </w:pPr>
            <w:r w:rsidRPr="00927761">
              <w:rPr>
                <w:sz w:val="21"/>
                <w:lang w:val="en-GB"/>
              </w:rPr>
              <w:t>2.0</w:t>
            </w:r>
          </w:p>
        </w:tc>
        <w:tc>
          <w:tcPr>
            <w:tcW w:w="734" w:type="dxa"/>
            <w:tcBorders>
              <w:top w:val="dotted" w:sz="4" w:space="0" w:color="auto"/>
              <w:bottom w:val="dotted" w:sz="4" w:space="0" w:color="auto"/>
            </w:tcBorders>
          </w:tcPr>
          <w:p w14:paraId="5C96186A" w14:textId="77777777" w:rsidR="00345759" w:rsidRPr="00927761" w:rsidRDefault="00345759" w:rsidP="00027E96">
            <w:pPr>
              <w:spacing w:line="276" w:lineRule="auto"/>
              <w:rPr>
                <w:sz w:val="21"/>
                <w:lang w:val="en-GB"/>
              </w:rPr>
            </w:pPr>
            <w:r w:rsidRPr="00927761">
              <w:rPr>
                <w:sz w:val="21"/>
                <w:lang w:val="en-GB"/>
              </w:rPr>
              <w:t>eV</w:t>
            </w:r>
          </w:p>
        </w:tc>
        <w:tc>
          <w:tcPr>
            <w:tcW w:w="712" w:type="dxa"/>
            <w:tcBorders>
              <w:top w:val="dotted" w:sz="4" w:space="0" w:color="auto"/>
              <w:bottom w:val="dotted" w:sz="4" w:space="0" w:color="auto"/>
              <w:right w:val="single" w:sz="4" w:space="0" w:color="auto"/>
            </w:tcBorders>
          </w:tcPr>
          <w:p w14:paraId="053394CB" w14:textId="77777777" w:rsidR="00345759" w:rsidRPr="00927761" w:rsidRDefault="00345759" w:rsidP="00027E96">
            <w:pPr>
              <w:spacing w:line="276" w:lineRule="auto"/>
              <w:jc w:val="both"/>
              <w:rPr>
                <w:sz w:val="21"/>
                <w:lang w:val="en-GB"/>
              </w:rPr>
            </w:pPr>
          </w:p>
        </w:tc>
      </w:tr>
      <w:tr w:rsidR="00345759" w:rsidRPr="00927761" w14:paraId="0E5FFB9E" w14:textId="77777777" w:rsidTr="00027E96">
        <w:trPr>
          <w:jc w:val="center"/>
        </w:trPr>
        <w:tc>
          <w:tcPr>
            <w:tcW w:w="3097" w:type="dxa"/>
            <w:tcBorders>
              <w:top w:val="dotted" w:sz="4" w:space="0" w:color="auto"/>
              <w:left w:val="single" w:sz="4" w:space="0" w:color="auto"/>
              <w:bottom w:val="dotted" w:sz="4" w:space="0" w:color="auto"/>
            </w:tcBorders>
          </w:tcPr>
          <w:p w14:paraId="78A0B668" w14:textId="77777777" w:rsidR="00345759" w:rsidRPr="00927761" w:rsidRDefault="00345759" w:rsidP="00027E96">
            <w:pPr>
              <w:spacing w:line="276" w:lineRule="auto"/>
              <w:rPr>
                <w:sz w:val="21"/>
                <w:lang w:val="en-GB"/>
              </w:rPr>
            </w:pPr>
            <w:r w:rsidRPr="00927761">
              <w:rPr>
                <w:sz w:val="21"/>
                <w:lang w:val="en-GB"/>
              </w:rPr>
              <w:t>Electron mobility in C</w:t>
            </w:r>
            <w:r w:rsidRPr="00927761">
              <w:rPr>
                <w:sz w:val="21"/>
                <w:vertAlign w:val="subscript"/>
                <w:lang w:val="en-GB"/>
              </w:rPr>
              <w:t>60</w:t>
            </w:r>
          </w:p>
        </w:tc>
        <w:tc>
          <w:tcPr>
            <w:tcW w:w="987" w:type="dxa"/>
            <w:tcBorders>
              <w:top w:val="dotted" w:sz="4" w:space="0" w:color="auto"/>
              <w:bottom w:val="dotted" w:sz="4" w:space="0" w:color="auto"/>
            </w:tcBorders>
          </w:tcPr>
          <w:p w14:paraId="4882B123"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μ</m:t>
                    </m:r>
                  </m:e>
                  <m:sub>
                    <m:r>
                      <w:rPr>
                        <w:rFonts w:ascii="Cambria Math" w:hAnsi="Cambria Math"/>
                        <w:sz w:val="21"/>
                        <w:lang w:val="en-GB"/>
                      </w:rPr>
                      <m:t>n</m:t>
                    </m:r>
                    <m:r>
                      <m:rPr>
                        <m:sty m:val="p"/>
                      </m:rPr>
                      <w:rPr>
                        <w:rFonts w:ascii="Cambria Math" w:hAnsi="Cambria Math"/>
                        <w:sz w:val="21"/>
                        <w:lang w:val="en-GB"/>
                      </w:rPr>
                      <m:t>, C60</m:t>
                    </m:r>
                  </m:sub>
                </m:sSub>
              </m:oMath>
            </m:oMathPara>
          </w:p>
        </w:tc>
        <w:tc>
          <w:tcPr>
            <w:tcW w:w="987" w:type="dxa"/>
            <w:tcBorders>
              <w:top w:val="dotted" w:sz="4" w:space="0" w:color="auto"/>
              <w:bottom w:val="dotted" w:sz="4" w:space="0" w:color="auto"/>
            </w:tcBorders>
          </w:tcPr>
          <w:p w14:paraId="58D26135" w14:textId="77777777" w:rsidR="00345759" w:rsidRPr="00927761" w:rsidRDefault="00345759" w:rsidP="00027E96">
            <w:pPr>
              <w:spacing w:line="276" w:lineRule="auto"/>
              <w:rPr>
                <w:sz w:val="21"/>
                <w:lang w:val="en-GB"/>
              </w:rPr>
            </w:pPr>
            <w:r w:rsidRPr="00927761">
              <w:rPr>
                <w:sz w:val="21"/>
                <w:lang w:val="en-GB"/>
              </w:rPr>
              <w:t>1x10</w:t>
            </w:r>
            <w:r w:rsidRPr="00927761">
              <w:rPr>
                <w:sz w:val="21"/>
                <w:vertAlign w:val="superscript"/>
                <w:lang w:val="en-GB"/>
              </w:rPr>
              <w:t>-2</w:t>
            </w:r>
          </w:p>
        </w:tc>
        <w:tc>
          <w:tcPr>
            <w:tcW w:w="734" w:type="dxa"/>
            <w:tcBorders>
              <w:top w:val="dotted" w:sz="4" w:space="0" w:color="auto"/>
              <w:bottom w:val="dotted" w:sz="4" w:space="0" w:color="auto"/>
            </w:tcBorders>
          </w:tcPr>
          <w:p w14:paraId="19E811C3"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2</w:t>
            </w:r>
            <w:r w:rsidRPr="00927761">
              <w:rPr>
                <w:sz w:val="21"/>
                <w:lang w:val="en-GB"/>
              </w:rPr>
              <w:t>/Vs</w:t>
            </w:r>
          </w:p>
        </w:tc>
        <w:tc>
          <w:tcPr>
            <w:tcW w:w="712" w:type="dxa"/>
            <w:tcBorders>
              <w:top w:val="dotted" w:sz="4" w:space="0" w:color="auto"/>
              <w:bottom w:val="dotted" w:sz="4" w:space="0" w:color="auto"/>
              <w:right w:val="single" w:sz="4" w:space="0" w:color="auto"/>
            </w:tcBorders>
          </w:tcPr>
          <w:p w14:paraId="76FE21B4"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{"citationItems":[{"id":"ITEM-1","itemData":{"DOI":"10.1088/1742-6596/647/1/012057","ISSN":"1742-6588","abstract":"The critical factor that limits the efficiencies of organic electronic devices is the low charge carrier mobility which is attributed to disorder in organic films. In this context, we have studied the effects of disorder on carrier mobility in organic Schottky diode of electrons for the fullerene (C60). Our results show that the mobility is sensitive probes of structural phase transitions and order-disorder underlying C60. Where it is one reason behind the low mobility which it take as value 1.4x10-2 cm2/V.s above critical temperature Tc =289K.","author":[{"dropping-particle":"","family":"Mendil","given":"N.","non-dropping-particle":"","parse-names":false,"suffix":""},{"dropping-particle":"","family":"Daoudi","given":"M.","non-dropping-particle":"","parse-names":false,"suffix":""},{"dropping-particle":"","family":"Berkai","given":"Z.","non-dropping-particle":"","parse-names":false,"suffix":""},{"dropping-particle":"","family":"Belghachi","given":"A.","non-dropping-particle":"","parse-names":false,"suffix":""}],"container-title":"Journal of Physics: Conference Series","id":"ITEM-1","issue":"1","issued":{"date-parts":[["2015","10","13"]]},"page":"012057","title":"Disorder effect on carrier mobility in Fullerene organic semiconductor","type":"article-journal","volume":"647"},"uris":["http://www.mendeley.com/documents/?uuid=5b16390a-e403-498b-a0b5-453b4d161088"]}],"mendeley":{"formattedCitation":"&lt;sup&gt;9&lt;/sup&gt;","plainTextFormattedCitation":"9","previouslyFormattedCitation":"&lt;sup&gt;9&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9</w:t>
            </w:r>
            <w:r w:rsidRPr="00927761">
              <w:rPr>
                <w:sz w:val="21"/>
                <w:lang w:val="en-GB"/>
              </w:rPr>
              <w:fldChar w:fldCharType="end"/>
            </w:r>
            <w:r w:rsidRPr="00927761">
              <w:rPr>
                <w:sz w:val="21"/>
                <w:lang w:val="en-GB"/>
              </w:rPr>
              <w:t xml:space="preserve"> </w:t>
            </w:r>
          </w:p>
        </w:tc>
      </w:tr>
      <w:tr w:rsidR="00345759" w:rsidRPr="00927761" w14:paraId="0FC06D41" w14:textId="77777777" w:rsidTr="00027E96">
        <w:trPr>
          <w:jc w:val="center"/>
        </w:trPr>
        <w:tc>
          <w:tcPr>
            <w:tcW w:w="3097" w:type="dxa"/>
            <w:tcBorders>
              <w:top w:val="dotted" w:sz="4" w:space="0" w:color="auto"/>
              <w:left w:val="single" w:sz="4" w:space="0" w:color="auto"/>
              <w:bottom w:val="dotted" w:sz="4" w:space="0" w:color="auto"/>
            </w:tcBorders>
          </w:tcPr>
          <w:p w14:paraId="13448E61" w14:textId="77777777" w:rsidR="00345759" w:rsidRPr="00927761" w:rsidRDefault="00345759" w:rsidP="00027E96">
            <w:pPr>
              <w:spacing w:line="276" w:lineRule="auto"/>
              <w:rPr>
                <w:sz w:val="21"/>
                <w:lang w:val="en-GB"/>
              </w:rPr>
            </w:pPr>
            <w:r w:rsidRPr="00927761">
              <w:rPr>
                <w:sz w:val="21"/>
                <w:lang w:val="en-GB"/>
              </w:rPr>
              <w:t xml:space="preserve">Hole mobility in PTAA </w:t>
            </w:r>
          </w:p>
        </w:tc>
        <w:tc>
          <w:tcPr>
            <w:tcW w:w="987" w:type="dxa"/>
            <w:tcBorders>
              <w:top w:val="dotted" w:sz="4" w:space="0" w:color="auto"/>
              <w:bottom w:val="dotted" w:sz="4" w:space="0" w:color="auto"/>
            </w:tcBorders>
          </w:tcPr>
          <w:p w14:paraId="4816D8A2"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μ</m:t>
                    </m:r>
                  </m:e>
                  <m:sub>
                    <m:r>
                      <w:rPr>
                        <w:rFonts w:ascii="Cambria Math" w:hAnsi="Cambria Math"/>
                        <w:sz w:val="21"/>
                        <w:lang w:val="en-GB"/>
                      </w:rPr>
                      <m:t>p</m:t>
                    </m:r>
                    <m:r>
                      <m:rPr>
                        <m:sty m:val="p"/>
                      </m:rPr>
                      <w:rPr>
                        <w:rFonts w:ascii="Cambria Math" w:hAnsi="Cambria Math"/>
                        <w:sz w:val="21"/>
                        <w:lang w:val="en-GB"/>
                      </w:rPr>
                      <m:t>, PTAA</m:t>
                    </m:r>
                  </m:sub>
                </m:sSub>
              </m:oMath>
            </m:oMathPara>
          </w:p>
        </w:tc>
        <w:tc>
          <w:tcPr>
            <w:tcW w:w="987" w:type="dxa"/>
            <w:tcBorders>
              <w:top w:val="dotted" w:sz="4" w:space="0" w:color="auto"/>
              <w:bottom w:val="dotted" w:sz="4" w:space="0" w:color="auto"/>
            </w:tcBorders>
          </w:tcPr>
          <w:p w14:paraId="2F819DF0" w14:textId="77777777" w:rsidR="00345759" w:rsidRPr="00927761" w:rsidRDefault="00345759" w:rsidP="00027E96">
            <w:pPr>
              <w:spacing w:line="276" w:lineRule="auto"/>
              <w:rPr>
                <w:sz w:val="21"/>
                <w:lang w:val="en-GB"/>
              </w:rPr>
            </w:pPr>
            <w:r w:rsidRPr="00927761">
              <w:rPr>
                <w:sz w:val="21"/>
                <w:lang w:val="en-GB"/>
              </w:rPr>
              <w:t>1x10</w:t>
            </w:r>
            <w:r w:rsidRPr="00927761">
              <w:rPr>
                <w:sz w:val="21"/>
                <w:vertAlign w:val="superscript"/>
                <w:lang w:val="en-GB"/>
              </w:rPr>
              <w:t>-4</w:t>
            </w:r>
          </w:p>
        </w:tc>
        <w:tc>
          <w:tcPr>
            <w:tcW w:w="734" w:type="dxa"/>
            <w:tcBorders>
              <w:top w:val="dotted" w:sz="4" w:space="0" w:color="auto"/>
              <w:bottom w:val="dotted" w:sz="4" w:space="0" w:color="auto"/>
            </w:tcBorders>
          </w:tcPr>
          <w:p w14:paraId="1A94C6EC"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2</w:t>
            </w:r>
            <w:r w:rsidRPr="00927761">
              <w:rPr>
                <w:sz w:val="21"/>
                <w:lang w:val="en-GB"/>
              </w:rPr>
              <w:t>/Vs</w:t>
            </w:r>
          </w:p>
        </w:tc>
        <w:tc>
          <w:tcPr>
            <w:tcW w:w="712" w:type="dxa"/>
            <w:tcBorders>
              <w:top w:val="dotted" w:sz="4" w:space="0" w:color="auto"/>
              <w:bottom w:val="dotted" w:sz="4" w:space="0" w:color="auto"/>
              <w:right w:val="single" w:sz="4" w:space="0" w:color="auto"/>
            </w:tcBorders>
          </w:tcPr>
          <w:p w14:paraId="58A01131"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{"citationItems":[{"id":"ITEM-1","itemData":{"DOI":"10.1039/c8ee00036k","ISSN":"17545706","abstract":"Perovskite solar cells (PSCs) have demonstrated high power conversion efficiency (PCE) but inferior long-term stability and remarkable hysteresis. To date, the most efficient PSCs have a n-i-p device architecture and use Li-TFSI/t-BP as standard bi-dopants for the hole-transporting layer (HTL). However, such dopants not only induce deleterious effects on stability but also significantly affect the hysteresis of PSCs. Here, we demonstrate that a fluorine-containing hydrophobic Lewis acid dopant (LAD) can be employed as an effective dopant for PTAA to realize an exceptional fill factor of 0.81 and a record PCE as high as 19.01%, the highest value among the ever reported PSCs based on a novel dopant in the HTL, versus 17.77% for the control device with Li-TFSI/t-BP doped PTAA. To the best of our knowledge, this is the first case in which a PSC based on a novel dopant for the HTL shows higher efficiency than a PSC based on the state-of-the-art bi-dopants Li-TFSI/t-BP. Besides, the LAD-based PSC displays lower J-V hysteresis and much better long-term stability of up to 70 days under air exposure without encapsulation. We believe that this work will pave a new avenue for high-efficiency, hysteresis-less and stable PSCs exploring hydrophobic dopants as alternatives to hydrophilic Li-TFSI/t-BP.","author":[{"dropping-particle":"","family":"Luo","given":"Junsheng","non-dropping-particle":"","parse-names":false,"suffix":""},{"dropping-particle":"","family":"Xia","given":"Jianxing","non-dropping-particle":"","parse-names":false,"suffix":""},{"dropping-particle":"","family":"Yang","given":"Hua","non-dropping-particle":"","parse-names":false,"suffix":""},{"dropping-particle":"","family":"Chen","given":"Lingling","non-dropping-particle":"","parse-names":false,"suffix":""},{"dropping-particle":"","family":"Wan","given":"Zhongquan","non-dropping-particle":"","parse-names":false,"suffix":""},{"dropping-particle":"","family":"Han","given":"Fei","non-dropping-particle":"","parse-names":false,"suffix":""},{"dropping-particle":"","family":"Malik","given":"Haseeb Ashraf","non-dropping-particle":"","parse-names":false,"suffix":""},{"dropping-particle":"","family":"Zhu","given":"Xuhui","non-dropping-particle":"","parse-names":false,"suffix":""},{"dropping-particle":"","family":"Jia","given":"Chunyang","non-dropping-particle":"","parse-names":false,"suffix":""}],"container-title":"Energy and Environmental Science","id":"ITEM-1","issue":"8","issued":{"date-parts":[["2018"]]},"page":"2035-2045","publisher":"Royal Society of Chemistry","title":"Toward high-efficiency, hysteresis-less, stable perovskite solar cells: Unusual doping of a hole-transporting material using a fluorine-containing hydrophobic Lewis acid","type":"article-journal","volume":"11"},"uris":["http://www.mendeley.com/documents/?uuid=7b46c94b-35f2-4763-a0fd-0305e2cf59d1"]}],"mendeley":{"formattedCitation":"&lt;sup&gt;10&lt;/sup&gt;","plainTextFormattedCitation":"10","previouslyFormattedCitation":"&lt;sup&gt;10&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10</w:t>
            </w:r>
            <w:r w:rsidRPr="00927761">
              <w:rPr>
                <w:sz w:val="21"/>
                <w:lang w:val="en-GB"/>
              </w:rPr>
              <w:fldChar w:fldCharType="end"/>
            </w:r>
            <w:r w:rsidRPr="00927761">
              <w:rPr>
                <w:sz w:val="21"/>
                <w:lang w:val="en-GB"/>
              </w:rPr>
              <w:t xml:space="preserve"> </w:t>
            </w:r>
          </w:p>
        </w:tc>
      </w:tr>
      <w:tr w:rsidR="00345759" w:rsidRPr="00927761" w14:paraId="1E83E475" w14:textId="77777777" w:rsidTr="00027E96">
        <w:trPr>
          <w:jc w:val="center"/>
        </w:trPr>
        <w:tc>
          <w:tcPr>
            <w:tcW w:w="3097" w:type="dxa"/>
            <w:tcBorders>
              <w:top w:val="dotted" w:sz="4" w:space="0" w:color="auto"/>
              <w:left w:val="single" w:sz="4" w:space="0" w:color="auto"/>
              <w:bottom w:val="dotted" w:sz="4" w:space="0" w:color="auto"/>
            </w:tcBorders>
          </w:tcPr>
          <w:p w14:paraId="642C1208" w14:textId="77777777" w:rsidR="00345759" w:rsidRPr="00927761" w:rsidRDefault="00345759" w:rsidP="00027E96">
            <w:pPr>
              <w:spacing w:line="276" w:lineRule="auto"/>
              <w:rPr>
                <w:sz w:val="21"/>
                <w:lang w:val="en-GB"/>
              </w:rPr>
            </w:pPr>
            <w:r w:rsidRPr="00927761">
              <w:rPr>
                <w:sz w:val="21"/>
                <w:lang w:val="en-GB"/>
              </w:rPr>
              <w:t>Electron mobility in perovskite</w:t>
            </w:r>
          </w:p>
        </w:tc>
        <w:tc>
          <w:tcPr>
            <w:tcW w:w="987" w:type="dxa"/>
            <w:tcBorders>
              <w:top w:val="dotted" w:sz="4" w:space="0" w:color="auto"/>
              <w:bottom w:val="dotted" w:sz="4" w:space="0" w:color="auto"/>
            </w:tcBorders>
          </w:tcPr>
          <w:p w14:paraId="09BC9853"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μ</m:t>
                    </m:r>
                  </m:e>
                  <m:sub>
                    <m:r>
                      <w:rPr>
                        <w:rFonts w:ascii="Cambria Math" w:hAnsi="Cambria Math"/>
                        <w:sz w:val="21"/>
                        <w:lang w:val="en-GB"/>
                      </w:rPr>
                      <m:t>n</m:t>
                    </m:r>
                    <m:r>
                      <m:rPr>
                        <m:sty m:val="p"/>
                      </m:rPr>
                      <w:rPr>
                        <w:rFonts w:ascii="Cambria Math" w:hAnsi="Cambria Math"/>
                        <w:sz w:val="21"/>
                        <w:lang w:val="en-GB"/>
                      </w:rPr>
                      <m:t>, pero</m:t>
                    </m:r>
                  </m:sub>
                </m:sSub>
              </m:oMath>
            </m:oMathPara>
          </w:p>
        </w:tc>
        <w:tc>
          <w:tcPr>
            <w:tcW w:w="987" w:type="dxa"/>
            <w:tcBorders>
              <w:top w:val="dotted" w:sz="4" w:space="0" w:color="auto"/>
              <w:bottom w:val="dotted" w:sz="4" w:space="0" w:color="auto"/>
            </w:tcBorders>
          </w:tcPr>
          <w:p w14:paraId="232C4C58" w14:textId="77777777" w:rsidR="00345759" w:rsidRPr="00927761" w:rsidRDefault="00345759" w:rsidP="00027E96">
            <w:pPr>
              <w:spacing w:line="276" w:lineRule="auto"/>
              <w:rPr>
                <w:sz w:val="21"/>
                <w:lang w:val="en-GB"/>
              </w:rPr>
            </w:pPr>
            <w:r w:rsidRPr="00927761">
              <w:rPr>
                <w:sz w:val="21"/>
                <w:lang w:val="en-GB"/>
              </w:rPr>
              <w:t>1</w:t>
            </w:r>
          </w:p>
        </w:tc>
        <w:tc>
          <w:tcPr>
            <w:tcW w:w="734" w:type="dxa"/>
            <w:tcBorders>
              <w:top w:val="dotted" w:sz="4" w:space="0" w:color="auto"/>
              <w:bottom w:val="dotted" w:sz="4" w:space="0" w:color="auto"/>
            </w:tcBorders>
          </w:tcPr>
          <w:p w14:paraId="75799B8A"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2</w:t>
            </w:r>
            <w:r w:rsidRPr="00927761">
              <w:rPr>
                <w:sz w:val="21"/>
                <w:lang w:val="en-GB"/>
              </w:rPr>
              <w:t>/Vs</w:t>
            </w:r>
          </w:p>
        </w:tc>
        <w:tc>
          <w:tcPr>
            <w:tcW w:w="712" w:type="dxa"/>
            <w:vMerge w:val="restart"/>
            <w:tcBorders>
              <w:top w:val="dotted" w:sz="4" w:space="0" w:color="auto"/>
              <w:right w:val="single" w:sz="4" w:space="0" w:color="auto"/>
            </w:tcBorders>
          </w:tcPr>
          <w:p w14:paraId="5550F996" w14:textId="77777777" w:rsidR="00345759" w:rsidRPr="00927761" w:rsidRDefault="00345759" w:rsidP="00027E96">
            <w:pPr>
              <w:spacing w:line="276" w:lineRule="auto"/>
              <w:jc w:val="both"/>
              <w:rPr>
                <w:sz w:val="21"/>
                <w:lang w:val="en-GB"/>
              </w:rPr>
            </w:pPr>
            <w:r w:rsidRPr="00927761">
              <w:rPr>
                <w:sz w:val="21"/>
                <w:lang w:val="en-GB"/>
              </w:rPr>
              <w:t>Oxford ref.</w:t>
            </w:r>
          </w:p>
        </w:tc>
      </w:tr>
      <w:tr w:rsidR="00345759" w:rsidRPr="00927761" w14:paraId="1ACA5955" w14:textId="77777777" w:rsidTr="00027E96">
        <w:trPr>
          <w:trHeight w:val="208"/>
          <w:jc w:val="center"/>
        </w:trPr>
        <w:tc>
          <w:tcPr>
            <w:tcW w:w="3097" w:type="dxa"/>
            <w:tcBorders>
              <w:top w:val="dotted" w:sz="4" w:space="0" w:color="auto"/>
              <w:left w:val="single" w:sz="4" w:space="0" w:color="auto"/>
              <w:bottom w:val="dotted" w:sz="4" w:space="0" w:color="auto"/>
            </w:tcBorders>
          </w:tcPr>
          <w:p w14:paraId="44E024BC" w14:textId="77777777" w:rsidR="00345759" w:rsidRPr="00927761" w:rsidRDefault="00345759" w:rsidP="00027E96">
            <w:pPr>
              <w:spacing w:line="276" w:lineRule="auto"/>
              <w:rPr>
                <w:sz w:val="21"/>
                <w:lang w:val="en-GB"/>
              </w:rPr>
            </w:pPr>
            <w:r w:rsidRPr="00927761">
              <w:rPr>
                <w:sz w:val="21"/>
                <w:lang w:val="en-GB"/>
              </w:rPr>
              <w:t>Hole mobility in perovskite</w:t>
            </w:r>
          </w:p>
        </w:tc>
        <w:tc>
          <w:tcPr>
            <w:tcW w:w="987" w:type="dxa"/>
            <w:tcBorders>
              <w:top w:val="dotted" w:sz="4" w:space="0" w:color="auto"/>
              <w:bottom w:val="dotted" w:sz="4" w:space="0" w:color="auto"/>
            </w:tcBorders>
          </w:tcPr>
          <w:p w14:paraId="65EE1E08"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μ</m:t>
                    </m:r>
                  </m:e>
                  <m:sub>
                    <m:r>
                      <w:rPr>
                        <w:rFonts w:ascii="Cambria Math" w:hAnsi="Cambria Math"/>
                        <w:sz w:val="21"/>
                        <w:lang w:val="en-GB"/>
                      </w:rPr>
                      <m:t>p</m:t>
                    </m:r>
                    <m:r>
                      <m:rPr>
                        <m:sty m:val="p"/>
                      </m:rPr>
                      <w:rPr>
                        <w:rFonts w:ascii="Cambria Math" w:hAnsi="Cambria Math"/>
                        <w:sz w:val="21"/>
                        <w:lang w:val="en-GB"/>
                      </w:rPr>
                      <m:t>, pero</m:t>
                    </m:r>
                  </m:sub>
                </m:sSub>
              </m:oMath>
            </m:oMathPara>
          </w:p>
        </w:tc>
        <w:tc>
          <w:tcPr>
            <w:tcW w:w="987" w:type="dxa"/>
            <w:tcBorders>
              <w:top w:val="dotted" w:sz="4" w:space="0" w:color="auto"/>
              <w:bottom w:val="dotted" w:sz="4" w:space="0" w:color="auto"/>
            </w:tcBorders>
          </w:tcPr>
          <w:p w14:paraId="7B02FBA9" w14:textId="77777777" w:rsidR="00345759" w:rsidRPr="00927761" w:rsidRDefault="00345759" w:rsidP="00027E96">
            <w:pPr>
              <w:spacing w:line="276" w:lineRule="auto"/>
              <w:rPr>
                <w:sz w:val="21"/>
                <w:lang w:val="en-GB"/>
              </w:rPr>
            </w:pPr>
            <w:r w:rsidRPr="00927761">
              <w:rPr>
                <w:sz w:val="21"/>
                <w:lang w:val="en-GB"/>
              </w:rPr>
              <w:t>1</w:t>
            </w:r>
          </w:p>
        </w:tc>
        <w:tc>
          <w:tcPr>
            <w:tcW w:w="734" w:type="dxa"/>
            <w:tcBorders>
              <w:top w:val="dotted" w:sz="4" w:space="0" w:color="auto"/>
              <w:bottom w:val="dotted" w:sz="4" w:space="0" w:color="auto"/>
            </w:tcBorders>
          </w:tcPr>
          <w:p w14:paraId="3C7D6BAB"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2</w:t>
            </w:r>
            <w:r w:rsidRPr="00927761">
              <w:rPr>
                <w:sz w:val="21"/>
                <w:lang w:val="en-GB"/>
              </w:rPr>
              <w:t>/Vs</w:t>
            </w:r>
          </w:p>
        </w:tc>
        <w:tc>
          <w:tcPr>
            <w:tcW w:w="712" w:type="dxa"/>
            <w:vMerge/>
            <w:tcBorders>
              <w:bottom w:val="dotted" w:sz="4" w:space="0" w:color="auto"/>
              <w:right w:val="single" w:sz="4" w:space="0" w:color="auto"/>
            </w:tcBorders>
          </w:tcPr>
          <w:p w14:paraId="329860E7" w14:textId="77777777" w:rsidR="00345759" w:rsidRPr="00927761" w:rsidRDefault="00345759" w:rsidP="00027E96">
            <w:pPr>
              <w:spacing w:line="276" w:lineRule="auto"/>
              <w:jc w:val="both"/>
              <w:rPr>
                <w:sz w:val="21"/>
                <w:lang w:val="en-GB"/>
              </w:rPr>
            </w:pPr>
          </w:p>
        </w:tc>
      </w:tr>
      <w:tr w:rsidR="00345759" w:rsidRPr="00927761" w14:paraId="7960FD82" w14:textId="77777777" w:rsidTr="00027E96">
        <w:trPr>
          <w:jc w:val="center"/>
        </w:trPr>
        <w:tc>
          <w:tcPr>
            <w:tcW w:w="3097" w:type="dxa"/>
            <w:tcBorders>
              <w:top w:val="dotted" w:sz="4" w:space="0" w:color="auto"/>
              <w:left w:val="single" w:sz="4" w:space="0" w:color="auto"/>
              <w:bottom w:val="dotted" w:sz="4" w:space="0" w:color="auto"/>
            </w:tcBorders>
          </w:tcPr>
          <w:p w14:paraId="5FD1DC6E" w14:textId="77777777" w:rsidR="00345759" w:rsidRPr="00927761" w:rsidRDefault="00345759" w:rsidP="00027E96">
            <w:pPr>
              <w:spacing w:line="276" w:lineRule="auto"/>
              <w:rPr>
                <w:sz w:val="21"/>
                <w:lang w:val="en-GB"/>
              </w:rPr>
            </w:pPr>
            <w:r w:rsidRPr="00927761">
              <w:rPr>
                <w:sz w:val="21"/>
                <w:lang w:val="en-GB"/>
              </w:rPr>
              <w:lastRenderedPageBreak/>
              <w:t>Relative dielectric constant PTAA</w:t>
            </w:r>
          </w:p>
        </w:tc>
        <w:tc>
          <w:tcPr>
            <w:tcW w:w="987" w:type="dxa"/>
            <w:tcBorders>
              <w:top w:val="dotted" w:sz="4" w:space="0" w:color="auto"/>
              <w:bottom w:val="dotted" w:sz="4" w:space="0" w:color="auto"/>
            </w:tcBorders>
          </w:tcPr>
          <w:p w14:paraId="11025DE7"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ϵ</m:t>
                    </m:r>
                  </m:e>
                  <m:sub>
                    <m:r>
                      <m:rPr>
                        <m:sty m:val="p"/>
                      </m:rPr>
                      <w:rPr>
                        <w:rFonts w:ascii="Cambria Math" w:hAnsi="Cambria Math"/>
                        <w:sz w:val="21"/>
                        <w:lang w:val="en-GB"/>
                      </w:rPr>
                      <m:t>PTAA</m:t>
                    </m:r>
                  </m:sub>
                </m:sSub>
              </m:oMath>
            </m:oMathPara>
          </w:p>
        </w:tc>
        <w:tc>
          <w:tcPr>
            <w:tcW w:w="987" w:type="dxa"/>
            <w:tcBorders>
              <w:top w:val="dotted" w:sz="4" w:space="0" w:color="auto"/>
              <w:bottom w:val="dotted" w:sz="4" w:space="0" w:color="auto"/>
            </w:tcBorders>
          </w:tcPr>
          <w:p w14:paraId="22D916A6" w14:textId="77777777" w:rsidR="00345759" w:rsidRPr="00927761" w:rsidRDefault="00345759" w:rsidP="00027E96">
            <w:pPr>
              <w:spacing w:line="276" w:lineRule="auto"/>
              <w:rPr>
                <w:sz w:val="21"/>
                <w:lang w:val="en-GB"/>
              </w:rPr>
            </w:pPr>
            <w:r w:rsidRPr="00927761">
              <w:rPr>
                <w:sz w:val="21"/>
                <w:lang w:val="en-GB"/>
              </w:rPr>
              <w:t>3.5</w:t>
            </w:r>
          </w:p>
        </w:tc>
        <w:tc>
          <w:tcPr>
            <w:tcW w:w="734" w:type="dxa"/>
            <w:tcBorders>
              <w:top w:val="dotted" w:sz="4" w:space="0" w:color="auto"/>
              <w:bottom w:val="dotted" w:sz="4" w:space="0" w:color="auto"/>
            </w:tcBorders>
          </w:tcPr>
          <w:p w14:paraId="7D46ACD3" w14:textId="77777777" w:rsidR="00345759" w:rsidRPr="00927761" w:rsidRDefault="00345759" w:rsidP="00027E96">
            <w:pPr>
              <w:spacing w:line="276" w:lineRule="auto"/>
              <w:rPr>
                <w:sz w:val="21"/>
                <w:lang w:val="en-GB"/>
              </w:rPr>
            </w:pPr>
          </w:p>
        </w:tc>
        <w:tc>
          <w:tcPr>
            <w:tcW w:w="712" w:type="dxa"/>
            <w:tcBorders>
              <w:top w:val="dotted" w:sz="4" w:space="0" w:color="auto"/>
              <w:bottom w:val="dotted" w:sz="4" w:space="0" w:color="auto"/>
              <w:right w:val="single" w:sz="4" w:space="0" w:color="auto"/>
            </w:tcBorders>
          </w:tcPr>
          <w:p w14:paraId="1B6128A5"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{"citationItems":[{"id":"ITEM-1","itemData":{"DOI":"10.1002/adfm.201402244","ISSN":"16163028","abstract":"Current organic semiconductors for organic photovoltaics (OPV) have relative dielectric constants (relative permittivities, εr) in the range of 2-4. As a consequence, Coulombically bound electron-hole pairs (excitons) are produced upon absorption of light, giving rise to limited power conversion efficiencies. We introduce a strategy to enhance εr of well-known donors and acceptors without breaking conjugation, degrading charge carrier mobility or altering the transport gap. The ability of ethylene glycol (EG) repeating units to rapidly reorient their dipoles with the charge redistributions in the environment was proven via density functional theory (DFT) calculations. Fullerene derivatives functionalized with triethylene glycol side chains were studied for the enhancement of εr together with poly(p-phenylene vinylene) and diketo-pyrrolopyrrole based polymers functionalized with similar side chains. The polymers showed a doubling of εr with respect to their reference polymers in identical backbone. Fullerene derivatives presented enhancements up to 6 compared with phenyl-C61 -butyric acid methyl ester (PCBM) as the reference. Importantly, the applied modifications did not affect the mobility of electrons and holes and provided excellent solubility in common organic solvents.","author":[{"dropping-particle":"","family":"Torabi","given":"Solmaz","non-dropping-particle":"","parse-names":false,"suffix":""},{"dropping-particle":"","family":"Jahani","given":"Fatemeh","non-dropping-particle":"","parse-names":false,"suffix":""},{"dropping-particle":"","family":"Severen","given":"Ineke","non-dropping-particle":"Van","parse-names":false,"suffix":""},{"dropping-particle":"","family":"Kanimozhi","given":"Catherine","non-dropping-particle":"","parse-names":false,"suffix":""},{"dropping-particle":"","family":"Patil","given":"Satish","non-dropping-particle":"","parse-names":false,"suffix":""},{"dropping-particle":"","family":"Havenith","given":"Remco W.A.","non-dropping-particle":"","parse-names":false,"suffix":""},{"dropping-particle":"","family":"Chiechi","given":"Ryan C.","non-dropping-particle":"","parse-names":false,"suffix":""},{"dropping-particle":"","family":"Lutsen","given":"Laurence","non-dropping-particle":"","parse-names":false,"suffix":""},{"dropping-particle":"","family":"Vanderzande","given":"Dirk J.M.","non-dropping-particle":"","parse-names":false,"suffix":""},{"dropping-particle":"","family":"Cleij","given":"Thomas J.","non-dropping-particle":"","parse-names":false,"suffix":""},{"dropping-particle":"","family":"Hummelen","given":"Jan C.","non-dropping-particle":"","parse-names":false,"suffix":""},{"dropping-particle":"","family":"Koster","given":"L. Jan Anton","non-dropping-particle":"","parse-names":false,"suffix":""}],"container-title":"Advanced Functional Materials","id":"ITEM-1","issue":"1","issued":{"date-parts":[["2015"]]},"page":"150-157","title":"Strategy for enhancing the dielectric constant of organic semiconductors without sacrificing charge carrier mobility and solubility","type":"article-journal","volume":"25"},"uris":["http://www.mendeley.com/documents/?uuid=460d1b5f-5f94-4515-9c58-f7d1c29764a4"]}],"mendeley":{"formattedCitation":"&lt;sup&gt;11&lt;/sup&gt;","plainTextFormattedCitation":"11","previouslyFormattedCitation":"&lt;sup&gt;11&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11</w:t>
            </w:r>
            <w:r w:rsidRPr="00927761">
              <w:rPr>
                <w:sz w:val="21"/>
                <w:lang w:val="en-GB"/>
              </w:rPr>
              <w:fldChar w:fldCharType="end"/>
            </w:r>
          </w:p>
        </w:tc>
      </w:tr>
      <w:tr w:rsidR="00345759" w:rsidRPr="00927761" w14:paraId="68D882E5" w14:textId="77777777" w:rsidTr="00027E96">
        <w:trPr>
          <w:jc w:val="center"/>
        </w:trPr>
        <w:tc>
          <w:tcPr>
            <w:tcW w:w="3097" w:type="dxa"/>
            <w:tcBorders>
              <w:top w:val="dotted" w:sz="4" w:space="0" w:color="auto"/>
              <w:left w:val="single" w:sz="4" w:space="0" w:color="auto"/>
              <w:bottom w:val="dotted" w:sz="4" w:space="0" w:color="auto"/>
            </w:tcBorders>
          </w:tcPr>
          <w:p w14:paraId="18EA4D94" w14:textId="77777777" w:rsidR="00345759" w:rsidRPr="00927761" w:rsidRDefault="00345759" w:rsidP="00027E96">
            <w:pPr>
              <w:spacing w:line="276" w:lineRule="auto"/>
              <w:rPr>
                <w:sz w:val="21"/>
                <w:lang w:val="en-GB"/>
              </w:rPr>
            </w:pPr>
            <w:r w:rsidRPr="00927761">
              <w:rPr>
                <w:sz w:val="21"/>
                <w:lang w:val="en-GB"/>
              </w:rPr>
              <w:t>Relative dielectric constant perovskite</w:t>
            </w:r>
          </w:p>
        </w:tc>
        <w:tc>
          <w:tcPr>
            <w:tcW w:w="987" w:type="dxa"/>
            <w:tcBorders>
              <w:top w:val="dotted" w:sz="4" w:space="0" w:color="auto"/>
              <w:bottom w:val="dotted" w:sz="4" w:space="0" w:color="auto"/>
            </w:tcBorders>
          </w:tcPr>
          <w:p w14:paraId="6FAEE939"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ϵ</m:t>
                    </m:r>
                  </m:e>
                  <m:sub>
                    <m:r>
                      <m:rPr>
                        <m:sty m:val="p"/>
                      </m:rPr>
                      <w:rPr>
                        <w:rFonts w:ascii="Cambria Math" w:hAnsi="Cambria Math"/>
                        <w:sz w:val="21"/>
                        <w:lang w:val="en-GB"/>
                      </w:rPr>
                      <m:t>pero</m:t>
                    </m:r>
                  </m:sub>
                </m:sSub>
              </m:oMath>
            </m:oMathPara>
          </w:p>
        </w:tc>
        <w:tc>
          <w:tcPr>
            <w:tcW w:w="987" w:type="dxa"/>
            <w:tcBorders>
              <w:top w:val="dotted" w:sz="4" w:space="0" w:color="auto"/>
              <w:bottom w:val="dotted" w:sz="4" w:space="0" w:color="auto"/>
            </w:tcBorders>
          </w:tcPr>
          <w:p w14:paraId="24363455" w14:textId="77777777" w:rsidR="00345759" w:rsidRPr="00927761" w:rsidRDefault="00345759" w:rsidP="00027E96">
            <w:pPr>
              <w:spacing w:line="276" w:lineRule="auto"/>
              <w:rPr>
                <w:sz w:val="21"/>
                <w:lang w:val="en-GB"/>
              </w:rPr>
            </w:pPr>
            <w:r w:rsidRPr="00927761">
              <w:rPr>
                <w:sz w:val="21"/>
                <w:lang w:val="en-GB"/>
              </w:rPr>
              <w:t>22</w:t>
            </w:r>
          </w:p>
        </w:tc>
        <w:tc>
          <w:tcPr>
            <w:tcW w:w="734" w:type="dxa"/>
            <w:tcBorders>
              <w:top w:val="dotted" w:sz="4" w:space="0" w:color="auto"/>
              <w:bottom w:val="dotted" w:sz="4" w:space="0" w:color="auto"/>
            </w:tcBorders>
          </w:tcPr>
          <w:p w14:paraId="4E8267D6" w14:textId="77777777" w:rsidR="00345759" w:rsidRPr="00927761" w:rsidRDefault="00345759" w:rsidP="00027E96">
            <w:pPr>
              <w:spacing w:line="276" w:lineRule="auto"/>
              <w:rPr>
                <w:sz w:val="21"/>
                <w:lang w:val="en-GB"/>
              </w:rPr>
            </w:pPr>
            <w:r w:rsidRPr="00927761">
              <w:rPr>
                <w:sz w:val="21"/>
                <w:lang w:val="en-GB"/>
              </w:rPr>
              <w:t xml:space="preserve"> </w:t>
            </w:r>
          </w:p>
        </w:tc>
        <w:tc>
          <w:tcPr>
            <w:tcW w:w="712" w:type="dxa"/>
            <w:tcBorders>
              <w:top w:val="dotted" w:sz="4" w:space="0" w:color="auto"/>
              <w:bottom w:val="dotted" w:sz="4" w:space="0" w:color="auto"/>
              <w:right w:val="single" w:sz="4" w:space="0" w:color="auto"/>
            </w:tcBorders>
          </w:tcPr>
          <w:p w14:paraId="7BD6571A"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{"citationItems":[{"id":"ITEM-1","itemData":{"DOI":"10.1103/PhysRevB.89.155204","ISSN":"1550235X","abstract":"Solar cells based on a light absorbing layer of the organometal halide perovskite CH$_3$NH$_3$PbI$_3$ have recently reached 15% conversion efficiency, though how these materials work remains largely unknown. We analyse the electronic structure and optical properties within the quasiparticle self-consistent GW approximation. While this compound bears some similarity to conventional sp semiconductors, it also displays unique features. Quasiparticle self-consistency is essential for an accurate description of the band structure: bandgaps are much larger than what is predicted by the local density approximation (LDA) or GW based on the LDA. Valence band dispersions are modified in a very unusual manner. In addition, spin orbit coupling strongly modifies the band structure and gives rise to unconventional dispersion relations and a Dresselhaus splitting at the band edges. The average hole mass is small, which accounts for the long diffusion lengths recently observed. The surface ionisation potential (workfunction) is calculated to be 5.7 eV with respect to the vacuum level, explaining efficient carrier transfer to TiO$_2$ and Au electrical contacts.","author":[{"dropping-particle":"","family":"Brivio","given":"Federico","non-dropping-particle":"","parse-names":false,"suffix":""},{"dropping-particle":"","family":"Butler","given":"Keith T.","non-dropping-particle":"","parse-names":false,"suffix":""},{"dropping-particle":"","family":"Walsh","given":"Aron","non-dropping-particle":"","parse-names":false,"suffix":""},{"dropping-particle":"","family":"Schilfgaarde","given":"Mark","non-dropping-particle":"Van","parse-names":false,"suffix":""}],"container-title":"Physical Review B - Condensed Matter and Materials Physics","id":"ITEM-1","issue":"15","issued":{"date-parts":[["2014"]]},"page":"1-6","title":"Relativistic quasiparticle self-consistent electronic structure of hybrid halide perovskite photovoltaic absorbers","type":"article-journal","volume":"89"},"uris":["http://www.mendeley.com/documents/?uuid=246b75bd-a0c6-4d5c-8147-ea871750ba0d"]}],"mendeley":{"formattedCitation":"&lt;sup&gt;12&lt;/sup&gt;","plainTextFormattedCitation":"12","previouslyFormattedCitation":"&lt;sup&gt;12&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12</w:t>
            </w:r>
            <w:r w:rsidRPr="00927761">
              <w:rPr>
                <w:sz w:val="21"/>
                <w:lang w:val="en-GB"/>
              </w:rPr>
              <w:fldChar w:fldCharType="end"/>
            </w:r>
          </w:p>
        </w:tc>
      </w:tr>
      <w:tr w:rsidR="00345759" w:rsidRPr="00927761" w14:paraId="24914000" w14:textId="77777777" w:rsidTr="00027E96">
        <w:trPr>
          <w:jc w:val="center"/>
        </w:trPr>
        <w:tc>
          <w:tcPr>
            <w:tcW w:w="3097" w:type="dxa"/>
            <w:tcBorders>
              <w:top w:val="dotted" w:sz="4" w:space="0" w:color="auto"/>
              <w:left w:val="single" w:sz="4" w:space="0" w:color="auto"/>
              <w:bottom w:val="dotted" w:sz="4" w:space="0" w:color="auto"/>
            </w:tcBorders>
          </w:tcPr>
          <w:p w14:paraId="55226E2C" w14:textId="77777777" w:rsidR="00345759" w:rsidRPr="00927761" w:rsidRDefault="00345759" w:rsidP="00027E96">
            <w:pPr>
              <w:spacing w:line="276" w:lineRule="auto"/>
              <w:rPr>
                <w:sz w:val="21"/>
                <w:lang w:val="en-GB"/>
              </w:rPr>
            </w:pPr>
            <w:r w:rsidRPr="00927761">
              <w:rPr>
                <w:sz w:val="21"/>
                <w:lang w:val="en-GB"/>
              </w:rPr>
              <w:t>relative dielectric constant C</w:t>
            </w:r>
            <w:r w:rsidRPr="00927761">
              <w:rPr>
                <w:sz w:val="21"/>
                <w:vertAlign w:val="subscript"/>
                <w:lang w:val="en-GB"/>
              </w:rPr>
              <w:t>60</w:t>
            </w:r>
          </w:p>
        </w:tc>
        <w:tc>
          <w:tcPr>
            <w:tcW w:w="987" w:type="dxa"/>
            <w:tcBorders>
              <w:top w:val="dotted" w:sz="4" w:space="0" w:color="auto"/>
              <w:bottom w:val="dotted" w:sz="4" w:space="0" w:color="auto"/>
            </w:tcBorders>
          </w:tcPr>
          <w:p w14:paraId="24E965CD"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ϵ</m:t>
                    </m:r>
                  </m:e>
                  <m:sub>
                    <m:r>
                      <m:rPr>
                        <m:sty m:val="p"/>
                      </m:rPr>
                      <w:rPr>
                        <w:rFonts w:ascii="Cambria Math" w:hAnsi="Cambria Math"/>
                        <w:sz w:val="21"/>
                        <w:lang w:val="en-GB"/>
                      </w:rPr>
                      <m:t>C60</m:t>
                    </m:r>
                  </m:sub>
                </m:sSub>
              </m:oMath>
            </m:oMathPara>
          </w:p>
        </w:tc>
        <w:tc>
          <w:tcPr>
            <w:tcW w:w="987" w:type="dxa"/>
            <w:tcBorders>
              <w:top w:val="dotted" w:sz="4" w:space="0" w:color="auto"/>
              <w:bottom w:val="dotted" w:sz="4" w:space="0" w:color="auto"/>
            </w:tcBorders>
          </w:tcPr>
          <w:p w14:paraId="28F33ED1" w14:textId="77777777" w:rsidR="00345759" w:rsidRPr="00927761" w:rsidRDefault="00345759" w:rsidP="00027E96">
            <w:pPr>
              <w:spacing w:line="276" w:lineRule="auto"/>
              <w:rPr>
                <w:sz w:val="21"/>
                <w:lang w:val="en-GB"/>
              </w:rPr>
            </w:pPr>
            <w:r w:rsidRPr="00927761">
              <w:rPr>
                <w:sz w:val="21"/>
                <w:lang w:val="en-GB"/>
              </w:rPr>
              <w:t>5.0</w:t>
            </w:r>
          </w:p>
        </w:tc>
        <w:tc>
          <w:tcPr>
            <w:tcW w:w="734" w:type="dxa"/>
            <w:tcBorders>
              <w:top w:val="dotted" w:sz="4" w:space="0" w:color="auto"/>
              <w:bottom w:val="dotted" w:sz="4" w:space="0" w:color="auto"/>
            </w:tcBorders>
          </w:tcPr>
          <w:p w14:paraId="16BDAD7F" w14:textId="77777777" w:rsidR="00345759" w:rsidRPr="00927761" w:rsidRDefault="00345759" w:rsidP="00027E96">
            <w:pPr>
              <w:spacing w:line="276" w:lineRule="auto"/>
              <w:rPr>
                <w:sz w:val="21"/>
                <w:lang w:val="en-GB"/>
              </w:rPr>
            </w:pPr>
            <w:r w:rsidRPr="00927761">
              <w:rPr>
                <w:sz w:val="21"/>
                <w:lang w:val="en-GB"/>
              </w:rPr>
              <w:t xml:space="preserve"> </w:t>
            </w:r>
          </w:p>
        </w:tc>
        <w:tc>
          <w:tcPr>
            <w:tcW w:w="712" w:type="dxa"/>
            <w:tcBorders>
              <w:top w:val="dotted" w:sz="4" w:space="0" w:color="auto"/>
              <w:bottom w:val="dotted" w:sz="4" w:space="0" w:color="auto"/>
              <w:right w:val="single" w:sz="4" w:space="0" w:color="auto"/>
            </w:tcBorders>
          </w:tcPr>
          <w:p w14:paraId="05B5A540"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{"citationItems":[{"id":"ITEM-1","itemData":{"DOI":"10.1007/BF00732372","ISBN":"0400020750","ISSN":"08961107","abstract":"Complex dielectric response measurements have been made on a C60/C70 mixture pellet. The frequency and temperature ranges cover from 20 Hz to 1 MHz and from 30 to 300 K. Results show that the real part of the dielectric constant is 5 with a weak thermally activated polarization contribution. This thermal polarization is believed to be related to reorientation of C60 molecules recently observed by many techniques such as NMR, sound velocity, thermal conductivity, and others. Our data yield relaxation frequencies for reorientation, indicating that the presence of an additional electric dipole moment of the orientationally ordered C60 molecules at low temperature contributes 0.2-0.3 to the static dielectric constant. © 1995 Plenum Publishing Corporation.","author":[{"dropping-particle":"","family":"Chern","given":"Gung","non-dropping-particle":"","parse-names":false,"suffix":""},{"dropping-particle":"","family":"Mathias","given":"H.","non-dropping-particle":"","parse-names":false,"suffix":""},{"dropping-particle":"","family":"Testardi","given":"L. R.","non-dropping-particle":"","parse-names":false,"suffix":""},{"dropping-particle":"","family":"Seger","given":"L.","non-dropping-particle":"","parse-names":false,"suffix":""},{"dropping-particle":"","family":"Schlenoff","given":"J.","non-dropping-particle":"","parse-names":false,"suffix":""}],"container-title":"Journal of Superconductivity","id":"ITEM-1","issue":"2","issued":{"date-parts":[["1995"]]},"page":"207-210","title":"Low-frequency dielectric permittivity of C60","type":"article-journal","volume":"8"},"uris":["http://www.mendeley.com/documents/?uuid=afe6a3f7-8012-4d3c-ba89-f5389de7da9a"]}],"mendeley":{"formattedCitation":"&lt;sup&gt;13&lt;/sup&gt;","plainTextFormattedCitation":"13","previouslyFormattedCitation":"&lt;sup&gt;13&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13</w:t>
            </w:r>
            <w:r w:rsidRPr="00927761">
              <w:rPr>
                <w:sz w:val="21"/>
                <w:lang w:val="en-GB"/>
              </w:rPr>
              <w:fldChar w:fldCharType="end"/>
            </w:r>
          </w:p>
        </w:tc>
      </w:tr>
      <w:tr w:rsidR="00345759" w:rsidRPr="00927761" w14:paraId="6C62669E" w14:textId="77777777" w:rsidTr="00027E96">
        <w:trPr>
          <w:jc w:val="center"/>
        </w:trPr>
        <w:tc>
          <w:tcPr>
            <w:tcW w:w="3097" w:type="dxa"/>
            <w:tcBorders>
              <w:top w:val="dotted" w:sz="4" w:space="0" w:color="auto"/>
              <w:left w:val="single" w:sz="4" w:space="0" w:color="auto"/>
              <w:bottom w:val="dotted" w:sz="4" w:space="0" w:color="auto"/>
              <w:right w:val="nil"/>
            </w:tcBorders>
          </w:tcPr>
          <w:p w14:paraId="7350F8DE" w14:textId="77777777" w:rsidR="00345759" w:rsidRPr="00927761" w:rsidRDefault="00345759" w:rsidP="00027E96">
            <w:pPr>
              <w:spacing w:line="276" w:lineRule="auto"/>
              <w:rPr>
                <w:sz w:val="21"/>
                <w:lang w:val="en-GB"/>
              </w:rPr>
            </w:pPr>
            <w:r w:rsidRPr="00927761">
              <w:rPr>
                <w:sz w:val="21"/>
                <w:lang w:val="en-GB"/>
              </w:rPr>
              <w:t>Effective electron density of states in HTL</w:t>
            </w:r>
          </w:p>
        </w:tc>
        <w:tc>
          <w:tcPr>
            <w:tcW w:w="987" w:type="dxa"/>
            <w:tcBorders>
              <w:top w:val="dotted" w:sz="4" w:space="0" w:color="auto"/>
              <w:left w:val="nil"/>
              <w:bottom w:val="dotted" w:sz="4" w:space="0" w:color="auto"/>
              <w:right w:val="nil"/>
            </w:tcBorders>
          </w:tcPr>
          <w:p w14:paraId="046857AF"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N</m:t>
                    </m:r>
                  </m:e>
                  <m:sub>
                    <m:r>
                      <m:rPr>
                        <m:sty m:val="p"/>
                      </m:rPr>
                      <w:rPr>
                        <w:rFonts w:ascii="Cambria Math" w:hAnsi="Cambria Math"/>
                        <w:sz w:val="21"/>
                        <w:lang w:val="en-GB"/>
                      </w:rPr>
                      <m:t>C/V, PTAA</m:t>
                    </m:r>
                  </m:sub>
                </m:sSub>
              </m:oMath>
            </m:oMathPara>
          </w:p>
        </w:tc>
        <w:tc>
          <w:tcPr>
            <w:tcW w:w="987" w:type="dxa"/>
            <w:tcBorders>
              <w:top w:val="dotted" w:sz="4" w:space="0" w:color="auto"/>
              <w:left w:val="nil"/>
              <w:bottom w:val="dotted" w:sz="4" w:space="0" w:color="auto"/>
              <w:right w:val="nil"/>
            </w:tcBorders>
          </w:tcPr>
          <w:p w14:paraId="31F891F1" w14:textId="77777777" w:rsidR="00345759" w:rsidRPr="00927761" w:rsidRDefault="00345759" w:rsidP="00027E96">
            <w:pPr>
              <w:spacing w:line="276" w:lineRule="auto"/>
              <w:rPr>
                <w:sz w:val="21"/>
                <w:lang w:val="en-GB"/>
              </w:rPr>
            </w:pPr>
            <w:r w:rsidRPr="00927761">
              <w:rPr>
                <w:sz w:val="21"/>
                <w:lang w:val="en-GB"/>
              </w:rPr>
              <w:t>1x10</w:t>
            </w:r>
            <w:r w:rsidRPr="00927761">
              <w:rPr>
                <w:sz w:val="21"/>
                <w:vertAlign w:val="superscript"/>
                <w:lang w:val="en-GB"/>
              </w:rPr>
              <w:t>20</w:t>
            </w:r>
          </w:p>
        </w:tc>
        <w:tc>
          <w:tcPr>
            <w:tcW w:w="734" w:type="dxa"/>
            <w:tcBorders>
              <w:top w:val="dotted" w:sz="4" w:space="0" w:color="auto"/>
              <w:left w:val="nil"/>
              <w:bottom w:val="dotted" w:sz="4" w:space="0" w:color="auto"/>
              <w:right w:val="nil"/>
            </w:tcBorders>
          </w:tcPr>
          <w:p w14:paraId="28039B53"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left w:val="nil"/>
              <w:bottom w:val="dotted" w:sz="4" w:space="0" w:color="auto"/>
              <w:right w:val="single" w:sz="4" w:space="0" w:color="auto"/>
            </w:tcBorders>
          </w:tcPr>
          <w:p w14:paraId="2D6A91A6"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ISSN":"1932-7447","author":[{"dropping-particle":"","family":"Kirchartz","given":"Thomas","non-dropping-particle":"","parse-names":false,"suffix":""},{"dropping-particle":"","family":"Gong","given":"Wei","non-dropping-particle":"","parse-names":false,"suffix":""},{"dropping-particle":"","family":"Hawks","given":"Steven A","non-dropping-particle":"","parse-names":false,"suffix":""},{"dropping-particle":"","family":"Agostinelli","given":"Tiziano","non-dropping-particle":"","parse-names":false,"suffix":""},{"dropping-particle":"","family":"MacKenzie","given":"Roderick C I","non-dropping-particle":"","parse-names":false,"suffix":""},{"dropping-particle":"","family":"Yang","given":"Yang","non-dropping-particle":"","parse-names":false,"suffix":""},{"dropping-particle":"","family":"Nelson","given":"Jenny","non-dropping-particle":"","parse-names":false,"suffix":""}],"container-title":"The Journal of Physical Chemistry C","id":"ITEM-1","issue":"14","issued":{"date-parts":[["2012"]]},"page":"7672-7680","title":"Sensitivity of the Mott–Schottky analysis in organic solar cells","type":"article-journal","volume":"116"},"uris":["http://www.mendeley.com/documents/?uuid=050a7f26-abe7-482c-9efd-86d7eaf22561","http://www.mendeley.com/documents/?uuid=cd8802bf-2172-4781-8621-06c5f7521982"]}],"mendeley":{"formattedCitation":"&lt;sup&gt;14&lt;/sup&gt;","plainTextFormattedCitation":"14","previouslyFormattedCitation":"&lt;sup&gt;14&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14</w:t>
            </w:r>
            <w:r w:rsidRPr="00927761">
              <w:rPr>
                <w:sz w:val="21"/>
                <w:lang w:val="en-GB"/>
              </w:rPr>
              <w:fldChar w:fldCharType="end"/>
            </w:r>
          </w:p>
        </w:tc>
      </w:tr>
      <w:tr w:rsidR="00345759" w:rsidRPr="00927761" w14:paraId="7088A104" w14:textId="77777777" w:rsidTr="00027E96">
        <w:trPr>
          <w:trHeight w:val="290"/>
          <w:jc w:val="center"/>
        </w:trPr>
        <w:tc>
          <w:tcPr>
            <w:tcW w:w="3097" w:type="dxa"/>
            <w:tcBorders>
              <w:top w:val="dotted" w:sz="4" w:space="0" w:color="auto"/>
              <w:left w:val="single" w:sz="4" w:space="0" w:color="auto"/>
              <w:bottom w:val="dotted" w:sz="4" w:space="0" w:color="auto"/>
              <w:right w:val="nil"/>
            </w:tcBorders>
          </w:tcPr>
          <w:p w14:paraId="1607A905" w14:textId="77777777" w:rsidR="00345759" w:rsidRPr="00927761" w:rsidRDefault="00345759" w:rsidP="00027E96">
            <w:pPr>
              <w:spacing w:line="276" w:lineRule="auto"/>
              <w:rPr>
                <w:sz w:val="21"/>
                <w:lang w:val="en-GB"/>
              </w:rPr>
            </w:pPr>
            <w:r w:rsidRPr="00927761">
              <w:rPr>
                <w:sz w:val="21"/>
                <w:lang w:val="en-GB"/>
              </w:rPr>
              <w:t>Effective electron density of states in C</w:t>
            </w:r>
            <w:r w:rsidRPr="00927761">
              <w:rPr>
                <w:sz w:val="21"/>
                <w:vertAlign w:val="subscript"/>
                <w:lang w:val="en-GB"/>
              </w:rPr>
              <w:t>60</w:t>
            </w:r>
          </w:p>
        </w:tc>
        <w:tc>
          <w:tcPr>
            <w:tcW w:w="987" w:type="dxa"/>
            <w:tcBorders>
              <w:top w:val="dotted" w:sz="4" w:space="0" w:color="auto"/>
              <w:left w:val="nil"/>
              <w:bottom w:val="dotted" w:sz="4" w:space="0" w:color="auto"/>
              <w:right w:val="nil"/>
            </w:tcBorders>
          </w:tcPr>
          <w:p w14:paraId="3EEBF4C4"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N</m:t>
                    </m:r>
                  </m:e>
                  <m:sub>
                    <m:r>
                      <m:rPr>
                        <m:sty m:val="p"/>
                      </m:rPr>
                      <w:rPr>
                        <w:rFonts w:ascii="Cambria Math" w:hAnsi="Cambria Math"/>
                        <w:sz w:val="21"/>
                        <w:lang w:val="en-GB"/>
                      </w:rPr>
                      <m:t>C/V,C60</m:t>
                    </m:r>
                  </m:sub>
                </m:sSub>
              </m:oMath>
            </m:oMathPara>
          </w:p>
        </w:tc>
        <w:tc>
          <w:tcPr>
            <w:tcW w:w="987" w:type="dxa"/>
            <w:tcBorders>
              <w:top w:val="dotted" w:sz="4" w:space="0" w:color="auto"/>
              <w:left w:val="nil"/>
              <w:bottom w:val="dotted" w:sz="4" w:space="0" w:color="auto"/>
              <w:right w:val="nil"/>
            </w:tcBorders>
          </w:tcPr>
          <w:p w14:paraId="7D19D5C5" w14:textId="77777777" w:rsidR="00345759" w:rsidRPr="00927761" w:rsidRDefault="00345759" w:rsidP="00027E96">
            <w:pPr>
              <w:spacing w:line="276" w:lineRule="auto"/>
              <w:rPr>
                <w:sz w:val="21"/>
                <w:lang w:val="en-GB"/>
              </w:rPr>
            </w:pPr>
            <w:r w:rsidRPr="00927761">
              <w:rPr>
                <w:sz w:val="21"/>
                <w:lang w:val="en-GB"/>
              </w:rPr>
              <w:t>1x10</w:t>
            </w:r>
            <w:r w:rsidRPr="00927761">
              <w:rPr>
                <w:sz w:val="21"/>
                <w:vertAlign w:val="superscript"/>
                <w:lang w:val="en-GB"/>
              </w:rPr>
              <w:t>20</w:t>
            </w:r>
          </w:p>
        </w:tc>
        <w:tc>
          <w:tcPr>
            <w:tcW w:w="734" w:type="dxa"/>
            <w:tcBorders>
              <w:top w:val="dotted" w:sz="4" w:space="0" w:color="auto"/>
              <w:left w:val="nil"/>
              <w:bottom w:val="dotted" w:sz="4" w:space="0" w:color="auto"/>
              <w:right w:val="nil"/>
            </w:tcBorders>
          </w:tcPr>
          <w:p w14:paraId="632AED36"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left w:val="nil"/>
              <w:bottom w:val="dotted" w:sz="4" w:space="0" w:color="auto"/>
              <w:right w:val="single" w:sz="4" w:space="0" w:color="auto"/>
            </w:tcBorders>
          </w:tcPr>
          <w:p w14:paraId="00DB1A32"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ISSN":"1932-7447","author":[{"dropping-particle":"","family":"Kirchartz","given":"Thomas","non-dropping-particle":"","parse-names":false,"suffix":""},{"dropping-particle":"","family":"Gong","given":"Wei","non-dropping-particle":"","parse-names":false,"suffix":""},{"dropping-particle":"","family":"Hawks","given":"Steven A","non-dropping-particle":"","parse-names":false,"suffix":""},{"dropping-particle":"","family":"Agostinelli","given":"Tiziano","non-dropping-particle":"","parse-names":false,"suffix":""},{"dropping-particle":"","family":"MacKenzie","given":"Roderick C I","non-dropping-particle":"","parse-names":false,"suffix":""},{"dropping-particle":"","family":"Yang","given":"Yang","non-dropping-particle":"","parse-names":false,"suffix":""},{"dropping-particle":"","family":"Nelson","given":"Jenny","non-dropping-particle":"","parse-names":false,"suffix":""}],"container-title":"The Journal of Physical Chemistry C","id":"ITEM-1","issue":"14","issued":{"date-parts":[["2012"]]},"page":"7672-7680","title":"Sensitivity of the Mott–Schottky analysis in organic solar cells","type":"article-journal","volume":"116"},"uris":["http://www.mendeley.com/documents/?uuid=cd8802bf-2172-4781-8621-06c5f7521982","http://www.mendeley.com/documents/?uuid=050a7f26-abe7-482c-9efd-86d7eaf22561"]}],"mendeley":{"formattedCitation":"&lt;sup&gt;14&lt;/sup&gt;","plainTextFormattedCitation":"14","previouslyFormattedCitation":"&lt;sup&gt;14&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14</w:t>
            </w:r>
            <w:r w:rsidRPr="00927761">
              <w:rPr>
                <w:sz w:val="21"/>
                <w:lang w:val="en-GB"/>
              </w:rPr>
              <w:fldChar w:fldCharType="end"/>
            </w:r>
          </w:p>
        </w:tc>
      </w:tr>
      <w:tr w:rsidR="00345759" w:rsidRPr="00927761" w14:paraId="11E06434" w14:textId="77777777" w:rsidTr="00027E96">
        <w:trPr>
          <w:jc w:val="center"/>
        </w:trPr>
        <w:tc>
          <w:tcPr>
            <w:tcW w:w="3097" w:type="dxa"/>
            <w:tcBorders>
              <w:top w:val="dotted" w:sz="4" w:space="0" w:color="auto"/>
              <w:left w:val="single" w:sz="4" w:space="0" w:color="auto"/>
              <w:bottom w:val="dotted" w:sz="4" w:space="0" w:color="auto"/>
              <w:right w:val="nil"/>
            </w:tcBorders>
          </w:tcPr>
          <w:p w14:paraId="449600C7" w14:textId="77777777" w:rsidR="00345759" w:rsidRPr="00927761" w:rsidRDefault="00345759" w:rsidP="00027E96">
            <w:pPr>
              <w:spacing w:line="276" w:lineRule="auto"/>
              <w:rPr>
                <w:sz w:val="21"/>
                <w:lang w:val="en-GB"/>
              </w:rPr>
            </w:pPr>
            <w:r w:rsidRPr="00927761">
              <w:rPr>
                <w:sz w:val="21"/>
                <w:lang w:val="en-GB"/>
              </w:rPr>
              <w:t>Effective electron density of states in perovskite</w:t>
            </w:r>
          </w:p>
        </w:tc>
        <w:tc>
          <w:tcPr>
            <w:tcW w:w="987" w:type="dxa"/>
            <w:tcBorders>
              <w:top w:val="dotted" w:sz="4" w:space="0" w:color="auto"/>
              <w:left w:val="nil"/>
              <w:bottom w:val="dotted" w:sz="4" w:space="0" w:color="auto"/>
              <w:right w:val="nil"/>
            </w:tcBorders>
          </w:tcPr>
          <w:p w14:paraId="49A8AE14"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N</m:t>
                    </m:r>
                  </m:e>
                  <m:sub>
                    <m:r>
                      <m:rPr>
                        <m:sty m:val="p"/>
                      </m:rPr>
                      <w:rPr>
                        <w:rFonts w:ascii="Cambria Math" w:hAnsi="Cambria Math"/>
                        <w:sz w:val="21"/>
                        <w:lang w:val="en-GB"/>
                      </w:rPr>
                      <m:t>C/V,pero</m:t>
                    </m:r>
                  </m:sub>
                </m:sSub>
              </m:oMath>
            </m:oMathPara>
          </w:p>
        </w:tc>
        <w:tc>
          <w:tcPr>
            <w:tcW w:w="987" w:type="dxa"/>
            <w:tcBorders>
              <w:top w:val="dotted" w:sz="4" w:space="0" w:color="auto"/>
              <w:left w:val="nil"/>
              <w:bottom w:val="dotted" w:sz="4" w:space="0" w:color="auto"/>
              <w:right w:val="nil"/>
            </w:tcBorders>
          </w:tcPr>
          <w:p w14:paraId="672B22A9" w14:textId="77777777" w:rsidR="00345759" w:rsidRPr="00927761" w:rsidRDefault="00345759" w:rsidP="00027E96">
            <w:pPr>
              <w:spacing w:line="276" w:lineRule="auto"/>
              <w:rPr>
                <w:sz w:val="21"/>
                <w:lang w:val="en-GB"/>
              </w:rPr>
            </w:pPr>
            <w:r w:rsidRPr="00927761">
              <w:rPr>
                <w:sz w:val="21"/>
                <w:lang w:val="en-GB"/>
              </w:rPr>
              <w:t>2.2x10</w:t>
            </w:r>
            <w:r w:rsidRPr="00927761">
              <w:rPr>
                <w:sz w:val="21"/>
                <w:vertAlign w:val="superscript"/>
                <w:lang w:val="en-GB"/>
              </w:rPr>
              <w:t>18</w:t>
            </w:r>
          </w:p>
        </w:tc>
        <w:tc>
          <w:tcPr>
            <w:tcW w:w="734" w:type="dxa"/>
            <w:tcBorders>
              <w:top w:val="dotted" w:sz="4" w:space="0" w:color="auto"/>
              <w:left w:val="nil"/>
              <w:bottom w:val="dotted" w:sz="4" w:space="0" w:color="auto"/>
              <w:right w:val="nil"/>
            </w:tcBorders>
          </w:tcPr>
          <w:p w14:paraId="7CDD8EB9"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left w:val="nil"/>
              <w:bottom w:val="dotted" w:sz="4" w:space="0" w:color="auto"/>
              <w:right w:val="single" w:sz="4" w:space="0" w:color="auto"/>
            </w:tcBorders>
          </w:tcPr>
          <w:p w14:paraId="5AB94D89" w14:textId="77777777" w:rsidR="00345759" w:rsidRPr="00927761" w:rsidRDefault="00345759" w:rsidP="00027E96">
            <w:pPr>
              <w:spacing w:line="276" w:lineRule="auto"/>
              <w:jc w:val="both"/>
              <w:rPr>
                <w:sz w:val="21"/>
                <w:lang w:val="en-GB"/>
              </w:rPr>
            </w:pPr>
            <w:r w:rsidRPr="00927761">
              <w:rPr>
                <w:sz w:val="21"/>
                <w:lang w:val="en-GB"/>
              </w:rPr>
              <w:fldChar w:fldCharType="begin" w:fldLock="1"/>
            </w:r>
            <w:r>
              <w:rPr>
                <w:sz w:val="21"/>
                <w:lang w:val="en-GB"/>
              </w:rPr>
              <w:instrText>ADDIN CSL_CITATION {"citationItems":[{"id":"ITEM-1","itemData":{"DOI":"10.1103/PhysRevApplied.6.044017","ISSN":"2331-7019","abstract":"Careful interpretation of time-resolved photoluminescence (TRPL) measurements can substantially improve our understanding of the complex nature of charge-carrier processes in metal-halide perovskites, including, for instance, charge separation, trapping, and surface and bulk recombination. In this work, we demonstrate that TRPL measurements combined with powerful analytical models and additional supporting experiments can reveal insights into the charge-carrier dynamics that go beyond the determination of minority-charge-carrier lifetimes. While taking into account doping and photon recycling in the absorber layer, we investigate surface and bulk recombination (trap-assisted, radiative, and Auger) by means of the shape of photoluminescence transients. The observed long effective lifetime indicates high material purity and good passivation of perovskite surfaces with exceptionally low surface recombination velocities on the order of about 10 cm/s. Finally, we show how to predict the potential open-circuit voltage for a device with ideal contacts based on the transient and steady-state photoluminescence data from a perovskite absorber film and including the effect of photon recycling.","author":[{"dropping-particle":"","family":"Staub","given":"Florian","non-dropping-particle":"","parse-names":false,"suffix":""},{"dropping-particle":"","family":"Hempel","given":"Hannes","non-dropping-particle":"","parse-names":false,"suffix":""},{"dropping-particle":"","family":"Hebig","given":"Jan-Christoph","non-dropping-particle":"","parse-names":false,"suffix":""},{"dropping-particle":"","family":"Mock","given":"Jan","non-dropping-particle":"","parse-names":false,"suffix":""},{"dropping-particle":"","family":"Paetzold","given":"Ulrich W.","non-dropping-particle":"","parse-names":false,"suffix":""},{"dropping-particle":"","family":"Rau","given":"Uwe","non-dropping-particle":"","parse-names":false,"suffix":""},{"dropping-particle":"","family":"Unold","given":"Thomas","non-dropping-particle":"","parse-names":false,"suffix":""},{"dropping-particle":"","family":"Kirchartz","given":"Thomas","non-dropping-particle":"","parse-names":false,"suffix":""}],"container-title":"Physical Review Applied","id":"ITEM-1","issue":"4","issued":{"date-parts":[["2016","10","26"]]},"page":"044017","title":"Beyond Bulk Lifetimes: Insights into Lead Halide Perovskite Films from Time-Resolved Photoluminescence","type":"article-journal","volume":"6"},"uris":["http://www.mendeley.com/documents/?uuid=0cdd89c8-8a31-48b3-a857-0f4bd45f80b5"]}],"mendeley":{"formattedCitation":"&lt;sup&gt;15&lt;/sup&gt;","plainTextFormattedCitation":"15","previouslyFormattedCitation":"&lt;sup&gt;15&lt;/sup&gt;"},"properties":{"noteIndex":0},"schema":"https://github.com/citation-style-language/schema/raw/master/csl-citation.json"}</w:instrText>
            </w:r>
            <w:r w:rsidRPr="00927761">
              <w:rPr>
                <w:sz w:val="21"/>
                <w:vertAlign w:val="superscript"/>
                <w:lang w:val="en-GB"/>
              </w:rPr>
              <w:fldChar w:fldCharType="separate"/>
            </w:r>
            <w:r w:rsidRPr="00F261CA">
              <w:rPr>
                <w:noProof/>
                <w:sz w:val="21"/>
                <w:vertAlign w:val="superscript"/>
                <w:lang w:val="en-GB"/>
              </w:rPr>
              <w:t>15</w:t>
            </w:r>
            <w:r w:rsidRPr="00927761">
              <w:rPr>
                <w:sz w:val="21"/>
                <w:lang w:val="en-GB"/>
              </w:rPr>
              <w:fldChar w:fldCharType="end"/>
            </w:r>
          </w:p>
        </w:tc>
      </w:tr>
      <w:tr w:rsidR="00345759" w:rsidRPr="00927761" w14:paraId="21C6B541" w14:textId="77777777" w:rsidTr="00027E96">
        <w:trPr>
          <w:jc w:val="center"/>
        </w:trPr>
        <w:tc>
          <w:tcPr>
            <w:tcW w:w="3097" w:type="dxa"/>
            <w:tcBorders>
              <w:top w:val="dotted" w:sz="4" w:space="0" w:color="auto"/>
              <w:left w:val="single" w:sz="4" w:space="0" w:color="auto"/>
              <w:bottom w:val="dotted" w:sz="4" w:space="0" w:color="auto"/>
              <w:right w:val="nil"/>
            </w:tcBorders>
          </w:tcPr>
          <w:p w14:paraId="6870D3CA" w14:textId="77777777" w:rsidR="00345759" w:rsidRPr="00927761" w:rsidRDefault="00345759" w:rsidP="00027E96">
            <w:pPr>
              <w:spacing w:line="276" w:lineRule="auto"/>
              <w:rPr>
                <w:sz w:val="21"/>
                <w:lang w:val="en-GB"/>
              </w:rPr>
            </w:pPr>
            <w:r w:rsidRPr="00927761">
              <w:rPr>
                <w:sz w:val="21"/>
                <w:lang w:val="en-GB"/>
              </w:rPr>
              <w:t>Effective ion density</w:t>
            </w:r>
          </w:p>
        </w:tc>
        <w:tc>
          <w:tcPr>
            <w:tcW w:w="987" w:type="dxa"/>
            <w:tcBorders>
              <w:top w:val="dotted" w:sz="4" w:space="0" w:color="auto"/>
              <w:left w:val="nil"/>
              <w:bottom w:val="dotted" w:sz="4" w:space="0" w:color="auto"/>
              <w:right w:val="nil"/>
            </w:tcBorders>
          </w:tcPr>
          <w:p w14:paraId="4B79CF5D"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N</m:t>
                    </m:r>
                  </m:e>
                  <m:sub>
                    <m:r>
                      <m:rPr>
                        <m:sty m:val="p"/>
                      </m:rPr>
                      <w:rPr>
                        <w:rFonts w:ascii="Cambria Math" w:hAnsi="Cambria Math"/>
                        <w:sz w:val="21"/>
                        <w:lang w:val="en-GB"/>
                      </w:rPr>
                      <m:t>ion</m:t>
                    </m:r>
                  </m:sub>
                </m:sSub>
              </m:oMath>
            </m:oMathPara>
          </w:p>
        </w:tc>
        <w:tc>
          <w:tcPr>
            <w:tcW w:w="987" w:type="dxa"/>
            <w:tcBorders>
              <w:top w:val="dotted" w:sz="4" w:space="0" w:color="auto"/>
              <w:left w:val="nil"/>
              <w:bottom w:val="dotted" w:sz="4" w:space="0" w:color="auto"/>
              <w:right w:val="nil"/>
            </w:tcBorders>
          </w:tcPr>
          <w:p w14:paraId="1B14FA9B" w14:textId="77777777" w:rsidR="00345759" w:rsidRPr="00927761" w:rsidRDefault="00345759" w:rsidP="00027E96">
            <w:pPr>
              <w:spacing w:line="276" w:lineRule="auto"/>
              <w:rPr>
                <w:sz w:val="21"/>
                <w:lang w:val="en-GB"/>
              </w:rPr>
            </w:pPr>
            <w:r w:rsidRPr="00927761">
              <w:rPr>
                <w:sz w:val="21"/>
                <w:lang w:val="en-GB"/>
              </w:rPr>
              <w:t>variable</w:t>
            </w:r>
          </w:p>
        </w:tc>
        <w:tc>
          <w:tcPr>
            <w:tcW w:w="734" w:type="dxa"/>
            <w:tcBorders>
              <w:top w:val="dotted" w:sz="4" w:space="0" w:color="auto"/>
              <w:left w:val="nil"/>
              <w:bottom w:val="dotted" w:sz="4" w:space="0" w:color="auto"/>
              <w:right w:val="nil"/>
            </w:tcBorders>
          </w:tcPr>
          <w:p w14:paraId="0EDEBB4B"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-3</w:t>
            </w:r>
          </w:p>
        </w:tc>
        <w:tc>
          <w:tcPr>
            <w:tcW w:w="712" w:type="dxa"/>
            <w:tcBorders>
              <w:top w:val="dotted" w:sz="4" w:space="0" w:color="auto"/>
              <w:left w:val="nil"/>
              <w:bottom w:val="dotted" w:sz="4" w:space="0" w:color="auto"/>
              <w:right w:val="single" w:sz="4" w:space="0" w:color="auto"/>
            </w:tcBorders>
          </w:tcPr>
          <w:p w14:paraId="11C3DB74" w14:textId="77777777" w:rsidR="00345759" w:rsidRPr="00927761" w:rsidRDefault="00345759" w:rsidP="00027E96">
            <w:pPr>
              <w:spacing w:line="276" w:lineRule="auto"/>
              <w:jc w:val="both"/>
              <w:rPr>
                <w:sz w:val="21"/>
                <w:lang w:val="en-GB"/>
              </w:rPr>
            </w:pPr>
          </w:p>
        </w:tc>
      </w:tr>
      <w:tr w:rsidR="00345759" w:rsidRPr="00927761" w14:paraId="080E1DF8" w14:textId="77777777" w:rsidTr="00027E96">
        <w:trPr>
          <w:jc w:val="center"/>
        </w:trPr>
        <w:tc>
          <w:tcPr>
            <w:tcW w:w="3097" w:type="dxa"/>
            <w:tcBorders>
              <w:top w:val="dotted" w:sz="4" w:space="0" w:color="auto"/>
              <w:left w:val="single" w:sz="4" w:space="0" w:color="auto"/>
              <w:bottom w:val="dotted" w:sz="4" w:space="0" w:color="auto"/>
              <w:right w:val="nil"/>
            </w:tcBorders>
          </w:tcPr>
          <w:p w14:paraId="5F24365C" w14:textId="77777777" w:rsidR="00345759" w:rsidRPr="00927761" w:rsidRDefault="00345759" w:rsidP="00027E96">
            <w:pPr>
              <w:spacing w:line="276" w:lineRule="auto"/>
              <w:rPr>
                <w:sz w:val="21"/>
                <w:lang w:val="en-GB"/>
              </w:rPr>
            </w:pPr>
            <w:r w:rsidRPr="00927761">
              <w:rPr>
                <w:sz w:val="21"/>
                <w:lang w:val="en-GB"/>
              </w:rPr>
              <w:t>Effective ion diffusion constant</w:t>
            </w:r>
          </w:p>
        </w:tc>
        <w:tc>
          <w:tcPr>
            <w:tcW w:w="987" w:type="dxa"/>
            <w:tcBorders>
              <w:top w:val="dotted" w:sz="4" w:space="0" w:color="auto"/>
              <w:left w:val="nil"/>
              <w:bottom w:val="dotted" w:sz="4" w:space="0" w:color="auto"/>
              <w:right w:val="nil"/>
            </w:tcBorders>
          </w:tcPr>
          <w:p w14:paraId="0B4646A9" w14:textId="77777777" w:rsidR="00345759" w:rsidRPr="00927761" w:rsidRDefault="00345759" w:rsidP="00027E96">
            <w:pPr>
              <w:spacing w:line="276" w:lineRule="auto"/>
              <w:jc w:val="both"/>
              <w:rPr>
                <w:sz w:val="21"/>
                <w:lang w:val="en-GB"/>
              </w:rPr>
            </w:pPr>
            <m:oMathPara>
              <m:oMath>
                <m:sSub>
                  <m:sSubPr>
                    <m:ctrlPr>
                      <w:rPr>
                        <w:rFonts w:ascii="Cambria Math" w:hAnsi="Cambria Math"/>
                        <w:i/>
                        <w:sz w:val="21"/>
                        <w:lang w:val="en-GB"/>
                      </w:rPr>
                    </m:ctrlPr>
                  </m:sSubPr>
                  <m:e>
                    <m:r>
                      <w:rPr>
                        <w:rFonts w:ascii="Cambria Math" w:hAnsi="Cambria Math"/>
                        <w:sz w:val="21"/>
                        <w:lang w:val="en-GB"/>
                      </w:rPr>
                      <m:t>D</m:t>
                    </m:r>
                  </m:e>
                  <m:sub>
                    <m:r>
                      <m:rPr>
                        <m:sty m:val="p"/>
                      </m:rPr>
                      <w:rPr>
                        <w:rFonts w:ascii="Cambria Math" w:hAnsi="Cambria Math"/>
                        <w:sz w:val="21"/>
                        <w:lang w:val="en-GB"/>
                      </w:rPr>
                      <m:t>ion</m:t>
                    </m:r>
                  </m:sub>
                </m:sSub>
              </m:oMath>
            </m:oMathPara>
          </w:p>
        </w:tc>
        <w:tc>
          <w:tcPr>
            <w:tcW w:w="987" w:type="dxa"/>
            <w:tcBorders>
              <w:top w:val="dotted" w:sz="4" w:space="0" w:color="auto"/>
              <w:left w:val="nil"/>
              <w:bottom w:val="dotted" w:sz="4" w:space="0" w:color="auto"/>
              <w:right w:val="nil"/>
            </w:tcBorders>
          </w:tcPr>
          <w:p w14:paraId="22116FB4" w14:textId="77777777" w:rsidR="00345759" w:rsidRPr="00927761" w:rsidRDefault="00345759" w:rsidP="00027E96">
            <w:pPr>
              <w:spacing w:line="276" w:lineRule="auto"/>
              <w:rPr>
                <w:sz w:val="21"/>
                <w:lang w:val="en-GB"/>
              </w:rPr>
            </w:pPr>
            <w:r w:rsidRPr="00927761">
              <w:rPr>
                <w:sz w:val="21"/>
                <w:lang w:val="en-GB"/>
              </w:rPr>
              <w:t>5x10</w:t>
            </w:r>
            <w:r w:rsidRPr="00927761">
              <w:rPr>
                <w:sz w:val="21"/>
                <w:vertAlign w:val="superscript"/>
                <w:lang w:val="en-GB"/>
              </w:rPr>
              <w:t>-10</w:t>
            </w:r>
          </w:p>
        </w:tc>
        <w:tc>
          <w:tcPr>
            <w:tcW w:w="734" w:type="dxa"/>
            <w:tcBorders>
              <w:top w:val="dotted" w:sz="4" w:space="0" w:color="auto"/>
              <w:left w:val="nil"/>
              <w:bottom w:val="dotted" w:sz="4" w:space="0" w:color="auto"/>
              <w:right w:val="nil"/>
            </w:tcBorders>
          </w:tcPr>
          <w:p w14:paraId="11F7099C" w14:textId="77777777" w:rsidR="00345759" w:rsidRPr="00927761" w:rsidRDefault="00345759" w:rsidP="00027E96">
            <w:pPr>
              <w:spacing w:line="276" w:lineRule="auto"/>
              <w:rPr>
                <w:sz w:val="21"/>
                <w:lang w:val="en-GB"/>
              </w:rPr>
            </w:pPr>
            <w:r w:rsidRPr="00927761">
              <w:rPr>
                <w:sz w:val="21"/>
                <w:lang w:val="en-GB"/>
              </w:rPr>
              <w:t>cm</w:t>
            </w:r>
            <w:r w:rsidRPr="00927761">
              <w:rPr>
                <w:sz w:val="21"/>
                <w:vertAlign w:val="superscript"/>
                <w:lang w:val="en-GB"/>
              </w:rPr>
              <w:t>2</w:t>
            </w:r>
            <w:r w:rsidRPr="00927761">
              <w:rPr>
                <w:sz w:val="21"/>
                <w:lang w:val="en-GB"/>
              </w:rPr>
              <w:t>/s</w:t>
            </w:r>
          </w:p>
        </w:tc>
        <w:tc>
          <w:tcPr>
            <w:tcW w:w="712" w:type="dxa"/>
            <w:tcBorders>
              <w:top w:val="dotted" w:sz="4" w:space="0" w:color="auto"/>
              <w:left w:val="nil"/>
              <w:bottom w:val="dotted" w:sz="4" w:space="0" w:color="auto"/>
              <w:right w:val="single" w:sz="4" w:space="0" w:color="auto"/>
            </w:tcBorders>
          </w:tcPr>
          <w:p w14:paraId="4D386882" w14:textId="77777777" w:rsidR="00345759" w:rsidRPr="00927761" w:rsidRDefault="00345759" w:rsidP="00027E96">
            <w:pPr>
              <w:spacing w:line="276" w:lineRule="auto"/>
              <w:jc w:val="both"/>
              <w:rPr>
                <w:sz w:val="21"/>
                <w:lang w:val="en-GB"/>
              </w:rPr>
            </w:pPr>
          </w:p>
        </w:tc>
      </w:tr>
    </w:tbl>
    <w:p w14:paraId="20A0654C" w14:textId="77777777" w:rsidR="00345759" w:rsidRDefault="00345759" w:rsidP="00345759">
      <w:pPr>
        <w:jc w:val="both"/>
        <w:rPr>
          <w:b/>
          <w:sz w:val="24"/>
          <w:szCs w:val="24"/>
          <w:lang w:val="en-GB"/>
        </w:rPr>
      </w:pPr>
      <w:r w:rsidRPr="00DE5BC7">
        <w:rPr>
          <w:b/>
          <w:sz w:val="24"/>
          <w:szCs w:val="24"/>
          <w:lang w:val="en-GB"/>
        </w:rPr>
        <w:t>Supplementary References</w:t>
      </w:r>
      <w:r>
        <w:rPr>
          <w:b/>
          <w:sz w:val="24"/>
          <w:szCs w:val="24"/>
          <w:lang w:val="en-GB"/>
        </w:rPr>
        <w:t>:</w:t>
      </w:r>
    </w:p>
    <w:p w14:paraId="445AE2E9"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Pr>
          <w:b/>
          <w:sz w:val="24"/>
          <w:szCs w:val="24"/>
          <w:lang w:val="en-GB"/>
        </w:rPr>
        <w:fldChar w:fldCharType="begin" w:fldLock="1"/>
      </w:r>
      <w:r>
        <w:rPr>
          <w:b/>
          <w:sz w:val="24"/>
          <w:szCs w:val="24"/>
          <w:lang w:val="en-GB"/>
        </w:rPr>
        <w:instrText xml:space="preserve">ADDIN Mendeley Bibliography CSL_BIBLIOGRAPHY </w:instrText>
      </w:r>
      <w:r>
        <w:rPr>
          <w:b/>
          <w:sz w:val="24"/>
          <w:szCs w:val="24"/>
          <w:lang w:val="en-GB"/>
        </w:rPr>
        <w:fldChar w:fldCharType="separate"/>
      </w:r>
      <w:r w:rsidRPr="001E3920">
        <w:rPr>
          <w:rFonts w:ascii="Calibri" w:hAnsi="Calibri" w:cs="Calibri"/>
          <w:noProof/>
          <w:sz w:val="24"/>
          <w:szCs w:val="24"/>
        </w:rPr>
        <w:t>1.</w:t>
      </w:r>
      <w:r w:rsidRPr="001E3920">
        <w:rPr>
          <w:rFonts w:ascii="Calibri" w:hAnsi="Calibri" w:cs="Calibri"/>
          <w:noProof/>
          <w:sz w:val="24"/>
          <w:szCs w:val="24"/>
        </w:rPr>
        <w:tab/>
        <w:t xml:space="preserve">Aeberhard, U. </w:t>
      </w:r>
      <w:r w:rsidRPr="001E3920">
        <w:rPr>
          <w:rFonts w:ascii="Calibri" w:hAnsi="Calibri" w:cs="Calibri"/>
          <w:i/>
          <w:iCs/>
          <w:noProof/>
          <w:sz w:val="24"/>
          <w:szCs w:val="24"/>
        </w:rPr>
        <w:t>et al.</w:t>
      </w:r>
      <w:r w:rsidRPr="001E3920">
        <w:rPr>
          <w:rFonts w:ascii="Calibri" w:hAnsi="Calibri" w:cs="Calibri"/>
          <w:noProof/>
          <w:sz w:val="24"/>
          <w:szCs w:val="24"/>
        </w:rPr>
        <w:t xml:space="preserve"> Numerical Optimization of Organic and Hybrid Multijunction Solar Cells. in </w:t>
      </w:r>
      <w:r w:rsidRPr="001E3920">
        <w:rPr>
          <w:rFonts w:ascii="Calibri" w:hAnsi="Calibri" w:cs="Calibri"/>
          <w:i/>
          <w:iCs/>
          <w:noProof/>
          <w:sz w:val="24"/>
          <w:szCs w:val="24"/>
        </w:rPr>
        <w:t>2019 IEEE 46th Photovoltaic Specialists Conference (PVSC)</w:t>
      </w:r>
      <w:r w:rsidRPr="001E3920">
        <w:rPr>
          <w:rFonts w:ascii="Calibri" w:hAnsi="Calibri" w:cs="Calibri"/>
          <w:noProof/>
          <w:sz w:val="24"/>
          <w:szCs w:val="24"/>
        </w:rPr>
        <w:t xml:space="preserve"> 0105–0111 (IEEE, 2019). doi:10.1109/PVSC40753.2019.8980824</w:t>
      </w:r>
    </w:p>
    <w:p w14:paraId="6DBFD75D"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2.</w:t>
      </w:r>
      <w:r w:rsidRPr="001E3920">
        <w:rPr>
          <w:rFonts w:ascii="Calibri" w:hAnsi="Calibri" w:cs="Calibri"/>
          <w:noProof/>
          <w:sz w:val="24"/>
          <w:szCs w:val="24"/>
        </w:rPr>
        <w:tab/>
        <w:t xml:space="preserve">Courtier, N. E., Cave, J. M., Walker, A. B., Richardson, G. &amp; Foster, J. M. IonMonger: a free and fast planar perovskite solar cell simulator with coupled ion vacancy and charge carrier dynamics. </w:t>
      </w:r>
      <w:r w:rsidRPr="001E3920">
        <w:rPr>
          <w:rFonts w:ascii="Calibri" w:hAnsi="Calibri" w:cs="Calibri"/>
          <w:i/>
          <w:iCs/>
          <w:noProof/>
          <w:sz w:val="24"/>
          <w:szCs w:val="24"/>
        </w:rPr>
        <w:t>J. Comput. Electron.</w:t>
      </w:r>
      <w:r w:rsidRPr="001E3920">
        <w:rPr>
          <w:rFonts w:ascii="Calibri" w:hAnsi="Calibri" w:cs="Calibri"/>
          <w:noProof/>
          <w:sz w:val="24"/>
          <w:szCs w:val="24"/>
        </w:rPr>
        <w:t xml:space="preserve"> </w:t>
      </w:r>
      <w:r w:rsidRPr="001E3920">
        <w:rPr>
          <w:rFonts w:ascii="Calibri" w:hAnsi="Calibri" w:cs="Calibri"/>
          <w:b/>
          <w:bCs/>
          <w:noProof/>
          <w:sz w:val="24"/>
          <w:szCs w:val="24"/>
        </w:rPr>
        <w:t>18</w:t>
      </w:r>
      <w:r w:rsidRPr="001E3920">
        <w:rPr>
          <w:rFonts w:ascii="Calibri" w:hAnsi="Calibri" w:cs="Calibri"/>
          <w:noProof/>
          <w:sz w:val="24"/>
          <w:szCs w:val="24"/>
        </w:rPr>
        <w:t>, 1435–1449 (2019).</w:t>
      </w:r>
    </w:p>
    <w:p w14:paraId="73B5F900"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3.</w:t>
      </w:r>
      <w:r w:rsidRPr="001E3920">
        <w:rPr>
          <w:rFonts w:ascii="Calibri" w:hAnsi="Calibri" w:cs="Calibri"/>
          <w:noProof/>
          <w:sz w:val="24"/>
          <w:szCs w:val="24"/>
        </w:rPr>
        <w:tab/>
        <w:t xml:space="preserve">Diekmann, J. </w:t>
      </w:r>
      <w:r w:rsidRPr="001E3920">
        <w:rPr>
          <w:rFonts w:ascii="Calibri" w:hAnsi="Calibri" w:cs="Calibri"/>
          <w:i/>
          <w:iCs/>
          <w:noProof/>
          <w:sz w:val="24"/>
          <w:szCs w:val="24"/>
        </w:rPr>
        <w:t>et al.</w:t>
      </w:r>
      <w:r w:rsidRPr="001E3920">
        <w:rPr>
          <w:rFonts w:ascii="Calibri" w:hAnsi="Calibri" w:cs="Calibri"/>
          <w:noProof/>
          <w:sz w:val="24"/>
          <w:szCs w:val="24"/>
        </w:rPr>
        <w:t xml:space="preserve"> Pathways toward 30% Efficient Single‐Junction Perovskite Solar Cells and the Role of Mobile Ions. </w:t>
      </w:r>
      <w:r w:rsidRPr="001E3920">
        <w:rPr>
          <w:rFonts w:ascii="Calibri" w:hAnsi="Calibri" w:cs="Calibri"/>
          <w:i/>
          <w:iCs/>
          <w:noProof/>
          <w:sz w:val="24"/>
          <w:szCs w:val="24"/>
        </w:rPr>
        <w:t>Sol. RRL</w:t>
      </w:r>
      <w:r w:rsidRPr="001E3920">
        <w:rPr>
          <w:rFonts w:ascii="Calibri" w:hAnsi="Calibri" w:cs="Calibri"/>
          <w:noProof/>
          <w:sz w:val="24"/>
          <w:szCs w:val="24"/>
        </w:rPr>
        <w:t xml:space="preserve"> </w:t>
      </w:r>
      <w:r w:rsidRPr="001E3920">
        <w:rPr>
          <w:rFonts w:ascii="Calibri" w:hAnsi="Calibri" w:cs="Calibri"/>
          <w:b/>
          <w:bCs/>
          <w:noProof/>
          <w:sz w:val="24"/>
          <w:szCs w:val="24"/>
        </w:rPr>
        <w:t>5</w:t>
      </w:r>
      <w:r w:rsidRPr="001E3920">
        <w:rPr>
          <w:rFonts w:ascii="Calibri" w:hAnsi="Calibri" w:cs="Calibri"/>
          <w:noProof/>
          <w:sz w:val="24"/>
          <w:szCs w:val="24"/>
        </w:rPr>
        <w:t>, 2100219 (2021).</w:t>
      </w:r>
    </w:p>
    <w:p w14:paraId="271E7CB2"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4.</w:t>
      </w:r>
      <w:r w:rsidRPr="001E3920">
        <w:rPr>
          <w:rFonts w:ascii="Calibri" w:hAnsi="Calibri" w:cs="Calibri"/>
          <w:noProof/>
          <w:sz w:val="24"/>
          <w:szCs w:val="24"/>
        </w:rPr>
        <w:tab/>
        <w:t xml:space="preserve">Onno, A., Chen, C. &amp; Holman, Z. C. Electron and hole partial specific resistances: A framework to understand contacts to solar cells. </w:t>
      </w:r>
      <w:r w:rsidRPr="001E3920">
        <w:rPr>
          <w:rFonts w:ascii="Calibri" w:hAnsi="Calibri" w:cs="Calibri"/>
          <w:i/>
          <w:iCs/>
          <w:noProof/>
          <w:sz w:val="24"/>
          <w:szCs w:val="24"/>
        </w:rPr>
        <w:t>Conf. Rec. IEEE Photovolt. Spec. Conf.</w:t>
      </w:r>
      <w:r w:rsidRPr="001E3920">
        <w:rPr>
          <w:rFonts w:ascii="Calibri" w:hAnsi="Calibri" w:cs="Calibri"/>
          <w:noProof/>
          <w:sz w:val="24"/>
          <w:szCs w:val="24"/>
        </w:rPr>
        <w:t xml:space="preserve"> 2329–2333 (2019). doi:10.1109/PVSC40753.2019.8980762</w:t>
      </w:r>
    </w:p>
    <w:p w14:paraId="57A290B4"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5.</w:t>
      </w:r>
      <w:r w:rsidRPr="001E3920">
        <w:rPr>
          <w:rFonts w:ascii="Calibri" w:hAnsi="Calibri" w:cs="Calibri"/>
          <w:noProof/>
          <w:sz w:val="24"/>
          <w:szCs w:val="24"/>
        </w:rPr>
        <w:tab/>
        <w:t xml:space="preserve">Würfel, P. &amp; Würfel, U. </w:t>
      </w:r>
      <w:r w:rsidRPr="001E3920">
        <w:rPr>
          <w:rFonts w:ascii="Calibri" w:hAnsi="Calibri" w:cs="Calibri"/>
          <w:i/>
          <w:iCs/>
          <w:noProof/>
          <w:sz w:val="24"/>
          <w:szCs w:val="24"/>
        </w:rPr>
        <w:t>Physics of Solar Cells: From Basic Principles to Advanced Concepts</w:t>
      </w:r>
      <w:r w:rsidRPr="001E3920">
        <w:rPr>
          <w:rFonts w:ascii="Calibri" w:hAnsi="Calibri" w:cs="Calibri"/>
          <w:noProof/>
          <w:sz w:val="24"/>
          <w:szCs w:val="24"/>
        </w:rPr>
        <w:t>. (Wiley-VCH, 2009).</w:t>
      </w:r>
    </w:p>
    <w:p w14:paraId="129633A4"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6.</w:t>
      </w:r>
      <w:r w:rsidRPr="001E3920">
        <w:rPr>
          <w:rFonts w:ascii="Calibri" w:hAnsi="Calibri" w:cs="Calibri"/>
          <w:noProof/>
          <w:sz w:val="24"/>
          <w:szCs w:val="24"/>
        </w:rPr>
        <w:tab/>
        <w:t xml:space="preserve">Kavadiya, S. </w:t>
      </w:r>
      <w:r w:rsidRPr="001E3920">
        <w:rPr>
          <w:rFonts w:ascii="Calibri" w:hAnsi="Calibri" w:cs="Calibri"/>
          <w:i/>
          <w:iCs/>
          <w:noProof/>
          <w:sz w:val="24"/>
          <w:szCs w:val="24"/>
        </w:rPr>
        <w:t>et al.</w:t>
      </w:r>
      <w:r w:rsidRPr="001E3920">
        <w:rPr>
          <w:rFonts w:ascii="Calibri" w:hAnsi="Calibri" w:cs="Calibri"/>
          <w:noProof/>
          <w:sz w:val="24"/>
          <w:szCs w:val="24"/>
        </w:rPr>
        <w:t xml:space="preserve"> Investigation of the Selectivity of Carrier Transport Layers in Wide-Bandgap Perovskite Solar Cells. </w:t>
      </w:r>
      <w:r w:rsidRPr="001E3920">
        <w:rPr>
          <w:rFonts w:ascii="Calibri" w:hAnsi="Calibri" w:cs="Calibri"/>
          <w:i/>
          <w:iCs/>
          <w:noProof/>
          <w:sz w:val="24"/>
          <w:szCs w:val="24"/>
        </w:rPr>
        <w:t>Sol. RRL</w:t>
      </w:r>
      <w:r w:rsidRPr="001E3920">
        <w:rPr>
          <w:rFonts w:ascii="Calibri" w:hAnsi="Calibri" w:cs="Calibri"/>
          <w:noProof/>
          <w:sz w:val="24"/>
          <w:szCs w:val="24"/>
        </w:rPr>
        <w:t xml:space="preserve"> </w:t>
      </w:r>
      <w:r w:rsidRPr="001E3920">
        <w:rPr>
          <w:rFonts w:ascii="Calibri" w:hAnsi="Calibri" w:cs="Calibri"/>
          <w:b/>
          <w:bCs/>
          <w:noProof/>
          <w:sz w:val="24"/>
          <w:szCs w:val="24"/>
        </w:rPr>
        <w:t>5</w:t>
      </w:r>
      <w:r w:rsidRPr="001E3920">
        <w:rPr>
          <w:rFonts w:ascii="Calibri" w:hAnsi="Calibri" w:cs="Calibri"/>
          <w:noProof/>
          <w:sz w:val="24"/>
          <w:szCs w:val="24"/>
        </w:rPr>
        <w:t>, 1–9 (2021).</w:t>
      </w:r>
    </w:p>
    <w:p w14:paraId="2747E3C9"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7.</w:t>
      </w:r>
      <w:r w:rsidRPr="001E3920">
        <w:rPr>
          <w:rFonts w:ascii="Calibri" w:hAnsi="Calibri" w:cs="Calibri"/>
          <w:noProof/>
          <w:sz w:val="24"/>
          <w:szCs w:val="24"/>
        </w:rPr>
        <w:tab/>
        <w:t xml:space="preserve">Stolterfoht, M. </w:t>
      </w:r>
      <w:r w:rsidRPr="001E3920">
        <w:rPr>
          <w:rFonts w:ascii="Calibri" w:hAnsi="Calibri" w:cs="Calibri"/>
          <w:i/>
          <w:iCs/>
          <w:noProof/>
          <w:sz w:val="24"/>
          <w:szCs w:val="24"/>
        </w:rPr>
        <w:t>et al.</w:t>
      </w:r>
      <w:r w:rsidRPr="001E3920">
        <w:rPr>
          <w:rFonts w:ascii="Calibri" w:hAnsi="Calibri" w:cs="Calibri"/>
          <w:noProof/>
          <w:sz w:val="24"/>
          <w:szCs w:val="24"/>
        </w:rPr>
        <w:t xml:space="preserve"> The impact of energy alignment and interfacial recombination on the internal and external open-circuit voltage of perovskite solar cells. </w:t>
      </w:r>
      <w:r w:rsidRPr="001E3920">
        <w:rPr>
          <w:rFonts w:ascii="Calibri" w:hAnsi="Calibri" w:cs="Calibri"/>
          <w:i/>
          <w:iCs/>
          <w:noProof/>
          <w:sz w:val="24"/>
          <w:szCs w:val="24"/>
        </w:rPr>
        <w:t>Energy Environ. Sci.</w:t>
      </w:r>
      <w:r w:rsidRPr="001E3920">
        <w:rPr>
          <w:rFonts w:ascii="Calibri" w:hAnsi="Calibri" w:cs="Calibri"/>
          <w:noProof/>
          <w:sz w:val="24"/>
          <w:szCs w:val="24"/>
        </w:rPr>
        <w:t xml:space="preserve"> </w:t>
      </w:r>
      <w:r w:rsidRPr="001E3920">
        <w:rPr>
          <w:rFonts w:ascii="Calibri" w:hAnsi="Calibri" w:cs="Calibri"/>
          <w:b/>
          <w:bCs/>
          <w:noProof/>
          <w:sz w:val="24"/>
          <w:szCs w:val="24"/>
        </w:rPr>
        <w:t>12</w:t>
      </w:r>
      <w:r w:rsidRPr="001E3920">
        <w:rPr>
          <w:rFonts w:ascii="Calibri" w:hAnsi="Calibri" w:cs="Calibri"/>
          <w:noProof/>
          <w:sz w:val="24"/>
          <w:szCs w:val="24"/>
        </w:rPr>
        <w:t>, 2778–2788 (2019).</w:t>
      </w:r>
    </w:p>
    <w:p w14:paraId="0BFA5B42"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8.</w:t>
      </w:r>
      <w:r w:rsidRPr="001E3920">
        <w:rPr>
          <w:rFonts w:ascii="Calibri" w:hAnsi="Calibri" w:cs="Calibri"/>
          <w:noProof/>
          <w:sz w:val="24"/>
          <w:szCs w:val="24"/>
        </w:rPr>
        <w:tab/>
        <w:t xml:space="preserve">Stolterfoht, M. </w:t>
      </w:r>
      <w:r w:rsidRPr="001E3920">
        <w:rPr>
          <w:rFonts w:ascii="Calibri" w:hAnsi="Calibri" w:cs="Calibri"/>
          <w:i/>
          <w:iCs/>
          <w:noProof/>
          <w:sz w:val="24"/>
          <w:szCs w:val="24"/>
        </w:rPr>
        <w:t>et al.</w:t>
      </w:r>
      <w:r w:rsidRPr="001E3920">
        <w:rPr>
          <w:rFonts w:ascii="Calibri" w:hAnsi="Calibri" w:cs="Calibri"/>
          <w:noProof/>
          <w:sz w:val="24"/>
          <w:szCs w:val="24"/>
        </w:rPr>
        <w:t xml:space="preserve"> Visualization and suppression of interfacial recombination for high-efficiency large-area pin perovskite solar cells. </w:t>
      </w:r>
      <w:r w:rsidRPr="001E3920">
        <w:rPr>
          <w:rFonts w:ascii="Calibri" w:hAnsi="Calibri" w:cs="Calibri"/>
          <w:i/>
          <w:iCs/>
          <w:noProof/>
          <w:sz w:val="24"/>
          <w:szCs w:val="24"/>
        </w:rPr>
        <w:t>Nat. Energy</w:t>
      </w:r>
      <w:r w:rsidRPr="001E3920">
        <w:rPr>
          <w:rFonts w:ascii="Calibri" w:hAnsi="Calibri" w:cs="Calibri"/>
          <w:noProof/>
          <w:sz w:val="24"/>
          <w:szCs w:val="24"/>
        </w:rPr>
        <w:t xml:space="preserve"> </w:t>
      </w:r>
      <w:r w:rsidRPr="001E3920">
        <w:rPr>
          <w:rFonts w:ascii="Calibri" w:hAnsi="Calibri" w:cs="Calibri"/>
          <w:b/>
          <w:bCs/>
          <w:noProof/>
          <w:sz w:val="24"/>
          <w:szCs w:val="24"/>
        </w:rPr>
        <w:t>3</w:t>
      </w:r>
      <w:r w:rsidRPr="001E3920">
        <w:rPr>
          <w:rFonts w:ascii="Calibri" w:hAnsi="Calibri" w:cs="Calibri"/>
          <w:noProof/>
          <w:sz w:val="24"/>
          <w:szCs w:val="24"/>
        </w:rPr>
        <w:t>, 847–854 (2018).</w:t>
      </w:r>
    </w:p>
    <w:p w14:paraId="1E8BA029"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9.</w:t>
      </w:r>
      <w:r w:rsidRPr="001E3920">
        <w:rPr>
          <w:rFonts w:ascii="Calibri" w:hAnsi="Calibri" w:cs="Calibri"/>
          <w:noProof/>
          <w:sz w:val="24"/>
          <w:szCs w:val="24"/>
        </w:rPr>
        <w:tab/>
        <w:t xml:space="preserve">Mendil, N., Daoudi, M., Berkai, Z. &amp; Belghachi, A. Disorder effect on carrier mobility in Fullerene organic semiconductor. </w:t>
      </w:r>
      <w:r w:rsidRPr="001E3920">
        <w:rPr>
          <w:rFonts w:ascii="Calibri" w:hAnsi="Calibri" w:cs="Calibri"/>
          <w:i/>
          <w:iCs/>
          <w:noProof/>
          <w:sz w:val="24"/>
          <w:szCs w:val="24"/>
        </w:rPr>
        <w:t>J. Phys. Conf. Ser.</w:t>
      </w:r>
      <w:r w:rsidRPr="001E3920">
        <w:rPr>
          <w:rFonts w:ascii="Calibri" w:hAnsi="Calibri" w:cs="Calibri"/>
          <w:noProof/>
          <w:sz w:val="24"/>
          <w:szCs w:val="24"/>
        </w:rPr>
        <w:t xml:space="preserve"> </w:t>
      </w:r>
      <w:r w:rsidRPr="001E3920">
        <w:rPr>
          <w:rFonts w:ascii="Calibri" w:hAnsi="Calibri" w:cs="Calibri"/>
          <w:b/>
          <w:bCs/>
          <w:noProof/>
          <w:sz w:val="24"/>
          <w:szCs w:val="24"/>
        </w:rPr>
        <w:t>647</w:t>
      </w:r>
      <w:r w:rsidRPr="001E3920">
        <w:rPr>
          <w:rFonts w:ascii="Calibri" w:hAnsi="Calibri" w:cs="Calibri"/>
          <w:noProof/>
          <w:sz w:val="24"/>
          <w:szCs w:val="24"/>
        </w:rPr>
        <w:t>, 012057 (2015).</w:t>
      </w:r>
    </w:p>
    <w:p w14:paraId="6D8C0CAC"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10.</w:t>
      </w:r>
      <w:r w:rsidRPr="001E3920">
        <w:rPr>
          <w:rFonts w:ascii="Calibri" w:hAnsi="Calibri" w:cs="Calibri"/>
          <w:noProof/>
          <w:sz w:val="24"/>
          <w:szCs w:val="24"/>
        </w:rPr>
        <w:tab/>
        <w:t xml:space="preserve">Luo, J. </w:t>
      </w:r>
      <w:r w:rsidRPr="001E3920">
        <w:rPr>
          <w:rFonts w:ascii="Calibri" w:hAnsi="Calibri" w:cs="Calibri"/>
          <w:i/>
          <w:iCs/>
          <w:noProof/>
          <w:sz w:val="24"/>
          <w:szCs w:val="24"/>
        </w:rPr>
        <w:t>et al.</w:t>
      </w:r>
      <w:r w:rsidRPr="001E3920">
        <w:rPr>
          <w:rFonts w:ascii="Calibri" w:hAnsi="Calibri" w:cs="Calibri"/>
          <w:noProof/>
          <w:sz w:val="24"/>
          <w:szCs w:val="24"/>
        </w:rPr>
        <w:t xml:space="preserve"> Toward high-efficiency, hysteresis-less, stable perovskite solar cells: Unusual doping of a hole-transporting material using a fluorine-containing hydrophobic Lewis acid. </w:t>
      </w:r>
      <w:r w:rsidRPr="001E3920">
        <w:rPr>
          <w:rFonts w:ascii="Calibri" w:hAnsi="Calibri" w:cs="Calibri"/>
          <w:i/>
          <w:iCs/>
          <w:noProof/>
          <w:sz w:val="24"/>
          <w:szCs w:val="24"/>
        </w:rPr>
        <w:t>Energy Environ. Sci.</w:t>
      </w:r>
      <w:r w:rsidRPr="001E3920">
        <w:rPr>
          <w:rFonts w:ascii="Calibri" w:hAnsi="Calibri" w:cs="Calibri"/>
          <w:noProof/>
          <w:sz w:val="24"/>
          <w:szCs w:val="24"/>
        </w:rPr>
        <w:t xml:space="preserve"> </w:t>
      </w:r>
      <w:r w:rsidRPr="001E3920">
        <w:rPr>
          <w:rFonts w:ascii="Calibri" w:hAnsi="Calibri" w:cs="Calibri"/>
          <w:b/>
          <w:bCs/>
          <w:noProof/>
          <w:sz w:val="24"/>
          <w:szCs w:val="24"/>
        </w:rPr>
        <w:t>11</w:t>
      </w:r>
      <w:r w:rsidRPr="001E3920">
        <w:rPr>
          <w:rFonts w:ascii="Calibri" w:hAnsi="Calibri" w:cs="Calibri"/>
          <w:noProof/>
          <w:sz w:val="24"/>
          <w:szCs w:val="24"/>
        </w:rPr>
        <w:t>, 2035–2045 (2018).</w:t>
      </w:r>
    </w:p>
    <w:p w14:paraId="30CF2323"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lastRenderedPageBreak/>
        <w:t>11.</w:t>
      </w:r>
      <w:r w:rsidRPr="001E3920">
        <w:rPr>
          <w:rFonts w:ascii="Calibri" w:hAnsi="Calibri" w:cs="Calibri"/>
          <w:noProof/>
          <w:sz w:val="24"/>
          <w:szCs w:val="24"/>
        </w:rPr>
        <w:tab/>
        <w:t xml:space="preserve">Torabi, S. </w:t>
      </w:r>
      <w:r w:rsidRPr="001E3920">
        <w:rPr>
          <w:rFonts w:ascii="Calibri" w:hAnsi="Calibri" w:cs="Calibri"/>
          <w:i/>
          <w:iCs/>
          <w:noProof/>
          <w:sz w:val="24"/>
          <w:szCs w:val="24"/>
        </w:rPr>
        <w:t>et al.</w:t>
      </w:r>
      <w:r w:rsidRPr="001E3920">
        <w:rPr>
          <w:rFonts w:ascii="Calibri" w:hAnsi="Calibri" w:cs="Calibri"/>
          <w:noProof/>
          <w:sz w:val="24"/>
          <w:szCs w:val="24"/>
        </w:rPr>
        <w:t xml:space="preserve"> Strategy for enhancing the dielectric constant of organic semiconductors without sacrificing charge carrier mobility and solubility. </w:t>
      </w:r>
      <w:r w:rsidRPr="001E3920">
        <w:rPr>
          <w:rFonts w:ascii="Calibri" w:hAnsi="Calibri" w:cs="Calibri"/>
          <w:i/>
          <w:iCs/>
          <w:noProof/>
          <w:sz w:val="24"/>
          <w:szCs w:val="24"/>
        </w:rPr>
        <w:t>Adv. Funct. Mater.</w:t>
      </w:r>
      <w:r w:rsidRPr="001E3920">
        <w:rPr>
          <w:rFonts w:ascii="Calibri" w:hAnsi="Calibri" w:cs="Calibri"/>
          <w:noProof/>
          <w:sz w:val="24"/>
          <w:szCs w:val="24"/>
        </w:rPr>
        <w:t xml:space="preserve"> </w:t>
      </w:r>
      <w:r w:rsidRPr="001E3920">
        <w:rPr>
          <w:rFonts w:ascii="Calibri" w:hAnsi="Calibri" w:cs="Calibri"/>
          <w:b/>
          <w:bCs/>
          <w:noProof/>
          <w:sz w:val="24"/>
          <w:szCs w:val="24"/>
        </w:rPr>
        <w:t>25</w:t>
      </w:r>
      <w:r w:rsidRPr="001E3920">
        <w:rPr>
          <w:rFonts w:ascii="Calibri" w:hAnsi="Calibri" w:cs="Calibri"/>
          <w:noProof/>
          <w:sz w:val="24"/>
          <w:szCs w:val="24"/>
        </w:rPr>
        <w:t>, 150–157 (2015).</w:t>
      </w:r>
    </w:p>
    <w:p w14:paraId="1583CAE9"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12.</w:t>
      </w:r>
      <w:r w:rsidRPr="001E3920">
        <w:rPr>
          <w:rFonts w:ascii="Calibri" w:hAnsi="Calibri" w:cs="Calibri"/>
          <w:noProof/>
          <w:sz w:val="24"/>
          <w:szCs w:val="24"/>
        </w:rPr>
        <w:tab/>
        <w:t xml:space="preserve">Brivio, F., Butler, K. T., Walsh, A. &amp; Van Schilfgaarde, M. Relativistic quasiparticle self-consistent electronic structure of hybrid halide perovskite photovoltaic absorbers. </w:t>
      </w:r>
      <w:r w:rsidRPr="001E3920">
        <w:rPr>
          <w:rFonts w:ascii="Calibri" w:hAnsi="Calibri" w:cs="Calibri"/>
          <w:i/>
          <w:iCs/>
          <w:noProof/>
          <w:sz w:val="24"/>
          <w:szCs w:val="24"/>
        </w:rPr>
        <w:t>Phys. Rev. B - Condens. Matter Mater. Phys.</w:t>
      </w:r>
      <w:r w:rsidRPr="001E3920">
        <w:rPr>
          <w:rFonts w:ascii="Calibri" w:hAnsi="Calibri" w:cs="Calibri"/>
          <w:noProof/>
          <w:sz w:val="24"/>
          <w:szCs w:val="24"/>
        </w:rPr>
        <w:t xml:space="preserve"> </w:t>
      </w:r>
      <w:r w:rsidRPr="001E3920">
        <w:rPr>
          <w:rFonts w:ascii="Calibri" w:hAnsi="Calibri" w:cs="Calibri"/>
          <w:b/>
          <w:bCs/>
          <w:noProof/>
          <w:sz w:val="24"/>
          <w:szCs w:val="24"/>
        </w:rPr>
        <w:t>89</w:t>
      </w:r>
      <w:r w:rsidRPr="001E3920">
        <w:rPr>
          <w:rFonts w:ascii="Calibri" w:hAnsi="Calibri" w:cs="Calibri"/>
          <w:noProof/>
          <w:sz w:val="24"/>
          <w:szCs w:val="24"/>
        </w:rPr>
        <w:t>, 1–6 (2014).</w:t>
      </w:r>
    </w:p>
    <w:p w14:paraId="7C0C1446"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13.</w:t>
      </w:r>
      <w:r w:rsidRPr="001E3920">
        <w:rPr>
          <w:rFonts w:ascii="Calibri" w:hAnsi="Calibri" w:cs="Calibri"/>
          <w:noProof/>
          <w:sz w:val="24"/>
          <w:szCs w:val="24"/>
        </w:rPr>
        <w:tab/>
        <w:t xml:space="preserve">Chern, G., Mathias, H., Testardi, L. R., Seger, L. &amp; Schlenoff, J. Low-frequency dielectric permittivity of C60. </w:t>
      </w:r>
      <w:r w:rsidRPr="001E3920">
        <w:rPr>
          <w:rFonts w:ascii="Calibri" w:hAnsi="Calibri" w:cs="Calibri"/>
          <w:i/>
          <w:iCs/>
          <w:noProof/>
          <w:sz w:val="24"/>
          <w:szCs w:val="24"/>
        </w:rPr>
        <w:t>J. Supercond.</w:t>
      </w:r>
      <w:r w:rsidRPr="001E3920">
        <w:rPr>
          <w:rFonts w:ascii="Calibri" w:hAnsi="Calibri" w:cs="Calibri"/>
          <w:noProof/>
          <w:sz w:val="24"/>
          <w:szCs w:val="24"/>
        </w:rPr>
        <w:t xml:space="preserve"> </w:t>
      </w:r>
      <w:r w:rsidRPr="001E3920">
        <w:rPr>
          <w:rFonts w:ascii="Calibri" w:hAnsi="Calibri" w:cs="Calibri"/>
          <w:b/>
          <w:bCs/>
          <w:noProof/>
          <w:sz w:val="24"/>
          <w:szCs w:val="24"/>
        </w:rPr>
        <w:t>8</w:t>
      </w:r>
      <w:r w:rsidRPr="001E3920">
        <w:rPr>
          <w:rFonts w:ascii="Calibri" w:hAnsi="Calibri" w:cs="Calibri"/>
          <w:noProof/>
          <w:sz w:val="24"/>
          <w:szCs w:val="24"/>
        </w:rPr>
        <w:t>, 207–210 (1995).</w:t>
      </w:r>
    </w:p>
    <w:p w14:paraId="7672B424"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szCs w:val="24"/>
        </w:rPr>
      </w:pPr>
      <w:r w:rsidRPr="001E3920">
        <w:rPr>
          <w:rFonts w:ascii="Calibri" w:hAnsi="Calibri" w:cs="Calibri"/>
          <w:noProof/>
          <w:sz w:val="24"/>
          <w:szCs w:val="24"/>
        </w:rPr>
        <w:t>14.</w:t>
      </w:r>
      <w:r w:rsidRPr="001E3920">
        <w:rPr>
          <w:rFonts w:ascii="Calibri" w:hAnsi="Calibri" w:cs="Calibri"/>
          <w:noProof/>
          <w:sz w:val="24"/>
          <w:szCs w:val="24"/>
        </w:rPr>
        <w:tab/>
        <w:t xml:space="preserve">Kirchartz, T. </w:t>
      </w:r>
      <w:r w:rsidRPr="001E3920">
        <w:rPr>
          <w:rFonts w:ascii="Calibri" w:hAnsi="Calibri" w:cs="Calibri"/>
          <w:i/>
          <w:iCs/>
          <w:noProof/>
          <w:sz w:val="24"/>
          <w:szCs w:val="24"/>
        </w:rPr>
        <w:t>et al.</w:t>
      </w:r>
      <w:r w:rsidRPr="001E3920">
        <w:rPr>
          <w:rFonts w:ascii="Calibri" w:hAnsi="Calibri" w:cs="Calibri"/>
          <w:noProof/>
          <w:sz w:val="24"/>
          <w:szCs w:val="24"/>
        </w:rPr>
        <w:t xml:space="preserve"> Sensitivity of the Mott–Schottky analysis in organic solar cells. </w:t>
      </w:r>
      <w:r w:rsidRPr="001E3920">
        <w:rPr>
          <w:rFonts w:ascii="Calibri" w:hAnsi="Calibri" w:cs="Calibri"/>
          <w:i/>
          <w:iCs/>
          <w:noProof/>
          <w:sz w:val="24"/>
          <w:szCs w:val="24"/>
        </w:rPr>
        <w:t>J. Phys. Chem. C</w:t>
      </w:r>
      <w:r w:rsidRPr="001E3920">
        <w:rPr>
          <w:rFonts w:ascii="Calibri" w:hAnsi="Calibri" w:cs="Calibri"/>
          <w:noProof/>
          <w:sz w:val="24"/>
          <w:szCs w:val="24"/>
        </w:rPr>
        <w:t xml:space="preserve"> </w:t>
      </w:r>
      <w:r w:rsidRPr="001E3920">
        <w:rPr>
          <w:rFonts w:ascii="Calibri" w:hAnsi="Calibri" w:cs="Calibri"/>
          <w:b/>
          <w:bCs/>
          <w:noProof/>
          <w:sz w:val="24"/>
          <w:szCs w:val="24"/>
        </w:rPr>
        <w:t>116</w:t>
      </w:r>
      <w:r w:rsidRPr="001E3920">
        <w:rPr>
          <w:rFonts w:ascii="Calibri" w:hAnsi="Calibri" w:cs="Calibri"/>
          <w:noProof/>
          <w:sz w:val="24"/>
          <w:szCs w:val="24"/>
        </w:rPr>
        <w:t>, 7672–7680 (2012).</w:t>
      </w:r>
    </w:p>
    <w:p w14:paraId="2975CCE1" w14:textId="77777777" w:rsidR="00345759" w:rsidRPr="001E3920" w:rsidRDefault="00345759" w:rsidP="00345759">
      <w:pPr>
        <w:widowControl w:val="0"/>
        <w:autoSpaceDE w:val="0"/>
        <w:autoSpaceDN w:val="0"/>
        <w:adjustRightInd w:val="0"/>
        <w:spacing w:line="240" w:lineRule="auto"/>
        <w:ind w:left="640" w:hanging="640"/>
        <w:jc w:val="both"/>
        <w:rPr>
          <w:rFonts w:ascii="Calibri" w:hAnsi="Calibri" w:cs="Calibri"/>
          <w:noProof/>
          <w:sz w:val="24"/>
        </w:rPr>
      </w:pPr>
      <w:r w:rsidRPr="001E3920">
        <w:rPr>
          <w:rFonts w:ascii="Calibri" w:hAnsi="Calibri" w:cs="Calibri"/>
          <w:noProof/>
          <w:sz w:val="24"/>
          <w:szCs w:val="24"/>
        </w:rPr>
        <w:t>15.</w:t>
      </w:r>
      <w:r w:rsidRPr="001E3920">
        <w:rPr>
          <w:rFonts w:ascii="Calibri" w:hAnsi="Calibri" w:cs="Calibri"/>
          <w:noProof/>
          <w:sz w:val="24"/>
          <w:szCs w:val="24"/>
        </w:rPr>
        <w:tab/>
        <w:t xml:space="preserve">Staub, F. </w:t>
      </w:r>
      <w:r w:rsidRPr="001E3920">
        <w:rPr>
          <w:rFonts w:ascii="Calibri" w:hAnsi="Calibri" w:cs="Calibri"/>
          <w:i/>
          <w:iCs/>
          <w:noProof/>
          <w:sz w:val="24"/>
          <w:szCs w:val="24"/>
        </w:rPr>
        <w:t>et al.</w:t>
      </w:r>
      <w:r w:rsidRPr="001E3920">
        <w:rPr>
          <w:rFonts w:ascii="Calibri" w:hAnsi="Calibri" w:cs="Calibri"/>
          <w:noProof/>
          <w:sz w:val="24"/>
          <w:szCs w:val="24"/>
        </w:rPr>
        <w:t xml:space="preserve"> Beyond Bulk Lifetimes: Insights into Lead Halide Perovskite Films from Time-Resolved Photoluminescence. </w:t>
      </w:r>
      <w:r w:rsidRPr="001E3920">
        <w:rPr>
          <w:rFonts w:ascii="Calibri" w:hAnsi="Calibri" w:cs="Calibri"/>
          <w:i/>
          <w:iCs/>
          <w:noProof/>
          <w:sz w:val="24"/>
          <w:szCs w:val="24"/>
        </w:rPr>
        <w:t>Phys. Rev. Appl.</w:t>
      </w:r>
      <w:r w:rsidRPr="001E3920">
        <w:rPr>
          <w:rFonts w:ascii="Calibri" w:hAnsi="Calibri" w:cs="Calibri"/>
          <w:noProof/>
          <w:sz w:val="24"/>
          <w:szCs w:val="24"/>
        </w:rPr>
        <w:t xml:space="preserve"> </w:t>
      </w:r>
      <w:r w:rsidRPr="001E3920">
        <w:rPr>
          <w:rFonts w:ascii="Calibri" w:hAnsi="Calibri" w:cs="Calibri"/>
          <w:b/>
          <w:bCs/>
          <w:noProof/>
          <w:sz w:val="24"/>
          <w:szCs w:val="24"/>
        </w:rPr>
        <w:t>6</w:t>
      </w:r>
      <w:r w:rsidRPr="001E3920">
        <w:rPr>
          <w:rFonts w:ascii="Calibri" w:hAnsi="Calibri" w:cs="Calibri"/>
          <w:noProof/>
          <w:sz w:val="24"/>
          <w:szCs w:val="24"/>
        </w:rPr>
        <w:t>, 044017 (2016).</w:t>
      </w:r>
    </w:p>
    <w:p w14:paraId="35A6A724" w14:textId="27419AB2" w:rsidR="001760E5" w:rsidRDefault="00345759" w:rsidP="00345759">
      <w:r>
        <w:rPr>
          <w:b/>
          <w:sz w:val="24"/>
          <w:szCs w:val="24"/>
          <w:lang w:val="en-GB"/>
        </w:rPr>
        <w:fldChar w:fldCharType="end"/>
      </w:r>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26B7B"/>
    <w:multiLevelType w:val="hybridMultilevel"/>
    <w:tmpl w:val="B8B2F74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9A33334"/>
    <w:multiLevelType w:val="hybridMultilevel"/>
    <w:tmpl w:val="C4B856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7029E8"/>
    <w:multiLevelType w:val="hybridMultilevel"/>
    <w:tmpl w:val="1250C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E929C6"/>
    <w:multiLevelType w:val="hybridMultilevel"/>
    <w:tmpl w:val="9C1C4316"/>
    <w:lvl w:ilvl="0" w:tplc="18967D5A">
      <w:start w:val="1"/>
      <w:numFmt w:val="decimal"/>
      <w:lvlText w:val="%1."/>
      <w:lvlJc w:val="left"/>
      <w:pPr>
        <w:tabs>
          <w:tab w:val="num" w:pos="720"/>
        </w:tabs>
        <w:ind w:left="720" w:hanging="360"/>
      </w:pPr>
    </w:lvl>
    <w:lvl w:ilvl="1" w:tplc="5D88B9D6" w:tentative="1">
      <w:start w:val="1"/>
      <w:numFmt w:val="decimal"/>
      <w:lvlText w:val="%2."/>
      <w:lvlJc w:val="left"/>
      <w:pPr>
        <w:tabs>
          <w:tab w:val="num" w:pos="1440"/>
        </w:tabs>
        <w:ind w:left="1440" w:hanging="360"/>
      </w:pPr>
    </w:lvl>
    <w:lvl w:ilvl="2" w:tplc="FF8AF20A" w:tentative="1">
      <w:start w:val="1"/>
      <w:numFmt w:val="decimal"/>
      <w:lvlText w:val="%3."/>
      <w:lvlJc w:val="left"/>
      <w:pPr>
        <w:tabs>
          <w:tab w:val="num" w:pos="2160"/>
        </w:tabs>
        <w:ind w:left="2160" w:hanging="360"/>
      </w:pPr>
    </w:lvl>
    <w:lvl w:ilvl="3" w:tplc="0BDEA7AC" w:tentative="1">
      <w:start w:val="1"/>
      <w:numFmt w:val="decimal"/>
      <w:lvlText w:val="%4."/>
      <w:lvlJc w:val="left"/>
      <w:pPr>
        <w:tabs>
          <w:tab w:val="num" w:pos="2880"/>
        </w:tabs>
        <w:ind w:left="2880" w:hanging="360"/>
      </w:pPr>
    </w:lvl>
    <w:lvl w:ilvl="4" w:tplc="FA58C60A" w:tentative="1">
      <w:start w:val="1"/>
      <w:numFmt w:val="decimal"/>
      <w:lvlText w:val="%5."/>
      <w:lvlJc w:val="left"/>
      <w:pPr>
        <w:tabs>
          <w:tab w:val="num" w:pos="3600"/>
        </w:tabs>
        <w:ind w:left="3600" w:hanging="360"/>
      </w:pPr>
    </w:lvl>
    <w:lvl w:ilvl="5" w:tplc="F642D5A6" w:tentative="1">
      <w:start w:val="1"/>
      <w:numFmt w:val="decimal"/>
      <w:lvlText w:val="%6."/>
      <w:lvlJc w:val="left"/>
      <w:pPr>
        <w:tabs>
          <w:tab w:val="num" w:pos="4320"/>
        </w:tabs>
        <w:ind w:left="4320" w:hanging="360"/>
      </w:pPr>
    </w:lvl>
    <w:lvl w:ilvl="6" w:tplc="EFCCEA80" w:tentative="1">
      <w:start w:val="1"/>
      <w:numFmt w:val="decimal"/>
      <w:lvlText w:val="%7."/>
      <w:lvlJc w:val="left"/>
      <w:pPr>
        <w:tabs>
          <w:tab w:val="num" w:pos="5040"/>
        </w:tabs>
        <w:ind w:left="5040" w:hanging="360"/>
      </w:pPr>
    </w:lvl>
    <w:lvl w:ilvl="7" w:tplc="EC342EA0" w:tentative="1">
      <w:start w:val="1"/>
      <w:numFmt w:val="decimal"/>
      <w:lvlText w:val="%8."/>
      <w:lvlJc w:val="left"/>
      <w:pPr>
        <w:tabs>
          <w:tab w:val="num" w:pos="5760"/>
        </w:tabs>
        <w:ind w:left="5760" w:hanging="360"/>
      </w:pPr>
    </w:lvl>
    <w:lvl w:ilvl="8" w:tplc="FE14EC7E" w:tentative="1">
      <w:start w:val="1"/>
      <w:numFmt w:val="decimal"/>
      <w:lvlText w:val="%9."/>
      <w:lvlJc w:val="left"/>
      <w:pPr>
        <w:tabs>
          <w:tab w:val="num" w:pos="6480"/>
        </w:tabs>
        <w:ind w:left="6480" w:hanging="360"/>
      </w:pPr>
    </w:lvl>
  </w:abstractNum>
  <w:abstractNum w:abstractNumId="4" w15:restartNumberingAfterBreak="0">
    <w:nsid w:val="46EC1CE2"/>
    <w:multiLevelType w:val="hybridMultilevel"/>
    <w:tmpl w:val="2374685E"/>
    <w:lvl w:ilvl="0" w:tplc="336619F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9DA2EAE"/>
    <w:multiLevelType w:val="hybridMultilevel"/>
    <w:tmpl w:val="A3EAE28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1675738"/>
    <w:multiLevelType w:val="hybridMultilevel"/>
    <w:tmpl w:val="B8B2F74E"/>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74F813CB"/>
    <w:multiLevelType w:val="hybridMultilevel"/>
    <w:tmpl w:val="DD94161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0"/>
  </w:num>
  <w:num w:numId="5">
    <w:abstractNumId w:val="3"/>
  </w:num>
  <w:num w:numId="6">
    <w:abstractNumId w:val="7"/>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759"/>
    <w:rsid w:val="00345759"/>
    <w:rsid w:val="006E225C"/>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F36C7"/>
  <w15:chartTrackingRefBased/>
  <w15:docId w15:val="{94EE1CBF-C43D-498D-8EFF-4F0B2FBA7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759"/>
    <w:rPr>
      <w:rFonts w:eastAsiaTheme="minorEastAsia"/>
    </w:rPr>
  </w:style>
  <w:style w:type="paragraph" w:styleId="Heading1">
    <w:name w:val="heading 1"/>
    <w:basedOn w:val="Normal"/>
    <w:next w:val="Normal"/>
    <w:link w:val="Heading1Char"/>
    <w:uiPriority w:val="9"/>
    <w:qFormat/>
    <w:rsid w:val="003457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759"/>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345759"/>
    <w:rPr>
      <w:color w:val="808080"/>
    </w:rPr>
  </w:style>
  <w:style w:type="character" w:styleId="CommentReference">
    <w:name w:val="annotation reference"/>
    <w:basedOn w:val="DefaultParagraphFont"/>
    <w:uiPriority w:val="99"/>
    <w:unhideWhenUsed/>
    <w:rsid w:val="00345759"/>
    <w:rPr>
      <w:sz w:val="16"/>
      <w:szCs w:val="16"/>
    </w:rPr>
  </w:style>
  <w:style w:type="paragraph" w:styleId="CommentText">
    <w:name w:val="annotation text"/>
    <w:basedOn w:val="Normal"/>
    <w:link w:val="CommentTextChar"/>
    <w:uiPriority w:val="99"/>
    <w:unhideWhenUsed/>
    <w:rsid w:val="00345759"/>
    <w:pPr>
      <w:spacing w:line="240" w:lineRule="auto"/>
    </w:pPr>
    <w:rPr>
      <w:sz w:val="20"/>
      <w:szCs w:val="20"/>
    </w:rPr>
  </w:style>
  <w:style w:type="character" w:customStyle="1" w:styleId="CommentTextChar">
    <w:name w:val="Comment Text Char"/>
    <w:basedOn w:val="DefaultParagraphFont"/>
    <w:link w:val="CommentText"/>
    <w:uiPriority w:val="99"/>
    <w:rsid w:val="00345759"/>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345759"/>
    <w:rPr>
      <w:b/>
      <w:bCs/>
    </w:rPr>
  </w:style>
  <w:style w:type="character" w:customStyle="1" w:styleId="CommentSubjectChar">
    <w:name w:val="Comment Subject Char"/>
    <w:basedOn w:val="CommentTextChar"/>
    <w:link w:val="CommentSubject"/>
    <w:uiPriority w:val="99"/>
    <w:semiHidden/>
    <w:rsid w:val="00345759"/>
    <w:rPr>
      <w:rFonts w:eastAsiaTheme="minorEastAsia"/>
      <w:b/>
      <w:bCs/>
      <w:sz w:val="20"/>
      <w:szCs w:val="20"/>
    </w:rPr>
  </w:style>
  <w:style w:type="paragraph" w:styleId="BalloonText">
    <w:name w:val="Balloon Text"/>
    <w:basedOn w:val="Normal"/>
    <w:link w:val="BalloonTextChar"/>
    <w:uiPriority w:val="99"/>
    <w:semiHidden/>
    <w:unhideWhenUsed/>
    <w:rsid w:val="003457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5759"/>
    <w:rPr>
      <w:rFonts w:ascii="Segoe UI" w:eastAsiaTheme="minorEastAsia" w:hAnsi="Segoe UI" w:cs="Segoe UI"/>
      <w:sz w:val="18"/>
      <w:szCs w:val="18"/>
    </w:rPr>
  </w:style>
  <w:style w:type="paragraph" w:styleId="ListParagraph">
    <w:name w:val="List Paragraph"/>
    <w:basedOn w:val="Normal"/>
    <w:uiPriority w:val="34"/>
    <w:qFormat/>
    <w:rsid w:val="00345759"/>
    <w:pPr>
      <w:ind w:left="720"/>
      <w:contextualSpacing/>
    </w:pPr>
  </w:style>
  <w:style w:type="character" w:styleId="Hyperlink">
    <w:name w:val="Hyperlink"/>
    <w:basedOn w:val="DefaultParagraphFont"/>
    <w:uiPriority w:val="99"/>
    <w:unhideWhenUsed/>
    <w:rsid w:val="00345759"/>
    <w:rPr>
      <w:color w:val="0563C1" w:themeColor="hyperlink"/>
      <w:u w:val="single"/>
    </w:rPr>
  </w:style>
  <w:style w:type="paragraph" w:styleId="Revision">
    <w:name w:val="Revision"/>
    <w:hidden/>
    <w:uiPriority w:val="99"/>
    <w:semiHidden/>
    <w:rsid w:val="00345759"/>
    <w:pPr>
      <w:spacing w:after="0" w:line="240" w:lineRule="auto"/>
    </w:pPr>
    <w:rPr>
      <w:rFonts w:eastAsiaTheme="minorEastAsia"/>
      <w:lang w:val="de-DE"/>
    </w:rPr>
  </w:style>
  <w:style w:type="paragraph" w:customStyle="1" w:styleId="Default">
    <w:name w:val="Default"/>
    <w:rsid w:val="00345759"/>
    <w:pPr>
      <w:autoSpaceDE w:val="0"/>
      <w:autoSpaceDN w:val="0"/>
      <w:adjustRightInd w:val="0"/>
      <w:spacing w:after="0" w:line="240" w:lineRule="auto"/>
    </w:pPr>
    <w:rPr>
      <w:rFonts w:ascii="Calibri" w:eastAsiaTheme="minorEastAsia" w:hAnsi="Calibri" w:cs="Calibri"/>
      <w:color w:val="000000"/>
      <w:sz w:val="24"/>
      <w:szCs w:val="24"/>
    </w:rPr>
  </w:style>
  <w:style w:type="character" w:styleId="Strong">
    <w:name w:val="Strong"/>
    <w:basedOn w:val="DefaultParagraphFont"/>
    <w:uiPriority w:val="22"/>
    <w:qFormat/>
    <w:rsid w:val="00345759"/>
    <w:rPr>
      <w:b/>
      <w:bCs/>
    </w:rPr>
  </w:style>
  <w:style w:type="paragraph" w:styleId="NormalWeb">
    <w:name w:val="Normal (Web)"/>
    <w:basedOn w:val="Normal"/>
    <w:uiPriority w:val="99"/>
    <w:semiHidden/>
    <w:unhideWhenUsed/>
    <w:rsid w:val="00345759"/>
    <w:pPr>
      <w:spacing w:before="100" w:beforeAutospacing="1" w:after="100" w:afterAutospacing="1" w:line="240" w:lineRule="auto"/>
    </w:pPr>
    <w:rPr>
      <w:rFonts w:ascii="Times New Roman" w:hAnsi="Times New Roman" w:cs="Times New Roman"/>
      <w:sz w:val="24"/>
      <w:szCs w:val="24"/>
    </w:rPr>
  </w:style>
  <w:style w:type="table" w:styleId="TableGrid">
    <w:name w:val="Table Grid"/>
    <w:basedOn w:val="TableNormal"/>
    <w:uiPriority w:val="39"/>
    <w:rsid w:val="00345759"/>
    <w:pPr>
      <w:spacing w:after="0" w:line="240" w:lineRule="auto"/>
    </w:pPr>
    <w:rPr>
      <w:rFonts w:eastAsiaTheme="minorEastAsia"/>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uiPriority w:val="99"/>
    <w:semiHidden/>
    <w:unhideWhenUsed/>
    <w:rsid w:val="0034575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45759"/>
    <w:rPr>
      <w:rFonts w:eastAsiaTheme="minorEastAsia"/>
      <w:sz w:val="20"/>
      <w:szCs w:val="20"/>
    </w:rPr>
  </w:style>
  <w:style w:type="character" w:styleId="EndnoteReference">
    <w:name w:val="endnote reference"/>
    <w:basedOn w:val="DefaultParagraphFont"/>
    <w:uiPriority w:val="99"/>
    <w:semiHidden/>
    <w:unhideWhenUsed/>
    <w:rsid w:val="00345759"/>
    <w:rPr>
      <w:vertAlign w:val="superscript"/>
    </w:rPr>
  </w:style>
  <w:style w:type="character" w:customStyle="1" w:styleId="1">
    <w:name w:val="未处理的提及1"/>
    <w:basedOn w:val="DefaultParagraphFont"/>
    <w:uiPriority w:val="99"/>
    <w:semiHidden/>
    <w:unhideWhenUsed/>
    <w:rsid w:val="00345759"/>
    <w:rPr>
      <w:color w:val="605E5C"/>
      <w:shd w:val="clear" w:color="auto" w:fill="E1DFDD"/>
    </w:rPr>
  </w:style>
  <w:style w:type="character" w:customStyle="1" w:styleId="NichtaufgelsteErwhnung1">
    <w:name w:val="Nicht aufgelöste Erwähnung1"/>
    <w:basedOn w:val="DefaultParagraphFont"/>
    <w:uiPriority w:val="99"/>
    <w:semiHidden/>
    <w:unhideWhenUsed/>
    <w:rsid w:val="00345759"/>
    <w:rPr>
      <w:color w:val="605E5C"/>
      <w:shd w:val="clear" w:color="auto" w:fill="E1DFDD"/>
    </w:rPr>
  </w:style>
  <w:style w:type="paragraph" w:styleId="Header">
    <w:name w:val="header"/>
    <w:basedOn w:val="Normal"/>
    <w:link w:val="HeaderChar"/>
    <w:uiPriority w:val="99"/>
    <w:unhideWhenUsed/>
    <w:rsid w:val="00345759"/>
    <w:pPr>
      <w:tabs>
        <w:tab w:val="center" w:pos="4703"/>
        <w:tab w:val="right" w:pos="9406"/>
      </w:tabs>
      <w:spacing w:after="0" w:line="240" w:lineRule="auto"/>
    </w:pPr>
  </w:style>
  <w:style w:type="character" w:customStyle="1" w:styleId="HeaderChar">
    <w:name w:val="Header Char"/>
    <w:basedOn w:val="DefaultParagraphFont"/>
    <w:link w:val="Header"/>
    <w:uiPriority w:val="99"/>
    <w:rsid w:val="00345759"/>
    <w:rPr>
      <w:rFonts w:eastAsiaTheme="minorEastAsia"/>
    </w:rPr>
  </w:style>
  <w:style w:type="paragraph" w:styleId="Footer">
    <w:name w:val="footer"/>
    <w:basedOn w:val="Normal"/>
    <w:link w:val="FooterChar"/>
    <w:uiPriority w:val="99"/>
    <w:unhideWhenUsed/>
    <w:rsid w:val="00345759"/>
    <w:pPr>
      <w:tabs>
        <w:tab w:val="center" w:pos="4703"/>
        <w:tab w:val="right" w:pos="9406"/>
      </w:tabs>
      <w:spacing w:after="0" w:line="240" w:lineRule="auto"/>
    </w:pPr>
  </w:style>
  <w:style w:type="character" w:customStyle="1" w:styleId="FooterChar">
    <w:name w:val="Footer Char"/>
    <w:basedOn w:val="DefaultParagraphFont"/>
    <w:link w:val="Footer"/>
    <w:uiPriority w:val="99"/>
    <w:rsid w:val="00345759"/>
    <w:rPr>
      <w:rFonts w:eastAsiaTheme="minorEastAsia"/>
    </w:rPr>
  </w:style>
  <w:style w:type="paragraph" w:styleId="HTMLPreformatted">
    <w:name w:val="HTML Preformatted"/>
    <w:basedOn w:val="Normal"/>
    <w:link w:val="HTMLPreformattedChar"/>
    <w:uiPriority w:val="99"/>
    <w:semiHidden/>
    <w:unhideWhenUsed/>
    <w:rsid w:val="003457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45759"/>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hyperlink" Target="mailto:stolterf@uni-potsdam.de" TargetMode="Externa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11780</Words>
  <Characters>67147</Characters>
  <Application>Microsoft Office Word</Application>
  <DocSecurity>0</DocSecurity>
  <Lines>559</Lines>
  <Paragraphs>157</Paragraphs>
  <ScaleCrop>false</ScaleCrop>
  <Company>Springer Nature</Company>
  <LinksUpToDate>false</LinksUpToDate>
  <CharactersWithSpaces>78770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2023-01-20T06:09:00Z</dcterms:created>
  <dcterms:modified xsi:type="dcterms:W3CDTF">2023-01-20T06:10:00Z</dcterms:modified>
</cp:coreProperties>
</file>