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FE017" w14:textId="77777777" w:rsidR="002E5728" w:rsidRDefault="002E5728" w:rsidP="002E5728">
      <w:pPr>
        <w:pStyle w:val="SOMHead"/>
        <w:ind w:left="360"/>
      </w:pPr>
      <w:r>
        <w:t>Extended Data</w:t>
      </w:r>
    </w:p>
    <w:p w14:paraId="19648B87" w14:textId="77777777" w:rsidR="002E5728" w:rsidRDefault="002E5728" w:rsidP="002E5728">
      <w:pPr>
        <w:pStyle w:val="SOMHead"/>
      </w:pPr>
      <w:r>
        <w:rPr>
          <w:noProof/>
        </w:rPr>
        <w:drawing>
          <wp:inline distT="0" distB="0" distL="0" distR="0" wp14:anchorId="19A08C43" wp14:editId="3F3192D9">
            <wp:extent cx="5622925" cy="5807075"/>
            <wp:effectExtent l="0" t="0" r="0" b="317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925" cy="580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98439" w14:textId="77777777" w:rsidR="002E5728" w:rsidRDefault="002E5728" w:rsidP="002E5728">
      <w:pPr>
        <w:rPr>
          <w:sz w:val="24"/>
          <w:szCs w:val="24"/>
        </w:rPr>
      </w:pPr>
      <w:bookmarkStart w:id="0" w:name="_Hlk122351128"/>
      <w:r w:rsidRPr="00090675">
        <w:rPr>
          <w:b/>
          <w:bCs/>
          <w:sz w:val="24"/>
          <w:szCs w:val="24"/>
        </w:rPr>
        <w:t xml:space="preserve">Extended Data Fig. 1. The group average </w:t>
      </w:r>
      <w:proofErr w:type="spellStart"/>
      <w:r w:rsidRPr="00090675">
        <w:rPr>
          <w:b/>
          <w:bCs/>
          <w:sz w:val="24"/>
          <w:szCs w:val="24"/>
        </w:rPr>
        <w:t>fNIRS</w:t>
      </w:r>
      <w:proofErr w:type="spellEnd"/>
      <w:r w:rsidRPr="00090675">
        <w:rPr>
          <w:b/>
          <w:bCs/>
          <w:sz w:val="24"/>
          <w:szCs w:val="24"/>
        </w:rPr>
        <w:t xml:space="preserve"> responses per channel.</w:t>
      </w:r>
      <w:r w:rsidRPr="00B359FE">
        <w:rPr>
          <w:sz w:val="24"/>
          <w:szCs w:val="24"/>
        </w:rPr>
        <w:t xml:space="preserve"> Epochs were averaged across trials and subjects for each channel. Each subplot title depicts the hemisphere, the regions of interest and the number of subjects included in the analysis (n). L = left, R = right, PF = pre-frontal, T= temporal. The number of subjects across channels was unequal because some subjects had one or more channels discarded due to a low SCI threshold. The subplot in the </w:t>
      </w:r>
      <w:proofErr w:type="spellStart"/>
      <w:r w:rsidRPr="00B359FE">
        <w:rPr>
          <w:sz w:val="24"/>
          <w:szCs w:val="24"/>
        </w:rPr>
        <w:t>centre</w:t>
      </w:r>
      <w:proofErr w:type="spellEnd"/>
      <w:r w:rsidRPr="00B359FE">
        <w:rPr>
          <w:sz w:val="24"/>
          <w:szCs w:val="24"/>
        </w:rPr>
        <w:t xml:space="preserve"> is the grand average </w:t>
      </w:r>
      <w:proofErr w:type="spellStart"/>
      <w:r w:rsidRPr="00B359FE">
        <w:rPr>
          <w:sz w:val="24"/>
          <w:szCs w:val="24"/>
        </w:rPr>
        <w:t>fNIRS</w:t>
      </w:r>
      <w:proofErr w:type="spellEnd"/>
      <w:r w:rsidRPr="00B359FE">
        <w:rPr>
          <w:sz w:val="24"/>
          <w:szCs w:val="24"/>
        </w:rPr>
        <w:t xml:space="preserve"> response across all trials, </w:t>
      </w:r>
      <w:proofErr w:type="gramStart"/>
      <w:r w:rsidRPr="00B359FE">
        <w:rPr>
          <w:sz w:val="24"/>
          <w:szCs w:val="24"/>
        </w:rPr>
        <w:t>channels</w:t>
      </w:r>
      <w:proofErr w:type="gramEnd"/>
      <w:r w:rsidRPr="00B359FE">
        <w:rPr>
          <w:sz w:val="24"/>
          <w:szCs w:val="24"/>
        </w:rPr>
        <w:t xml:space="preserve"> and participants. Shaded regions represent one standard error of mean (SEM).</w:t>
      </w:r>
      <w:bookmarkEnd w:id="0"/>
    </w:p>
    <w:p w14:paraId="3C6251CE" w14:textId="77777777" w:rsidR="002E5728" w:rsidRDefault="002E5728" w:rsidP="002E5728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DB649F" wp14:editId="5AB02723">
            <wp:extent cx="4360545" cy="1603375"/>
            <wp:effectExtent l="0" t="0" r="1905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545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9102C" w14:textId="77777777" w:rsidR="002E5728" w:rsidRDefault="002E5728" w:rsidP="002E5728">
      <w:pPr>
        <w:rPr>
          <w:b/>
          <w:bCs/>
          <w:sz w:val="24"/>
          <w:szCs w:val="24"/>
        </w:rPr>
      </w:pPr>
      <w:r w:rsidRPr="00090675">
        <w:rPr>
          <w:b/>
          <w:bCs/>
          <w:sz w:val="24"/>
          <w:szCs w:val="24"/>
        </w:rPr>
        <w:t xml:space="preserve">Extended Data Fig. </w:t>
      </w:r>
      <w:r>
        <w:rPr>
          <w:b/>
          <w:bCs/>
          <w:sz w:val="24"/>
          <w:szCs w:val="24"/>
        </w:rPr>
        <w:t xml:space="preserve">2 </w:t>
      </w:r>
      <w:r w:rsidRPr="00090675">
        <w:rPr>
          <w:b/>
          <w:bCs/>
          <w:sz w:val="24"/>
          <w:szCs w:val="24"/>
        </w:rPr>
        <w:t>The model waveform as a summation of two Gaussian functions.</w:t>
      </w:r>
    </w:p>
    <w:p w14:paraId="621E34A2" w14:textId="77777777" w:rsidR="002E5728" w:rsidRDefault="002E5728" w:rsidP="002E5728">
      <w:pPr>
        <w:rPr>
          <w:b/>
          <w:bCs/>
          <w:sz w:val="24"/>
          <w:szCs w:val="24"/>
        </w:rPr>
      </w:pPr>
    </w:p>
    <w:p w14:paraId="3BD62416" w14:textId="77777777" w:rsidR="002E5728" w:rsidRDefault="002E5728" w:rsidP="002E5728">
      <w:pPr>
        <w:rPr>
          <w:b/>
          <w:bCs/>
          <w:sz w:val="24"/>
          <w:szCs w:val="24"/>
        </w:rPr>
      </w:pPr>
    </w:p>
    <w:p w14:paraId="213335CA" w14:textId="77777777" w:rsidR="002E5728" w:rsidRPr="00090675" w:rsidRDefault="002E5728" w:rsidP="002E5728">
      <w:pPr>
        <w:pStyle w:val="SMcaption"/>
        <w:rPr>
          <w:b/>
          <w:bCs/>
          <w:szCs w:val="24"/>
        </w:rPr>
      </w:pPr>
      <w:bookmarkStart w:id="1" w:name="_Hlk122351169"/>
      <w:r w:rsidRPr="00090675">
        <w:rPr>
          <w:b/>
          <w:bCs/>
          <w:szCs w:val="24"/>
        </w:rPr>
        <w:t xml:space="preserve">Extended Data Table 1. Initial values and bounds of the parameters used as inputs to the </w:t>
      </w:r>
      <w:proofErr w:type="spellStart"/>
      <w:r w:rsidRPr="00090675">
        <w:rPr>
          <w:b/>
          <w:bCs/>
          <w:szCs w:val="24"/>
        </w:rPr>
        <w:t>optimisation</w:t>
      </w:r>
      <w:proofErr w:type="spellEnd"/>
      <w:r w:rsidRPr="00090675">
        <w:rPr>
          <w:b/>
          <w:bCs/>
          <w:szCs w:val="24"/>
        </w:rPr>
        <w:t>.</w:t>
      </w:r>
      <w:bookmarkEnd w:id="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1890"/>
        <w:gridCol w:w="1812"/>
        <w:gridCol w:w="2254"/>
      </w:tblGrid>
      <w:tr w:rsidR="002E5728" w:rsidRPr="00B359FE" w14:paraId="0E9DCAAC" w14:textId="77777777" w:rsidTr="005B13ED">
        <w:tc>
          <w:tcPr>
            <w:tcW w:w="30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4A33909" w14:textId="77777777" w:rsidR="002E5728" w:rsidRPr="00B359FE" w:rsidRDefault="002E5728" w:rsidP="005B13ED">
            <w:pPr>
              <w:spacing w:line="480" w:lineRule="auto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Parameters</w:t>
            </w:r>
          </w:p>
        </w:tc>
        <w:tc>
          <w:tcPr>
            <w:tcW w:w="37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CFE004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Initial values</w:t>
            </w:r>
          </w:p>
        </w:tc>
        <w:tc>
          <w:tcPr>
            <w:tcW w:w="225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D1D9CF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Bounds</w:t>
            </w:r>
          </w:p>
        </w:tc>
      </w:tr>
      <w:tr w:rsidR="002E5728" w:rsidRPr="00B359FE" w14:paraId="0DA2BF62" w14:textId="77777777" w:rsidTr="005B13ED">
        <w:tc>
          <w:tcPr>
            <w:tcW w:w="3060" w:type="dxa"/>
            <w:vMerge/>
            <w:tcBorders>
              <w:bottom w:val="single" w:sz="4" w:space="0" w:color="auto"/>
            </w:tcBorders>
          </w:tcPr>
          <w:p w14:paraId="5674CE52" w14:textId="77777777" w:rsidR="002E5728" w:rsidRPr="00B359FE" w:rsidRDefault="002E5728" w:rsidP="005B13ED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A1C1593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Gaussian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</m:sSub>
            </m:oMath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027496ED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Gaussian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oMath>
          </w:p>
        </w:tc>
        <w:tc>
          <w:tcPr>
            <w:tcW w:w="2254" w:type="dxa"/>
            <w:vMerge/>
            <w:tcBorders>
              <w:bottom w:val="single" w:sz="4" w:space="0" w:color="auto"/>
            </w:tcBorders>
          </w:tcPr>
          <w:p w14:paraId="4DCEB280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2E5728" w:rsidRPr="00B359FE" w14:paraId="6E78B38C" w14:textId="77777777" w:rsidTr="005B13ED">
        <w:tc>
          <w:tcPr>
            <w:tcW w:w="3060" w:type="dxa"/>
            <w:tcBorders>
              <w:top w:val="single" w:sz="4" w:space="0" w:color="auto"/>
            </w:tcBorders>
          </w:tcPr>
          <w:p w14:paraId="3794C5C7" w14:textId="77777777" w:rsidR="002E5728" w:rsidRPr="00B359FE" w:rsidRDefault="002E5728" w:rsidP="005B13ED">
            <w:pPr>
              <w:spacing w:line="480" w:lineRule="auto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Peak latency,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μ</m:t>
              </m:r>
            </m:oMath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61743F74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5 s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43B32F04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B359FE">
              <w:rPr>
                <w:sz w:val="24"/>
                <w:szCs w:val="24"/>
              </w:rPr>
              <w:t xml:space="preserve"> s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4C1F792E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[1, 20] s</w:t>
            </w:r>
          </w:p>
        </w:tc>
      </w:tr>
      <w:tr w:rsidR="002E5728" w:rsidRPr="00B359FE" w14:paraId="24645AF3" w14:textId="77777777" w:rsidTr="005B13ED">
        <w:tc>
          <w:tcPr>
            <w:tcW w:w="3060" w:type="dxa"/>
          </w:tcPr>
          <w:p w14:paraId="278CF9E5" w14:textId="77777777" w:rsidR="002E5728" w:rsidRPr="00B359FE" w:rsidRDefault="002E5728" w:rsidP="005B13ED">
            <w:pPr>
              <w:spacing w:line="480" w:lineRule="auto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Peak width,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σ</m:t>
              </m:r>
            </m:oMath>
          </w:p>
        </w:tc>
        <w:tc>
          <w:tcPr>
            <w:tcW w:w="1890" w:type="dxa"/>
          </w:tcPr>
          <w:p w14:paraId="665B9FBB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14:paraId="640BA518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54" w:type="dxa"/>
          </w:tcPr>
          <w:p w14:paraId="2DC97398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[1, 10]</w:t>
            </w:r>
          </w:p>
        </w:tc>
      </w:tr>
      <w:tr w:rsidR="002E5728" w:rsidRPr="00B359FE" w14:paraId="56059243" w14:textId="77777777" w:rsidTr="005B13ED">
        <w:tc>
          <w:tcPr>
            <w:tcW w:w="3060" w:type="dxa"/>
          </w:tcPr>
          <w:p w14:paraId="3901CFC1" w14:textId="77777777" w:rsidR="002E5728" w:rsidRPr="00B359FE" w:rsidRDefault="002E5728" w:rsidP="005B13ED">
            <w:pPr>
              <w:spacing w:line="480" w:lineRule="auto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Maximum possible amplitude,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oMath>
          </w:p>
        </w:tc>
        <w:tc>
          <w:tcPr>
            <w:tcW w:w="1890" w:type="dxa"/>
          </w:tcPr>
          <w:p w14:paraId="158BF0CA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B359FE">
              <w:rPr>
                <w:sz w:val="24"/>
                <w:szCs w:val="24"/>
              </w:rPr>
              <w:t xml:space="preserve"> </w:t>
            </w:r>
            <w:proofErr w:type="spellStart"/>
            <w:r w:rsidRPr="00B359FE">
              <w:rPr>
                <w:sz w:val="24"/>
                <w:szCs w:val="24"/>
              </w:rPr>
              <w:t>mmho</w:t>
            </w:r>
            <w:proofErr w:type="spellEnd"/>
          </w:p>
        </w:tc>
        <w:tc>
          <w:tcPr>
            <w:tcW w:w="1812" w:type="dxa"/>
          </w:tcPr>
          <w:p w14:paraId="34A12869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20 </w:t>
            </w:r>
            <w:proofErr w:type="spellStart"/>
            <w:r w:rsidRPr="00B359FE">
              <w:rPr>
                <w:sz w:val="24"/>
                <w:szCs w:val="24"/>
              </w:rPr>
              <w:t>mmho</w:t>
            </w:r>
            <w:proofErr w:type="spellEnd"/>
          </w:p>
        </w:tc>
        <w:tc>
          <w:tcPr>
            <w:tcW w:w="2254" w:type="dxa"/>
          </w:tcPr>
          <w:p w14:paraId="2598125F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[-100, 100] </w:t>
            </w:r>
            <w:proofErr w:type="spellStart"/>
            <w:r w:rsidRPr="00B359FE">
              <w:rPr>
                <w:sz w:val="24"/>
                <w:szCs w:val="24"/>
              </w:rPr>
              <w:t>mmho</w:t>
            </w:r>
            <w:proofErr w:type="spellEnd"/>
          </w:p>
        </w:tc>
      </w:tr>
      <w:tr w:rsidR="002E5728" w:rsidRPr="00B359FE" w14:paraId="4E665DEA" w14:textId="77777777" w:rsidTr="005B13ED">
        <w:tc>
          <w:tcPr>
            <w:tcW w:w="3060" w:type="dxa"/>
          </w:tcPr>
          <w:p w14:paraId="2EC906AF" w14:textId="77777777" w:rsidR="002E5728" w:rsidRPr="00B359FE" w:rsidRDefault="002E5728" w:rsidP="005B13ED">
            <w:pPr>
              <w:spacing w:line="480" w:lineRule="auto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 xml:space="preserve">Decay,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τ</m:t>
              </m:r>
            </m:oMath>
          </w:p>
        </w:tc>
        <w:tc>
          <w:tcPr>
            <w:tcW w:w="1890" w:type="dxa"/>
          </w:tcPr>
          <w:p w14:paraId="71122217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-0.2</w:t>
            </w:r>
          </w:p>
        </w:tc>
        <w:tc>
          <w:tcPr>
            <w:tcW w:w="1812" w:type="dxa"/>
          </w:tcPr>
          <w:p w14:paraId="5FB2C73C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0.2</w:t>
            </w:r>
          </w:p>
        </w:tc>
        <w:tc>
          <w:tcPr>
            <w:tcW w:w="2254" w:type="dxa"/>
          </w:tcPr>
          <w:p w14:paraId="689244CD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B359FE">
              <w:rPr>
                <w:sz w:val="24"/>
                <w:szCs w:val="24"/>
              </w:rPr>
              <w:t>[-20, 20]</w:t>
            </w:r>
          </w:p>
        </w:tc>
      </w:tr>
      <w:tr w:rsidR="002E5728" w:rsidRPr="00B359FE" w14:paraId="3DE22099" w14:textId="77777777" w:rsidTr="005B13ED">
        <w:tc>
          <w:tcPr>
            <w:tcW w:w="3060" w:type="dxa"/>
            <w:tcBorders>
              <w:bottom w:val="single" w:sz="4" w:space="0" w:color="auto"/>
            </w:tcBorders>
          </w:tcPr>
          <w:p w14:paraId="482DB3FF" w14:textId="77777777" w:rsidR="002E5728" w:rsidRPr="00B359FE" w:rsidRDefault="002E5728" w:rsidP="005B13ED">
            <w:pPr>
              <w:spacing w:line="48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Contant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oMath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C5F1D3F" w14:textId="77777777" w:rsidR="002E5728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14:paraId="07F1CB0A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6206E73E" w14:textId="77777777" w:rsidR="002E5728" w:rsidRPr="00B359FE" w:rsidRDefault="002E5728" w:rsidP="005B13E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[-100 100]</w:t>
            </w:r>
          </w:p>
        </w:tc>
      </w:tr>
    </w:tbl>
    <w:p w14:paraId="270956B7" w14:textId="77777777" w:rsidR="002E5728" w:rsidRDefault="002E5728" w:rsidP="002E5728">
      <w:pPr>
        <w:rPr>
          <w:rFonts w:eastAsia="Times New Roman"/>
          <w:b/>
          <w:bCs/>
          <w:kern w:val="28"/>
          <w:sz w:val="24"/>
          <w:szCs w:val="24"/>
        </w:rPr>
      </w:pPr>
    </w:p>
    <w:p w14:paraId="2C5068BF" w14:textId="77777777" w:rsidR="009B7B81" w:rsidRDefault="009B7B81"/>
    <w:sectPr w:rsidR="009B7B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93398B"/>
    <w:multiLevelType w:val="hybridMultilevel"/>
    <w:tmpl w:val="58400A4A"/>
    <w:lvl w:ilvl="0" w:tplc="11D6B00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532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728"/>
    <w:rsid w:val="002E5728"/>
    <w:rsid w:val="009B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7BC02"/>
  <w15:chartTrackingRefBased/>
  <w15:docId w15:val="{7A8EACE4-08F7-4617-8D66-DAB130C8A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72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OMHead">
    <w:name w:val="SOMHead"/>
    <w:basedOn w:val="Normal"/>
    <w:rsid w:val="002E5728"/>
    <w:pPr>
      <w:keepNext/>
      <w:spacing w:before="240"/>
      <w:outlineLvl w:val="0"/>
    </w:pPr>
    <w:rPr>
      <w:rFonts w:eastAsia="Times New Roman"/>
      <w:b/>
      <w:kern w:val="28"/>
      <w:sz w:val="24"/>
      <w:szCs w:val="24"/>
    </w:rPr>
  </w:style>
  <w:style w:type="table" w:styleId="TableGrid">
    <w:name w:val="Table Grid"/>
    <w:basedOn w:val="TableNormal"/>
    <w:uiPriority w:val="39"/>
    <w:rsid w:val="002E5728"/>
    <w:pPr>
      <w:spacing w:after="0" w:line="240" w:lineRule="auto"/>
    </w:pPr>
    <w:rPr>
      <w:rFonts w:eastAsiaTheme="minorEastAsia"/>
      <w:lang w:val="en-A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caption">
    <w:name w:val="SM caption"/>
    <w:basedOn w:val="Normal"/>
    <w:qFormat/>
    <w:rsid w:val="002E5728"/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2023-01-19T17:40:00Z</dcterms:created>
  <dcterms:modified xsi:type="dcterms:W3CDTF">2023-01-19T17:40:00Z</dcterms:modified>
</cp:coreProperties>
</file>