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6E5A8" w14:textId="0A963560" w:rsidR="0037112B" w:rsidRPr="00F22613" w:rsidRDefault="00F22613" w:rsidP="00F22613">
      <w:pPr>
        <w:pStyle w:val="NoSpacing"/>
        <w:rPr>
          <w:rFonts w:cstheme="minorHAnsi"/>
          <w:b/>
        </w:rPr>
      </w:pPr>
      <w:r w:rsidRPr="00F22613">
        <w:rPr>
          <w:rFonts w:cstheme="minorHAnsi"/>
          <w:b/>
        </w:rPr>
        <w:t>Appendix A</w:t>
      </w:r>
      <w:r w:rsidR="00170943">
        <w:rPr>
          <w:rFonts w:cstheme="minorHAnsi"/>
          <w:b/>
        </w:rPr>
        <w:t xml:space="preserve"> -</w:t>
      </w:r>
      <w:r w:rsidRPr="00F22613">
        <w:rPr>
          <w:rFonts w:cstheme="minorHAnsi"/>
          <w:b/>
        </w:rPr>
        <w:t xml:space="preserve"> Standard </w:t>
      </w:r>
      <w:r w:rsidR="0037112B" w:rsidRPr="00F22613">
        <w:rPr>
          <w:rFonts w:cstheme="minorHAnsi"/>
          <w:b/>
        </w:rPr>
        <w:t>Feedback Cues</w:t>
      </w:r>
    </w:p>
    <w:p w14:paraId="38854402" w14:textId="77777777" w:rsidR="0037112B" w:rsidRPr="00F22613" w:rsidRDefault="0037112B" w:rsidP="00EB359C">
      <w:pPr>
        <w:pStyle w:val="NoSpacing"/>
        <w:jc w:val="center"/>
        <w:rPr>
          <w:rFonts w:cstheme="minorHAnsi"/>
          <w:b/>
        </w:rPr>
      </w:pPr>
    </w:p>
    <w:p w14:paraId="639D1040" w14:textId="4EBC4212" w:rsidR="0037112B" w:rsidRPr="00F22613" w:rsidRDefault="0037112B" w:rsidP="00F22613">
      <w:pPr>
        <w:pStyle w:val="NoSpacing"/>
        <w:rPr>
          <w:rFonts w:cstheme="minorHAnsi"/>
        </w:rPr>
      </w:pPr>
      <w:r w:rsidRPr="00F22613">
        <w:rPr>
          <w:rFonts w:cstheme="minorHAnsi"/>
          <w:b/>
        </w:rPr>
        <w:t>Goal:</w:t>
      </w:r>
      <w:r w:rsidRPr="00F22613">
        <w:rPr>
          <w:rFonts w:cstheme="minorHAnsi"/>
        </w:rPr>
        <w:t xml:space="preserve"> To transition the runner from a rearfoot strike pattern to a forefoot strike pattern and to increase their step rate 5-10% from baseline.</w:t>
      </w: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4828"/>
        <w:gridCol w:w="4828"/>
        <w:gridCol w:w="4829"/>
      </w:tblGrid>
      <w:tr w:rsidR="0037112B" w:rsidRPr="00F22613" w14:paraId="63BCCE67" w14:textId="77777777" w:rsidTr="0047715B">
        <w:trPr>
          <w:trHeight w:val="323"/>
        </w:trPr>
        <w:tc>
          <w:tcPr>
            <w:tcW w:w="14485" w:type="dxa"/>
            <w:gridSpan w:val="3"/>
          </w:tcPr>
          <w:p w14:paraId="1B854BE2" w14:textId="77777777" w:rsidR="0037112B" w:rsidRPr="00F22613" w:rsidRDefault="0037112B" w:rsidP="00630841">
            <w:pPr>
              <w:contextualSpacing/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Foot Strike Pattern</w:t>
            </w:r>
          </w:p>
        </w:tc>
      </w:tr>
      <w:tr w:rsidR="0037112B" w:rsidRPr="00F22613" w14:paraId="01ADBDD4" w14:textId="77777777" w:rsidTr="0047715B">
        <w:trPr>
          <w:trHeight w:val="323"/>
        </w:trPr>
        <w:tc>
          <w:tcPr>
            <w:tcW w:w="4828" w:type="dxa"/>
          </w:tcPr>
          <w:p w14:paraId="5D473330" w14:textId="77777777" w:rsidR="0037112B" w:rsidRPr="00F22613" w:rsidRDefault="0037112B" w:rsidP="00DF4A89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Verbal Cues</w:t>
            </w:r>
          </w:p>
        </w:tc>
        <w:tc>
          <w:tcPr>
            <w:tcW w:w="4828" w:type="dxa"/>
          </w:tcPr>
          <w:p w14:paraId="0F839640" w14:textId="77777777" w:rsidR="0037112B" w:rsidRPr="00F22613" w:rsidRDefault="0037112B" w:rsidP="00DF4A89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Visual Cues</w:t>
            </w:r>
          </w:p>
        </w:tc>
        <w:tc>
          <w:tcPr>
            <w:tcW w:w="4829" w:type="dxa"/>
          </w:tcPr>
          <w:p w14:paraId="4627D89C" w14:textId="77777777" w:rsidR="0037112B" w:rsidRPr="00F22613" w:rsidRDefault="0037112B" w:rsidP="00DF4A89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Visual Example</w:t>
            </w:r>
          </w:p>
        </w:tc>
      </w:tr>
      <w:tr w:rsidR="0037112B" w:rsidRPr="00F22613" w14:paraId="54C1AD27" w14:textId="77777777" w:rsidTr="0047715B">
        <w:trPr>
          <w:trHeight w:val="972"/>
        </w:trPr>
        <w:tc>
          <w:tcPr>
            <w:tcW w:w="4828" w:type="dxa"/>
          </w:tcPr>
          <w:p w14:paraId="015829BD" w14:textId="77777777" w:rsidR="0037112B" w:rsidRPr="00F22613" w:rsidRDefault="0037112B" w:rsidP="0047715B">
            <w:pPr>
              <w:contextualSpacing/>
              <w:rPr>
                <w:rFonts w:cstheme="minorHAnsi"/>
              </w:rPr>
            </w:pPr>
            <w:r w:rsidRPr="00F22613">
              <w:rPr>
                <w:rFonts w:cstheme="minorHAnsi"/>
              </w:rPr>
              <w:t xml:space="preserve">“Run on your toes (or “the balls”) of your feet” </w:t>
            </w:r>
            <w:r w:rsidRPr="00F22613">
              <w:rPr>
                <w:rFonts w:cstheme="minorHAnsi"/>
                <w:noProof/>
              </w:rPr>
              <w:t>(Roper et al., 2016)</w:t>
            </w:r>
          </w:p>
          <w:p w14:paraId="2E45E239" w14:textId="77777777" w:rsidR="0037112B" w:rsidRPr="00F22613" w:rsidRDefault="0037112B" w:rsidP="00DF4A89">
            <w:pPr>
              <w:contextualSpacing/>
              <w:rPr>
                <w:rFonts w:cstheme="minorHAnsi"/>
              </w:rPr>
            </w:pPr>
            <w:r w:rsidRPr="00F22613">
              <w:rPr>
                <w:rFonts w:cstheme="minorHAnsi"/>
              </w:rPr>
              <w:t xml:space="preserve">“Only put weight on the ball of your feet when you land” </w:t>
            </w:r>
            <w:r w:rsidRPr="00F22613">
              <w:rPr>
                <w:rFonts w:cstheme="minorHAnsi"/>
                <w:noProof/>
              </w:rPr>
              <w:t>(Chow, Woo, &amp; Koh, 2014)</w:t>
            </w:r>
          </w:p>
          <w:p w14:paraId="4A0475C6" w14:textId="77777777" w:rsidR="0037112B" w:rsidRPr="00F22613" w:rsidRDefault="0037112B" w:rsidP="00DF4A89">
            <w:pPr>
              <w:pBdr>
                <w:bottom w:val="single" w:sz="6" w:space="1" w:color="auto"/>
              </w:pBdr>
              <w:contextualSpacing/>
              <w:rPr>
                <w:rFonts w:cstheme="minorHAnsi"/>
              </w:rPr>
            </w:pPr>
          </w:p>
          <w:p w14:paraId="175E96CE" w14:textId="77777777" w:rsidR="0037112B" w:rsidRPr="00F22613" w:rsidRDefault="0037112B" w:rsidP="00DF4A89">
            <w:pPr>
              <w:pBdr>
                <w:bottom w:val="single" w:sz="6" w:space="1" w:color="auto"/>
              </w:pBdr>
              <w:contextualSpacing/>
              <w:rPr>
                <w:rFonts w:cstheme="minorHAnsi"/>
              </w:rPr>
            </w:pPr>
          </w:p>
          <w:p w14:paraId="7C70B2CE" w14:textId="77777777" w:rsidR="0037112B" w:rsidRPr="00F22613" w:rsidRDefault="0037112B" w:rsidP="00DF4A89">
            <w:pPr>
              <w:contextualSpacing/>
              <w:rPr>
                <w:rFonts w:cstheme="minorHAnsi"/>
              </w:rPr>
            </w:pPr>
            <w:r w:rsidRPr="00F22613">
              <w:rPr>
                <w:rFonts w:cstheme="minorHAnsi"/>
              </w:rPr>
              <w:t>“</w:t>
            </w:r>
            <w:proofErr w:type="gramStart"/>
            <w:r w:rsidRPr="00F22613">
              <w:rPr>
                <w:rFonts w:cstheme="minorHAnsi"/>
              </w:rPr>
              <w:t>land</w:t>
            </w:r>
            <w:proofErr w:type="gramEnd"/>
            <w:r w:rsidRPr="00F22613">
              <w:rPr>
                <w:rFonts w:cstheme="minorHAnsi"/>
              </w:rPr>
              <w:t xml:space="preserve"> softly,”</w:t>
            </w:r>
          </w:p>
          <w:p w14:paraId="0A888598" w14:textId="77777777" w:rsidR="0037112B" w:rsidRPr="00F22613" w:rsidRDefault="0037112B" w:rsidP="00DF4A89">
            <w:pPr>
              <w:pBdr>
                <w:bottom w:val="single" w:sz="6" w:space="1" w:color="auto"/>
              </w:pBdr>
              <w:contextualSpacing/>
              <w:rPr>
                <w:rFonts w:cstheme="minorHAnsi"/>
              </w:rPr>
            </w:pPr>
            <w:r w:rsidRPr="00F22613">
              <w:rPr>
                <w:rFonts w:cstheme="minorHAnsi"/>
              </w:rPr>
              <w:t xml:space="preserve">“Run quietly” </w:t>
            </w:r>
            <w:r w:rsidRPr="00F22613">
              <w:rPr>
                <w:rFonts w:cstheme="minorHAnsi"/>
                <w:noProof/>
              </w:rPr>
              <w:t>(Helmhout et al., 2015; Moore et al., 2019)</w:t>
            </w:r>
          </w:p>
          <w:p w14:paraId="3279DC54" w14:textId="77777777" w:rsidR="0037112B" w:rsidRPr="00F22613" w:rsidRDefault="0037112B" w:rsidP="00DF4A89">
            <w:pPr>
              <w:contextualSpacing/>
              <w:rPr>
                <w:rFonts w:cstheme="minorHAnsi"/>
              </w:rPr>
            </w:pPr>
            <w:r w:rsidRPr="00F22613">
              <w:rPr>
                <w:rFonts w:cstheme="minorHAnsi"/>
              </w:rPr>
              <w:t xml:space="preserve">“Run with a flat foot” </w:t>
            </w:r>
            <w:r w:rsidRPr="00F22613">
              <w:rPr>
                <w:rFonts w:cstheme="minorHAnsi"/>
                <w:noProof/>
              </w:rPr>
              <w:t>(Moore, et al., 2019)</w:t>
            </w:r>
          </w:p>
          <w:p w14:paraId="080660A1" w14:textId="77777777" w:rsidR="0037112B" w:rsidRPr="00F22613" w:rsidRDefault="0037112B" w:rsidP="00DF4A89">
            <w:pPr>
              <w:pBdr>
                <w:bottom w:val="single" w:sz="6" w:space="1" w:color="auto"/>
              </w:pBdr>
              <w:contextualSpacing/>
              <w:rPr>
                <w:rFonts w:cstheme="minorHAnsi"/>
              </w:rPr>
            </w:pPr>
          </w:p>
          <w:p w14:paraId="4AD4F9A7" w14:textId="77777777" w:rsidR="0037112B" w:rsidRPr="00F22613" w:rsidRDefault="0037112B" w:rsidP="0037112B">
            <w:pPr>
              <w:contextualSpacing/>
              <w:rPr>
                <w:rFonts w:cstheme="minorHAnsi"/>
                <w:noProof/>
              </w:rPr>
            </w:pPr>
            <w:r w:rsidRPr="00F22613">
              <w:rPr>
                <w:rFonts w:cstheme="minorHAnsi"/>
              </w:rPr>
              <w:t xml:space="preserve">If necessary, subjects give detailed verbal instructions on how to accurately perform forefoot strike running, </w:t>
            </w:r>
            <w:proofErr w:type="spellStart"/>
            <w:proofErr w:type="gramStart"/>
            <w:r w:rsidRPr="00F22613">
              <w:rPr>
                <w:rFonts w:cstheme="minorHAnsi"/>
              </w:rPr>
              <w:t>ie</w:t>
            </w:r>
            <w:proofErr w:type="spellEnd"/>
            <w:proofErr w:type="gramEnd"/>
            <w:r w:rsidRPr="00F22613">
              <w:rPr>
                <w:rFonts w:cstheme="minorHAnsi"/>
              </w:rPr>
              <w:t xml:space="preserve"> “change from heel strike to fore-foot strike” or “we are aiming to change foot strike, so run quietly” </w:t>
            </w:r>
            <w:r w:rsidRPr="00F22613">
              <w:rPr>
                <w:rFonts w:cstheme="minorHAnsi"/>
                <w:noProof/>
              </w:rPr>
              <w:t>(Roper, et al., 2016)</w:t>
            </w:r>
          </w:p>
          <w:p w14:paraId="1194D318" w14:textId="0966E111" w:rsidR="0037112B" w:rsidRPr="00F22613" w:rsidRDefault="0037112B" w:rsidP="0037112B">
            <w:pPr>
              <w:contextualSpacing/>
              <w:rPr>
                <w:rFonts w:cstheme="minorHAnsi"/>
              </w:rPr>
            </w:pPr>
          </w:p>
        </w:tc>
        <w:tc>
          <w:tcPr>
            <w:tcW w:w="4828" w:type="dxa"/>
          </w:tcPr>
          <w:p w14:paraId="1572FD17" w14:textId="77777777" w:rsidR="0037112B" w:rsidRPr="00F22613" w:rsidRDefault="0037112B" w:rsidP="00A90DE9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Circle – point out foot-strike position</w:t>
            </w:r>
          </w:p>
          <w:p w14:paraId="776405C3" w14:textId="77777777" w:rsidR="0037112B" w:rsidRPr="00F22613" w:rsidRDefault="0037112B" w:rsidP="00A90DE9">
            <w:pPr>
              <w:rPr>
                <w:rFonts w:cstheme="minorHAnsi"/>
                <w:b/>
              </w:rPr>
            </w:pPr>
          </w:p>
          <w:p w14:paraId="533E02B3" w14:textId="77777777" w:rsidR="0037112B" w:rsidRPr="00F22613" w:rsidRDefault="0037112B" w:rsidP="00A90DE9">
            <w:pPr>
              <w:rPr>
                <w:rFonts w:cstheme="minorHAnsi"/>
                <w:b/>
              </w:rPr>
            </w:pPr>
          </w:p>
          <w:p w14:paraId="0CFA666C" w14:textId="59D50513" w:rsidR="0037112B" w:rsidRPr="00F22613" w:rsidRDefault="0037112B" w:rsidP="00A90DE9">
            <w:pPr>
              <w:rPr>
                <w:rFonts w:cstheme="minorHAnsi"/>
                <w:bCs/>
              </w:rPr>
            </w:pPr>
          </w:p>
          <w:p w14:paraId="5C309114" w14:textId="4E3A8AAD" w:rsidR="0037112B" w:rsidRPr="00F22613" w:rsidRDefault="0037112B" w:rsidP="00A90DE9">
            <w:pPr>
              <w:rPr>
                <w:rFonts w:cstheme="minorHAnsi"/>
                <w:bCs/>
              </w:rPr>
            </w:pPr>
          </w:p>
          <w:p w14:paraId="645CBBD5" w14:textId="77777777" w:rsidR="0037112B" w:rsidRPr="00F22613" w:rsidRDefault="0037112B" w:rsidP="00A90DE9">
            <w:pPr>
              <w:pBdr>
                <w:bottom w:val="single" w:sz="6" w:space="1" w:color="auto"/>
              </w:pBdr>
              <w:rPr>
                <w:rFonts w:cstheme="minorHAnsi"/>
                <w:b/>
              </w:rPr>
            </w:pPr>
          </w:p>
          <w:p w14:paraId="549ECCCB" w14:textId="77777777" w:rsidR="0037112B" w:rsidRPr="00F22613" w:rsidRDefault="0037112B" w:rsidP="00A90DE9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N/A</w:t>
            </w:r>
          </w:p>
          <w:p w14:paraId="6B236F98" w14:textId="77777777" w:rsidR="0037112B" w:rsidRPr="00F22613" w:rsidRDefault="0037112B" w:rsidP="00A90DE9">
            <w:pPr>
              <w:pBdr>
                <w:bottom w:val="single" w:sz="6" w:space="1" w:color="auto"/>
              </w:pBdr>
              <w:rPr>
                <w:rFonts w:cstheme="minorHAnsi"/>
                <w:b/>
              </w:rPr>
            </w:pPr>
          </w:p>
          <w:p w14:paraId="497D10FB" w14:textId="77777777" w:rsidR="0037112B" w:rsidRPr="00F22613" w:rsidRDefault="0037112B" w:rsidP="00A90DE9">
            <w:pPr>
              <w:pBdr>
                <w:bottom w:val="single" w:sz="6" w:space="1" w:color="auto"/>
              </w:pBdr>
              <w:rPr>
                <w:rFonts w:cstheme="minorHAnsi"/>
                <w:b/>
              </w:rPr>
            </w:pPr>
          </w:p>
          <w:p w14:paraId="5E014346" w14:textId="77777777" w:rsidR="0037112B" w:rsidRPr="00F22613" w:rsidRDefault="0037112B" w:rsidP="00A90DE9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Degree – foot strike compared to the ground</w:t>
            </w:r>
          </w:p>
          <w:p w14:paraId="717EC951" w14:textId="77777777" w:rsidR="0037112B" w:rsidRPr="00F22613" w:rsidRDefault="0037112B" w:rsidP="00204562">
            <w:pPr>
              <w:pBdr>
                <w:bottom w:val="single" w:sz="6" w:space="1" w:color="auto"/>
              </w:pBdr>
              <w:rPr>
                <w:rFonts w:cstheme="minorHAnsi"/>
                <w:bCs/>
              </w:rPr>
            </w:pPr>
          </w:p>
          <w:p w14:paraId="27FE100E" w14:textId="738EF17F" w:rsidR="0037112B" w:rsidRPr="00F22613" w:rsidRDefault="00455BA9" w:rsidP="00204562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Share video of runner with non-rearfoot strike pattern</w:t>
            </w:r>
          </w:p>
        </w:tc>
        <w:tc>
          <w:tcPr>
            <w:tcW w:w="4829" w:type="dxa"/>
          </w:tcPr>
          <w:p w14:paraId="58BAA4A7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  <w:noProof/>
              </w:rPr>
              <w:drawing>
                <wp:anchor distT="0" distB="0" distL="114300" distR="114300" simplePos="0" relativeHeight="251660288" behindDoc="0" locked="0" layoutInCell="1" allowOverlap="1" wp14:anchorId="78163448" wp14:editId="06E0AB4A">
                  <wp:simplePos x="0" y="0"/>
                  <wp:positionH relativeFrom="column">
                    <wp:posOffset>434340</wp:posOffset>
                  </wp:positionH>
                  <wp:positionV relativeFrom="paragraph">
                    <wp:posOffset>37253</wp:posOffset>
                  </wp:positionV>
                  <wp:extent cx="2091266" cy="1345059"/>
                  <wp:effectExtent l="0" t="0" r="4445" b="762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ircle Visual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827" b="9994"/>
                          <a:stretch/>
                        </pic:blipFill>
                        <pic:spPr bwMode="auto">
                          <a:xfrm>
                            <a:off x="0" y="0"/>
                            <a:ext cx="2091266" cy="1345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B4B8405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6B147620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0B04A051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4B86EC1D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121CE037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78D262FC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</w:p>
          <w:p w14:paraId="3A2C68EA" w14:textId="77777777" w:rsidR="0037112B" w:rsidRPr="00F22613" w:rsidRDefault="0037112B" w:rsidP="006133AA">
            <w:pPr>
              <w:pBdr>
                <w:bottom w:val="single" w:sz="6" w:space="1" w:color="auto"/>
              </w:pBdr>
              <w:jc w:val="center"/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  <w:noProof/>
              </w:rPr>
              <w:drawing>
                <wp:anchor distT="0" distB="0" distL="114300" distR="114300" simplePos="0" relativeHeight="251659264" behindDoc="0" locked="0" layoutInCell="1" allowOverlap="1" wp14:anchorId="7417F68B" wp14:editId="565A2955">
                  <wp:simplePos x="0" y="0"/>
                  <wp:positionH relativeFrom="column">
                    <wp:posOffset>103717</wp:posOffset>
                  </wp:positionH>
                  <wp:positionV relativeFrom="page">
                    <wp:posOffset>1459230</wp:posOffset>
                  </wp:positionV>
                  <wp:extent cx="2742694" cy="1540934"/>
                  <wp:effectExtent l="0" t="0" r="635" b="254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ngle Visual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432" b="12958"/>
                          <a:stretch/>
                        </pic:blipFill>
                        <pic:spPr bwMode="auto">
                          <a:xfrm>
                            <a:off x="0" y="0"/>
                            <a:ext cx="2742694" cy="15409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7112B" w:rsidRPr="00F22613" w14:paraId="52F3BE90" w14:textId="77777777" w:rsidTr="0047715B">
        <w:trPr>
          <w:trHeight w:val="314"/>
        </w:trPr>
        <w:tc>
          <w:tcPr>
            <w:tcW w:w="14485" w:type="dxa"/>
            <w:gridSpan w:val="3"/>
          </w:tcPr>
          <w:p w14:paraId="251C8A56" w14:textId="77777777" w:rsidR="0037112B" w:rsidRPr="00F22613" w:rsidRDefault="0037112B" w:rsidP="005364DE">
            <w:pPr>
              <w:jc w:val="center"/>
              <w:rPr>
                <w:rFonts w:cstheme="minorHAnsi"/>
                <w:b/>
                <w:bCs/>
              </w:rPr>
            </w:pPr>
            <w:r w:rsidRPr="00F22613">
              <w:rPr>
                <w:rFonts w:cstheme="minorHAnsi"/>
                <w:b/>
                <w:bCs/>
              </w:rPr>
              <w:t>Step Rate</w:t>
            </w:r>
          </w:p>
        </w:tc>
      </w:tr>
      <w:tr w:rsidR="0037112B" w:rsidRPr="00F22613" w14:paraId="20A4A392" w14:textId="77777777" w:rsidTr="0047715B">
        <w:trPr>
          <w:trHeight w:val="233"/>
        </w:trPr>
        <w:tc>
          <w:tcPr>
            <w:tcW w:w="4828" w:type="dxa"/>
          </w:tcPr>
          <w:p w14:paraId="6BE2726D" w14:textId="77777777" w:rsidR="0037112B" w:rsidRPr="00F22613" w:rsidRDefault="0037112B" w:rsidP="005364DE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  <w:bCs/>
              </w:rPr>
              <w:t>Verbal Cues</w:t>
            </w:r>
          </w:p>
        </w:tc>
        <w:tc>
          <w:tcPr>
            <w:tcW w:w="4828" w:type="dxa"/>
          </w:tcPr>
          <w:p w14:paraId="694CB0D0" w14:textId="77777777" w:rsidR="0037112B" w:rsidRPr="00F22613" w:rsidRDefault="0037112B" w:rsidP="005364DE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Visual Cues</w:t>
            </w:r>
          </w:p>
        </w:tc>
        <w:tc>
          <w:tcPr>
            <w:tcW w:w="4829" w:type="dxa"/>
          </w:tcPr>
          <w:p w14:paraId="3E280716" w14:textId="77777777" w:rsidR="0037112B" w:rsidRPr="00F22613" w:rsidRDefault="0037112B" w:rsidP="005364DE">
            <w:pPr>
              <w:jc w:val="center"/>
              <w:rPr>
                <w:rFonts w:cstheme="minorHAnsi"/>
                <w:b/>
              </w:rPr>
            </w:pPr>
            <w:r w:rsidRPr="00F22613">
              <w:rPr>
                <w:rFonts w:cstheme="minorHAnsi"/>
                <w:b/>
              </w:rPr>
              <w:t>Visual Example</w:t>
            </w:r>
          </w:p>
        </w:tc>
      </w:tr>
      <w:tr w:rsidR="0037112B" w:rsidRPr="00F22613" w14:paraId="2CE581C9" w14:textId="77777777" w:rsidTr="0047715B">
        <w:trPr>
          <w:trHeight w:val="972"/>
        </w:trPr>
        <w:tc>
          <w:tcPr>
            <w:tcW w:w="4828" w:type="dxa"/>
          </w:tcPr>
          <w:p w14:paraId="6723E3F0" w14:textId="77777777" w:rsidR="0037112B" w:rsidRPr="00F22613" w:rsidRDefault="0037112B" w:rsidP="005364DE">
            <w:pPr>
              <w:jc w:val="both"/>
              <w:rPr>
                <w:rFonts w:cstheme="minorHAnsi"/>
              </w:rPr>
            </w:pPr>
            <w:r w:rsidRPr="00F22613">
              <w:rPr>
                <w:rFonts w:cstheme="minorHAnsi"/>
              </w:rPr>
              <w:t>“</w:t>
            </w:r>
            <w:proofErr w:type="gramStart"/>
            <w:r w:rsidRPr="00F22613">
              <w:rPr>
                <w:rFonts w:cstheme="minorHAnsi"/>
              </w:rPr>
              <w:t>take</w:t>
            </w:r>
            <w:proofErr w:type="gramEnd"/>
            <w:r w:rsidRPr="00F22613">
              <w:rPr>
                <w:rFonts w:cstheme="minorHAnsi"/>
              </w:rPr>
              <w:t xml:space="preserve"> shorter steps” </w:t>
            </w:r>
            <w:r w:rsidRPr="00F22613">
              <w:rPr>
                <w:rFonts w:cstheme="minorHAnsi"/>
                <w:noProof/>
              </w:rPr>
              <w:t>(Helmhout, et al., 2015)</w:t>
            </w:r>
          </w:p>
          <w:p w14:paraId="66EC6E76" w14:textId="77777777" w:rsidR="0037112B" w:rsidRPr="00F22613" w:rsidRDefault="0037112B" w:rsidP="00204562">
            <w:pPr>
              <w:jc w:val="both"/>
              <w:rPr>
                <w:rFonts w:cstheme="minorHAnsi"/>
              </w:rPr>
            </w:pPr>
            <w:r w:rsidRPr="00F22613">
              <w:rPr>
                <w:rFonts w:cstheme="minorHAnsi"/>
              </w:rPr>
              <w:t>“</w:t>
            </w:r>
            <w:proofErr w:type="gramStart"/>
            <w:r w:rsidRPr="00F22613">
              <w:rPr>
                <w:rFonts w:cstheme="minorHAnsi"/>
              </w:rPr>
              <w:t>take</w:t>
            </w:r>
            <w:proofErr w:type="gramEnd"/>
            <w:r w:rsidRPr="00F22613">
              <w:rPr>
                <w:rFonts w:cstheme="minorHAnsi"/>
              </w:rPr>
              <w:t xml:space="preserve"> quicker steps” </w:t>
            </w:r>
            <w:r w:rsidRPr="00F22613">
              <w:rPr>
                <w:rFonts w:cstheme="minorHAnsi"/>
                <w:noProof/>
              </w:rPr>
              <w:t>(Helmhout, et al., 2015)</w:t>
            </w:r>
          </w:p>
        </w:tc>
        <w:tc>
          <w:tcPr>
            <w:tcW w:w="4828" w:type="dxa"/>
          </w:tcPr>
          <w:p w14:paraId="1756A3E0" w14:textId="77777777" w:rsidR="0037112B" w:rsidRPr="00F22613" w:rsidRDefault="0037112B" w:rsidP="00A90DE9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Line(s) – center of mass to heel-strike</w:t>
            </w:r>
          </w:p>
          <w:p w14:paraId="71D97747" w14:textId="77777777" w:rsidR="0037112B" w:rsidRPr="00F22613" w:rsidRDefault="0037112B" w:rsidP="00A90DE9">
            <w:pPr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</w:rPr>
              <w:t>N/A</w:t>
            </w:r>
          </w:p>
        </w:tc>
        <w:tc>
          <w:tcPr>
            <w:tcW w:w="4829" w:type="dxa"/>
          </w:tcPr>
          <w:p w14:paraId="3EC1D3C2" w14:textId="77777777" w:rsidR="0037112B" w:rsidRPr="00F22613" w:rsidRDefault="0037112B" w:rsidP="00F108E9">
            <w:pPr>
              <w:jc w:val="center"/>
              <w:rPr>
                <w:rFonts w:cstheme="minorHAnsi"/>
                <w:bCs/>
              </w:rPr>
            </w:pPr>
            <w:r w:rsidRPr="00F22613">
              <w:rPr>
                <w:rFonts w:cstheme="minorHAnsi"/>
                <w:bCs/>
                <w:noProof/>
              </w:rPr>
              <w:drawing>
                <wp:inline distT="0" distB="0" distL="0" distR="0" wp14:anchorId="5BF07F03" wp14:editId="25271662">
                  <wp:extent cx="2484120" cy="1943134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0095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3333" b="12667"/>
                          <a:stretch/>
                        </pic:blipFill>
                        <pic:spPr bwMode="auto">
                          <a:xfrm>
                            <a:off x="0" y="0"/>
                            <a:ext cx="2484120" cy="19431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5A6325" w14:textId="77777777" w:rsidR="00F22613" w:rsidRDefault="00F22613" w:rsidP="003C6A99">
      <w:pPr>
        <w:pStyle w:val="EndNoteBibliographyTitle"/>
        <w:jc w:val="left"/>
        <w:rPr>
          <w:rFonts w:asciiTheme="minorHAnsi" w:hAnsiTheme="minorHAnsi" w:cstheme="minorHAnsi"/>
          <w:sz w:val="22"/>
        </w:rPr>
      </w:pPr>
    </w:p>
    <w:p w14:paraId="4C651EB4" w14:textId="77777777" w:rsidR="00F22613" w:rsidRDefault="00F22613" w:rsidP="003C6A99">
      <w:pPr>
        <w:pStyle w:val="EndNoteBibliographyTitle"/>
        <w:jc w:val="left"/>
        <w:rPr>
          <w:rFonts w:asciiTheme="minorHAnsi" w:hAnsiTheme="minorHAnsi" w:cstheme="minorHAnsi"/>
          <w:sz w:val="22"/>
        </w:rPr>
      </w:pPr>
    </w:p>
    <w:p w14:paraId="656CE97C" w14:textId="77777777" w:rsidR="00F22613" w:rsidRDefault="00F22613" w:rsidP="003C6A99">
      <w:pPr>
        <w:pStyle w:val="EndNoteBibliographyTitle"/>
        <w:jc w:val="left"/>
        <w:rPr>
          <w:rFonts w:asciiTheme="minorHAnsi" w:hAnsiTheme="minorHAnsi" w:cstheme="minorHAnsi"/>
          <w:sz w:val="22"/>
        </w:rPr>
      </w:pPr>
    </w:p>
    <w:p w14:paraId="7BB0BA5B" w14:textId="5E57B2A2" w:rsidR="0037112B" w:rsidRPr="00F22613" w:rsidRDefault="0037112B" w:rsidP="003C6A99">
      <w:pPr>
        <w:pStyle w:val="EndNoteBibliographyTitle"/>
        <w:jc w:val="left"/>
        <w:rPr>
          <w:rFonts w:asciiTheme="minorHAnsi" w:hAnsiTheme="minorHAnsi" w:cstheme="minorHAnsi"/>
          <w:sz w:val="22"/>
        </w:rPr>
      </w:pPr>
      <w:r w:rsidRPr="00F22613">
        <w:rPr>
          <w:rFonts w:asciiTheme="minorHAnsi" w:hAnsiTheme="minorHAnsi" w:cstheme="minorHAnsi"/>
          <w:sz w:val="22"/>
        </w:rPr>
        <w:lastRenderedPageBreak/>
        <w:t>References</w:t>
      </w:r>
    </w:p>
    <w:p w14:paraId="45EA3A0E" w14:textId="77777777" w:rsidR="0037112B" w:rsidRPr="00F22613" w:rsidRDefault="0037112B" w:rsidP="003C6A99">
      <w:pPr>
        <w:pStyle w:val="EndNoteBibliographyTitle"/>
        <w:rPr>
          <w:rFonts w:asciiTheme="minorHAnsi" w:hAnsiTheme="minorHAnsi" w:cstheme="minorHAnsi"/>
          <w:sz w:val="22"/>
        </w:rPr>
      </w:pPr>
    </w:p>
    <w:p w14:paraId="45C214CF" w14:textId="77777777" w:rsidR="0037112B" w:rsidRPr="00F22613" w:rsidRDefault="0037112B" w:rsidP="003C6A99">
      <w:pPr>
        <w:pStyle w:val="EndNoteBibliography"/>
        <w:spacing w:after="0"/>
        <w:ind w:left="720" w:hanging="720"/>
        <w:rPr>
          <w:rFonts w:asciiTheme="minorHAnsi" w:hAnsiTheme="minorHAnsi" w:cstheme="minorHAnsi"/>
          <w:sz w:val="22"/>
        </w:rPr>
      </w:pPr>
      <w:r w:rsidRPr="00F22613">
        <w:rPr>
          <w:rFonts w:asciiTheme="minorHAnsi" w:hAnsiTheme="minorHAnsi" w:cstheme="minorHAnsi"/>
          <w:sz w:val="22"/>
        </w:rPr>
        <w:t xml:space="preserve">Chow, J. Y., Woo, M. T., &amp; Koh, M. (2014). Effects of external and internal attention focus training on foot-strike patterns in running. </w:t>
      </w:r>
      <w:r w:rsidRPr="00F22613">
        <w:rPr>
          <w:rFonts w:asciiTheme="minorHAnsi" w:hAnsiTheme="minorHAnsi" w:cstheme="minorHAnsi"/>
          <w:i/>
          <w:sz w:val="22"/>
        </w:rPr>
        <w:t>International Journal of Sports Science &amp; Coaching, 9</w:t>
      </w:r>
      <w:r w:rsidRPr="00F22613">
        <w:rPr>
          <w:rFonts w:asciiTheme="minorHAnsi" w:hAnsiTheme="minorHAnsi" w:cstheme="minorHAnsi"/>
          <w:sz w:val="22"/>
        </w:rPr>
        <w:t xml:space="preserve">(2), pp. 307-320. </w:t>
      </w:r>
    </w:p>
    <w:p w14:paraId="41A52E5A" w14:textId="77777777" w:rsidR="0037112B" w:rsidRPr="00F22613" w:rsidRDefault="0037112B" w:rsidP="003C6A99">
      <w:pPr>
        <w:pStyle w:val="EndNoteBibliography"/>
        <w:spacing w:after="0"/>
        <w:ind w:left="720" w:hanging="720"/>
        <w:rPr>
          <w:rFonts w:asciiTheme="minorHAnsi" w:hAnsiTheme="minorHAnsi" w:cstheme="minorHAnsi"/>
          <w:sz w:val="22"/>
        </w:rPr>
      </w:pPr>
      <w:r w:rsidRPr="00F22613">
        <w:rPr>
          <w:rFonts w:asciiTheme="minorHAnsi" w:hAnsiTheme="minorHAnsi" w:cstheme="minorHAnsi"/>
          <w:sz w:val="22"/>
        </w:rPr>
        <w:t xml:space="preserve">Helmhout, P. H., Diebal, A. R., van der Kaaden, L., Harts, C. C., Beutler, A., &amp; Zimmermann, W. O. (2015). The Effectiveness of a 6-Week Intervention Program Aimed at Modifying Running Style in Patients With Chronic Exertional Compartment Syndrome: Results From a Series of Case Studies. </w:t>
      </w:r>
      <w:r w:rsidRPr="00F22613">
        <w:rPr>
          <w:rFonts w:asciiTheme="minorHAnsi" w:hAnsiTheme="minorHAnsi" w:cstheme="minorHAnsi"/>
          <w:i/>
          <w:sz w:val="22"/>
        </w:rPr>
        <w:t>Orthopaedic Journal of Sports Medicine, 3</w:t>
      </w:r>
      <w:r w:rsidRPr="00F22613">
        <w:rPr>
          <w:rFonts w:asciiTheme="minorHAnsi" w:hAnsiTheme="minorHAnsi" w:cstheme="minorHAnsi"/>
          <w:sz w:val="22"/>
        </w:rPr>
        <w:t>(3), p 2325967115575691. doi:10.1177/2325967115575691 Retrieved from https://www.ncbi.nlm.nih.gov/pubmed/26665032</w:t>
      </w:r>
    </w:p>
    <w:p w14:paraId="78F014C6" w14:textId="77777777" w:rsidR="0037112B" w:rsidRPr="00F22613" w:rsidRDefault="0037112B" w:rsidP="003C6A99">
      <w:pPr>
        <w:pStyle w:val="EndNoteBibliography"/>
        <w:spacing w:after="0"/>
        <w:ind w:left="720" w:hanging="720"/>
        <w:rPr>
          <w:rFonts w:asciiTheme="minorHAnsi" w:hAnsiTheme="minorHAnsi" w:cstheme="minorHAnsi"/>
          <w:sz w:val="22"/>
        </w:rPr>
      </w:pPr>
      <w:r w:rsidRPr="00F22613">
        <w:rPr>
          <w:rFonts w:asciiTheme="minorHAnsi" w:hAnsiTheme="minorHAnsi" w:cstheme="minorHAnsi"/>
          <w:sz w:val="22"/>
        </w:rPr>
        <w:t xml:space="preserve">Moore, I. S., Phillips, D. J., Ashford, K. J., Mullen, R., Goom, T., &amp; Gittoes, M. R. J. (2019). An interdisciplinary examination of attentional focus strategies used during running gait retraining. </w:t>
      </w:r>
      <w:r w:rsidRPr="00F22613">
        <w:rPr>
          <w:rFonts w:asciiTheme="minorHAnsi" w:hAnsiTheme="minorHAnsi" w:cstheme="minorHAnsi"/>
          <w:i/>
          <w:sz w:val="22"/>
        </w:rPr>
        <w:t>Scandinavian Journal of Medicine &amp; Science in Sports, 29</w:t>
      </w:r>
      <w:r w:rsidRPr="00F22613">
        <w:rPr>
          <w:rFonts w:asciiTheme="minorHAnsi" w:hAnsiTheme="minorHAnsi" w:cstheme="minorHAnsi"/>
          <w:sz w:val="22"/>
        </w:rPr>
        <w:t>(10), pp. 1572-1582. doi:10.1111/sms.13490 Retrieved from https://www.ncbi.nlm.nih.gov/pubmed/31149751</w:t>
      </w:r>
    </w:p>
    <w:p w14:paraId="2D59E738" w14:textId="77777777" w:rsidR="0037112B" w:rsidRPr="00F22613" w:rsidRDefault="0037112B" w:rsidP="003C6A99">
      <w:pPr>
        <w:pStyle w:val="EndNoteBibliography"/>
        <w:ind w:left="720" w:hanging="720"/>
        <w:rPr>
          <w:rFonts w:asciiTheme="minorHAnsi" w:hAnsiTheme="minorHAnsi" w:cstheme="minorHAnsi"/>
          <w:sz w:val="22"/>
        </w:rPr>
      </w:pPr>
      <w:r w:rsidRPr="00F22613">
        <w:rPr>
          <w:rFonts w:asciiTheme="minorHAnsi" w:hAnsiTheme="minorHAnsi" w:cstheme="minorHAnsi"/>
          <w:sz w:val="22"/>
        </w:rPr>
        <w:t xml:space="preserve">Roper, J. L., Harding, E. M., Doerfler, D., Dexter, J. G., Kravitz, L., Dufek, J. S., &amp; Mermier, C. M. (2016). The effects of gait retraining in runners with patellofemoral pain: A randomized trial. </w:t>
      </w:r>
      <w:r w:rsidRPr="00F22613">
        <w:rPr>
          <w:rFonts w:asciiTheme="minorHAnsi" w:hAnsiTheme="minorHAnsi" w:cstheme="minorHAnsi"/>
          <w:i/>
          <w:sz w:val="22"/>
        </w:rPr>
        <w:t>Clin Biomech (Bristol, Avon), 35</w:t>
      </w:r>
      <w:r w:rsidRPr="00F22613">
        <w:rPr>
          <w:rFonts w:asciiTheme="minorHAnsi" w:hAnsiTheme="minorHAnsi" w:cstheme="minorHAnsi"/>
          <w:sz w:val="22"/>
        </w:rPr>
        <w:t>, pp. 14-22. doi:10.1016/j.clinbiomech.2016.03.010 Retrieved from https://www.ncbi.nlm.nih.gov/pubmed/27111879</w:t>
      </w:r>
    </w:p>
    <w:p w14:paraId="6D080969" w14:textId="77777777" w:rsidR="0037112B" w:rsidRPr="00F22613" w:rsidRDefault="0037112B" w:rsidP="004D4DD7">
      <w:pPr>
        <w:rPr>
          <w:rFonts w:cstheme="minorHAnsi"/>
        </w:rPr>
      </w:pPr>
    </w:p>
    <w:p w14:paraId="685DF894" w14:textId="77777777" w:rsidR="001777BF" w:rsidRPr="00F22613" w:rsidRDefault="001777BF">
      <w:pPr>
        <w:rPr>
          <w:rFonts w:cstheme="minorHAnsi"/>
        </w:rPr>
      </w:pPr>
    </w:p>
    <w:sectPr w:rsidR="001777BF" w:rsidRPr="00F22613" w:rsidSect="0037112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813C7"/>
    <w:multiLevelType w:val="hybridMultilevel"/>
    <w:tmpl w:val="C36E0776"/>
    <w:lvl w:ilvl="0" w:tplc="84B8FFA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F1835"/>
    <w:multiLevelType w:val="hybridMultilevel"/>
    <w:tmpl w:val="C0168852"/>
    <w:lvl w:ilvl="0" w:tplc="84B8FFA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E1079"/>
    <w:multiLevelType w:val="hybridMultilevel"/>
    <w:tmpl w:val="F7E0128A"/>
    <w:lvl w:ilvl="0" w:tplc="1A9E7474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2127776385">
    <w:abstractNumId w:val="0"/>
  </w:num>
  <w:num w:numId="2" w16cid:durableId="103185858">
    <w:abstractNumId w:val="1"/>
  </w:num>
  <w:num w:numId="3" w16cid:durableId="6744595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7112B"/>
    <w:rsid w:val="00170943"/>
    <w:rsid w:val="001777BF"/>
    <w:rsid w:val="0037112B"/>
    <w:rsid w:val="00455BA9"/>
    <w:rsid w:val="00881581"/>
    <w:rsid w:val="00AD6C13"/>
    <w:rsid w:val="00E5419F"/>
    <w:rsid w:val="00F2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54857"/>
  <w15:chartTrackingRefBased/>
  <w15:docId w15:val="{5655803E-9C77-4506-B153-0ACC8B6DD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1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1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37112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37112B"/>
    <w:rPr>
      <w:rFonts w:ascii="Arial" w:eastAsia="Arial" w:hAnsi="Arial" w:cs="Arial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11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12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7112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711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112B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37112B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112B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37112B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7112B"/>
    <w:rPr>
      <w:rFonts w:ascii="Times New Roman" w:hAnsi="Times New Roman" w:cs="Times New Roman"/>
      <w:noProof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7112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81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1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1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5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Brindle</dc:creator>
  <cp:keywords/>
  <dc:description/>
  <cp:lastModifiedBy>Michael Crowell</cp:lastModifiedBy>
  <cp:revision>3</cp:revision>
  <dcterms:created xsi:type="dcterms:W3CDTF">2022-12-02T20:02:00Z</dcterms:created>
  <dcterms:modified xsi:type="dcterms:W3CDTF">2022-12-02T20:06:00Z</dcterms:modified>
</cp:coreProperties>
</file>