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DC67904" w14:textId="77777777" w:rsidR="00A37E86" w:rsidRDefault="00547E93">
      <w:pPr>
        <w:widowControl w:val="0"/>
        <w:pBdr>
          <w:top w:val="nil"/>
          <w:left w:val="nil"/>
          <w:bottom w:val="nil"/>
          <w:right w:val="nil"/>
          <w:between w:val="nil"/>
        </w:pBdr>
        <w:spacing w:line="240" w:lineRule="auto"/>
        <w:ind w:left="17"/>
        <w:rPr>
          <w:b/>
          <w:color w:val="000000"/>
        </w:rPr>
      </w:pPr>
      <w:r>
        <w:rPr>
          <w:b/>
          <w:color w:val="000000"/>
        </w:rPr>
        <w:t xml:space="preserve">Figures:  </w:t>
      </w:r>
    </w:p>
    <w:p w14:paraId="7ED93044" w14:textId="77777777" w:rsidR="00A37E86" w:rsidRDefault="00547E93">
      <w:pPr>
        <w:widowControl w:val="0"/>
        <w:pBdr>
          <w:top w:val="nil"/>
          <w:left w:val="nil"/>
          <w:bottom w:val="nil"/>
          <w:right w:val="nil"/>
          <w:between w:val="nil"/>
        </w:pBdr>
        <w:spacing w:before="565" w:line="208" w:lineRule="auto"/>
        <w:ind w:left="19" w:right="368" w:hanging="19"/>
        <w:rPr>
          <w:color w:val="000000"/>
        </w:rPr>
      </w:pPr>
      <w:r>
        <w:rPr>
          <w:noProof/>
          <w:color w:val="000000"/>
        </w:rPr>
        <w:drawing>
          <wp:inline distT="19050" distB="19050" distL="19050" distR="19050" wp14:anchorId="0524F7EA" wp14:editId="76478B52">
            <wp:extent cx="6096635" cy="3429001"/>
            <wp:effectExtent l="0" t="0" r="0" b="0"/>
            <wp:docPr id="11"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5"/>
                    <a:srcRect/>
                    <a:stretch>
                      <a:fillRect/>
                    </a:stretch>
                  </pic:blipFill>
                  <pic:spPr>
                    <a:xfrm>
                      <a:off x="0" y="0"/>
                      <a:ext cx="6096635" cy="3429001"/>
                    </a:xfrm>
                    <a:prstGeom prst="rect">
                      <a:avLst/>
                    </a:prstGeom>
                    <a:ln/>
                  </pic:spPr>
                </pic:pic>
              </a:graphicData>
            </a:graphic>
          </wp:inline>
        </w:drawing>
      </w:r>
      <w:r>
        <w:rPr>
          <w:color w:val="000000"/>
        </w:rPr>
        <w:t>F</w:t>
      </w:r>
      <w:r>
        <w:rPr>
          <w:color w:val="000000"/>
        </w:rPr>
        <w:t xml:space="preserve">igure S1. </w:t>
      </w:r>
    </w:p>
    <w:p w14:paraId="6D1D8F98" w14:textId="77777777" w:rsidR="00A37E86" w:rsidRDefault="00547E93">
      <w:pPr>
        <w:widowControl w:val="0"/>
        <w:pBdr>
          <w:top w:val="nil"/>
          <w:left w:val="nil"/>
          <w:bottom w:val="nil"/>
          <w:right w:val="nil"/>
          <w:between w:val="nil"/>
        </w:pBdr>
        <w:spacing w:before="83" w:line="458" w:lineRule="auto"/>
        <w:ind w:left="2" w:right="656" w:firstLine="6"/>
        <w:rPr>
          <w:color w:val="000000"/>
        </w:rPr>
      </w:pPr>
      <w:r>
        <w:rPr>
          <w:color w:val="000000"/>
        </w:rPr>
        <w:t>a) Cholinergic blockade enhances latency to dark in WT mice (black bars) and rescues latency  to dar</w:t>
      </w:r>
      <w:r>
        <w:rPr>
          <w:color w:val="000000"/>
        </w:rPr>
        <w:t xml:space="preserve">k in lynx2KO mice (white bars) in the light dark box assay. WT: One-Way ANOVA  p=0.037; Tukey post hoc WT vs WT MLA p=0.040. WT n=11, WT Mec n=13. WT MLA n=10,  WT DHBE n=11. 95% CI, WT [16.834, 47.166], WT Mec [52.032], WT MLA [60.060, 168.540],  WT DHBE </w:t>
      </w:r>
      <w:r>
        <w:rPr>
          <w:color w:val="000000"/>
        </w:rPr>
        <w:t xml:space="preserve">[42.855, 150.417]. Cohen’s d, WT vs WT Mec = 1.097, WT vs WT MLA = 1.445, WT  vs WT DHBE =1.057. KO: One-way ANOVA p=0.003; Bonferroni post hoc L2KO vs L2KO Mec p=0.009, L2KO vs L2KO DHBE n= 0.011. L2KO n= 15, L2KO Mec n=16, L2KO MLA n=14, </w:t>
      </w:r>
    </w:p>
    <w:p w14:paraId="221AB3D4" w14:textId="77777777" w:rsidR="00A37E86" w:rsidRDefault="00547E93">
      <w:pPr>
        <w:widowControl w:val="0"/>
        <w:pBdr>
          <w:top w:val="nil"/>
          <w:left w:val="nil"/>
          <w:bottom w:val="nil"/>
          <w:right w:val="nil"/>
          <w:between w:val="nil"/>
        </w:pBdr>
        <w:spacing w:before="482" w:line="240" w:lineRule="auto"/>
        <w:ind w:right="607"/>
        <w:jc w:val="right"/>
        <w:rPr>
          <w:color w:val="000000"/>
        </w:rPr>
      </w:pPr>
      <w:r>
        <w:rPr>
          <w:color w:val="000000"/>
        </w:rPr>
        <w:t xml:space="preserve">8 </w:t>
      </w:r>
    </w:p>
    <w:p w14:paraId="75719E5C" w14:textId="77777777" w:rsidR="00A37E86" w:rsidRDefault="00547E93">
      <w:pPr>
        <w:widowControl w:val="0"/>
        <w:pBdr>
          <w:top w:val="nil"/>
          <w:left w:val="nil"/>
          <w:bottom w:val="nil"/>
          <w:right w:val="nil"/>
          <w:between w:val="nil"/>
        </w:pBdr>
        <w:spacing w:line="458" w:lineRule="auto"/>
        <w:ind w:left="2" w:right="706" w:firstLine="15"/>
        <w:rPr>
          <w:color w:val="000000"/>
        </w:rPr>
      </w:pPr>
      <w:r>
        <w:rPr>
          <w:color w:val="000000"/>
        </w:rPr>
        <w:t xml:space="preserve">L2KO DHBE n=14. 95% CI, L2KO [5.483, 13.717], L2KO Me c[42.231,108.394], L2KO MLA  [33.159, 77.302], L2KO DHBE [6.313,170.937]. Cohen’s d, L2KO vs L2KO Mec = 1.424, L2KO  vs L2KO MLA = 1.744, L2KO vs L2KO DHBE =1.332. </w:t>
      </w:r>
    </w:p>
    <w:p w14:paraId="22D5212A" w14:textId="77777777" w:rsidR="00A37E86" w:rsidRDefault="00547E93">
      <w:pPr>
        <w:widowControl w:val="0"/>
        <w:pBdr>
          <w:top w:val="nil"/>
          <w:left w:val="nil"/>
          <w:bottom w:val="nil"/>
          <w:right w:val="nil"/>
          <w:between w:val="nil"/>
        </w:pBdr>
        <w:spacing w:before="45" w:line="458" w:lineRule="auto"/>
        <w:ind w:left="3" w:right="587" w:firstLine="9"/>
        <w:jc w:val="both"/>
        <w:rPr>
          <w:color w:val="000000"/>
        </w:rPr>
      </w:pPr>
      <w:r>
        <w:rPr>
          <w:color w:val="000000"/>
        </w:rPr>
        <w:t>b) In ventral tegmental area (VTA) pu</w:t>
      </w:r>
      <w:r>
        <w:rPr>
          <w:color w:val="000000"/>
        </w:rPr>
        <w:t xml:space="preserve">nches taken 1 hour after tone-shock pairings in naive mice  which did not undergo defeat mice, lynx2KO mice (lane 4) have reduced protein levels of BDNF  as compared to WT mice (lane 2). After CSDS, both WT and lynx2KO mice display an increase  </w:t>
      </w:r>
    </w:p>
    <w:p w14:paraId="656617E8" w14:textId="77777777" w:rsidR="00A37E86" w:rsidRDefault="00547E93">
      <w:pPr>
        <w:widowControl w:val="0"/>
        <w:pBdr>
          <w:top w:val="nil"/>
          <w:left w:val="nil"/>
          <w:bottom w:val="nil"/>
          <w:right w:val="nil"/>
          <w:between w:val="nil"/>
        </w:pBdr>
        <w:spacing w:before="48" w:line="458" w:lineRule="auto"/>
        <w:ind w:left="9" w:right="615" w:firstLine="4"/>
        <w:rPr>
          <w:color w:val="000000"/>
        </w:rPr>
      </w:pPr>
      <w:r>
        <w:rPr>
          <w:color w:val="000000"/>
        </w:rPr>
        <w:lastRenderedPageBreak/>
        <w:t xml:space="preserve">in BDNF protein but the increase is greater in susceptible WT mice (lane 1) as compared to  lynx2KO resilient mice (lane 3). There are no differences in actin control band intensity between  groups. </w:t>
      </w:r>
    </w:p>
    <w:p w14:paraId="18AFFC58" w14:textId="77777777" w:rsidR="00A37E86" w:rsidRDefault="00547E93">
      <w:pPr>
        <w:widowControl w:val="0"/>
        <w:pBdr>
          <w:top w:val="nil"/>
          <w:left w:val="nil"/>
          <w:bottom w:val="nil"/>
          <w:right w:val="nil"/>
          <w:between w:val="nil"/>
        </w:pBdr>
        <w:spacing w:before="45" w:line="458" w:lineRule="auto"/>
        <w:ind w:left="15" w:right="1264" w:hanging="5"/>
        <w:rPr>
          <w:color w:val="000000"/>
        </w:rPr>
      </w:pPr>
      <w:r>
        <w:rPr>
          <w:color w:val="000000"/>
        </w:rPr>
        <w:t xml:space="preserve">c) The increase in BDNF protein levels is greater in WT </w:t>
      </w:r>
      <w:r>
        <w:rPr>
          <w:color w:val="000000"/>
        </w:rPr>
        <w:t>susceptible mice as compared to  lynx2KO resilient mice. WT n=3, lynx2KO n=3.</w:t>
      </w:r>
    </w:p>
    <w:p w14:paraId="32708660" w14:textId="77777777" w:rsidR="00A37E86" w:rsidRDefault="00547E93">
      <w:pPr>
        <w:widowControl w:val="0"/>
        <w:pBdr>
          <w:top w:val="nil"/>
          <w:left w:val="nil"/>
          <w:bottom w:val="nil"/>
          <w:right w:val="nil"/>
          <w:between w:val="nil"/>
        </w:pBdr>
        <w:spacing w:before="7654" w:line="240" w:lineRule="auto"/>
        <w:ind w:right="607"/>
        <w:jc w:val="right"/>
        <w:rPr>
          <w:color w:val="000000"/>
        </w:rPr>
      </w:pPr>
      <w:r>
        <w:rPr>
          <w:color w:val="000000"/>
        </w:rPr>
        <w:t xml:space="preserve">9 </w:t>
      </w:r>
    </w:p>
    <w:sectPr w:rsidR="00A37E86">
      <w:pgSz w:w="12240" w:h="15840"/>
      <w:pgMar w:top="1428" w:right="830" w:bottom="1017"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auto"/>
    <w:pitch w:val="default"/>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37E86"/>
    <w:rsid w:val="00547E93"/>
    <w:rsid w:val="00A37E86"/>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60F8BF6"/>
  <w15:docId w15:val="{30E8FAD2-7681-4118-A798-FCE0097C1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Arial" w:eastAsia="Arial" w:hAnsi="Arial" w:cs="Arial"/>
        <w:sz w:val="22"/>
        <w:szCs w:val="22"/>
        <w:lang w:val="en-US" w:eastAsia="en-I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hhctOnPTaVCfemlYuZYRIn6gTWsw==">AMUW2mWU7+oRbhAt6q3xoa4kWDcSo11jPfCiWk7VlK6ctF/D2QqYooFS7Gzil/n5/oMbmtEz3rsZikau1kihFRGK52x2yx9yd1+6Kiewj7tYuMjN3dDRyLz05wr/l+QDPgmjpUYKLnrinDKC/AlG1Qc2hG4Xs2yWY7uDTKafSalnaFU8PHuA/7g8kVLcsskzxTd4mYx4D4VxSqdle5GWD0ucPRAOWv4Lgw==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2</Pages>
  <Words>218</Words>
  <Characters>1245</Characters>
  <Application>Microsoft Office Word</Application>
  <DocSecurity>0</DocSecurity>
  <Lines>10</Lines>
  <Paragraphs>2</Paragraphs>
  <ScaleCrop>false</ScaleCrop>
  <Company>Springer Nature</Company>
  <LinksUpToDate>false</LinksUpToDate>
  <CharactersWithSpaces>1461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Amruta Dange</dc:creator>
  <cp:lastModifiedBy>Amruta Dange</cp:lastModifiedBy>
  <cp:revision>1</cp:revision>
  <dcterms:created xsi:type="dcterms:W3CDTF">2023-01-09T18:16:00Z</dcterms:created>
  <dcterms:modified xsi:type="dcterms:W3CDTF">2023-01-30T09:43:00Z</dcterms:modified>
</cp:coreProperties>
</file>