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71" w:rsidRDefault="00536A71" w:rsidP="00536A71">
      <w:pPr>
        <w:spacing w:line="480" w:lineRule="auto"/>
        <w:rPr>
          <w:rFonts w:cs="Times New Roman"/>
          <w:sz w:val="20"/>
          <w:szCs w:val="20"/>
        </w:rPr>
      </w:pPr>
      <w:r w:rsidRPr="00FD11F4">
        <w:rPr>
          <w:rFonts w:cs="Times New Roman"/>
          <w:sz w:val="20"/>
          <w:szCs w:val="20"/>
        </w:rPr>
        <w:t xml:space="preserve">Table </w:t>
      </w:r>
      <w:r w:rsidR="00C870CA">
        <w:rPr>
          <w:rFonts w:cs="Times New Roman" w:hint="eastAsia"/>
          <w:sz w:val="20"/>
          <w:szCs w:val="20"/>
        </w:rPr>
        <w:t>S</w:t>
      </w:r>
      <w:r>
        <w:rPr>
          <w:rFonts w:cs="Times New Roman" w:hint="eastAsia"/>
          <w:sz w:val="20"/>
          <w:szCs w:val="20"/>
        </w:rPr>
        <w:t>1</w:t>
      </w:r>
      <w:r w:rsidRPr="00FD11F4">
        <w:rPr>
          <w:rFonts w:cs="Times New Roman"/>
          <w:sz w:val="20"/>
          <w:szCs w:val="20"/>
        </w:rPr>
        <w:t>. The topological properties of the gene co-occurrence networks and their respective identically sized random networks</w:t>
      </w:r>
      <w:bookmarkStart w:id="0" w:name="_GoBack"/>
      <w:bookmarkEnd w:id="0"/>
    </w:p>
    <w:p w:rsidR="00536A71" w:rsidRDefault="00536A71" w:rsidP="00536A71">
      <w:pPr>
        <w:spacing w:line="480" w:lineRule="auto"/>
        <w:rPr>
          <w:rFonts w:cs="Times New Roman"/>
          <w:sz w:val="20"/>
          <w:szCs w:val="20"/>
        </w:rPr>
      </w:pPr>
    </w:p>
    <w:tbl>
      <w:tblPr>
        <w:tblpPr w:leftFromText="180" w:rightFromText="180" w:vertAnchor="page" w:horzAnchor="margin" w:tblpY="2796"/>
        <w:tblW w:w="5000" w:type="pct"/>
        <w:tblLook w:val="04A0"/>
      </w:tblPr>
      <w:tblGrid>
        <w:gridCol w:w="3271"/>
        <w:gridCol w:w="2896"/>
        <w:gridCol w:w="2355"/>
      </w:tblGrid>
      <w:tr w:rsidR="00B02F8E" w:rsidRPr="0069756D" w:rsidTr="00B02F8E">
        <w:trPr>
          <w:trHeight w:val="288"/>
        </w:trPr>
        <w:tc>
          <w:tcPr>
            <w:tcW w:w="1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Network Indexes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color w:val="131413"/>
                <w:kern w:val="0"/>
                <w:sz w:val="20"/>
                <w:szCs w:val="20"/>
              </w:rPr>
              <w:t>non-SQR9-inoculated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color w:val="131413"/>
                <w:kern w:val="0"/>
                <w:sz w:val="20"/>
                <w:szCs w:val="20"/>
              </w:rPr>
              <w:t>SQR9-inoculated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3B9F">
            <w:pPr>
              <w:widowControl/>
              <w:jc w:val="left"/>
              <w:rPr>
                <w:rFonts w:eastAsia="宋体" w:cs="Times New Roman"/>
                <w:i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i/>
                <w:color w:val="000000"/>
                <w:kern w:val="0"/>
                <w:sz w:val="18"/>
                <w:szCs w:val="18"/>
              </w:rPr>
              <w:t>Empirical Networks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Total nodes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Total links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5899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13103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Average degree (avgK)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26.04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89.14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Average clustering coefficient (avgCC)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0.689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0.836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Average path distance (APD)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3.855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2.226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Modularity (M)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1.116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1E17E3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1.175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Graph density (GD)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0.058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1E17E3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0.304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i/>
                <w:color w:val="000000"/>
                <w:kern w:val="0"/>
                <w:sz w:val="18"/>
                <w:szCs w:val="18"/>
              </w:rPr>
              <w:t>Random Networks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3B9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02F8E" w:rsidRPr="0069756D" w:rsidTr="00B02F8E">
        <w:trPr>
          <w:trHeight w:hRule="exact" w:val="401"/>
        </w:trPr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Average clustering coefficient (avgCC)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45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2±0.0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</w:t>
            </w: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517</w:t>
            </w:r>
            <w:r w:rsidRPr="001E17E3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8±0.0</w:t>
            </w: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1E17E3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i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Average path distance (APD)</w:t>
            </w: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241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±0.0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02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5±0.0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B02F8E" w:rsidRPr="0069756D" w:rsidTr="00B02F8E">
        <w:trPr>
          <w:trHeight w:val="288"/>
        </w:trPr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Modularity (M)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342</w:t>
            </w:r>
            <w:r w:rsidRPr="0069756D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±0.00</w:t>
            </w:r>
            <w:r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8E" w:rsidRPr="0069756D" w:rsidRDefault="00B02F8E" w:rsidP="00B02F8E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 w:rsidRPr="001E17E3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0.</w:t>
            </w: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514</w:t>
            </w:r>
            <w:r w:rsidRPr="001E17E3"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±0.0</w:t>
            </w:r>
            <w:r w:rsidRPr="001E17E3">
              <w:rPr>
                <w:rFonts w:eastAsia="宋体" w:cs="Times New Roman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</w:tbl>
    <w:p w:rsidR="00B82887" w:rsidRPr="00D4209D" w:rsidRDefault="00291515" w:rsidP="00B82887">
      <w:pPr>
        <w:spacing w:line="480" w:lineRule="auto"/>
        <w:ind w:firstLineChars="200" w:firstLine="400"/>
        <w:rPr>
          <w:sz w:val="20"/>
          <w:szCs w:val="20"/>
        </w:rPr>
      </w:pPr>
      <w:r w:rsidRPr="00D4209D">
        <w:rPr>
          <w:rFonts w:cs="Times New Roman" w:hint="eastAsia"/>
          <w:color w:val="000000" w:themeColor="text1"/>
          <w:sz w:val="20"/>
          <w:szCs w:val="20"/>
        </w:rPr>
        <w:t>O</w:t>
      </w:r>
      <w:r w:rsidRPr="00D4209D">
        <w:rPr>
          <w:rFonts w:cs="Times New Roman"/>
          <w:color w:val="000000" w:themeColor="text1"/>
          <w:sz w:val="20"/>
          <w:szCs w:val="20"/>
        </w:rPr>
        <w:t>bviously</w:t>
      </w:r>
      <w:r w:rsidRPr="00D4209D">
        <w:rPr>
          <w:rFonts w:cs="Times New Roman" w:hint="eastAsia"/>
          <w:color w:val="000000" w:themeColor="text1"/>
          <w:sz w:val="20"/>
          <w:szCs w:val="20"/>
        </w:rPr>
        <w:t>, i</w:t>
      </w:r>
      <w:r w:rsidR="003A3D7B" w:rsidRPr="00D4209D">
        <w:rPr>
          <w:rFonts w:cs="Times New Roman"/>
          <w:color w:val="000000" w:themeColor="text1"/>
          <w:sz w:val="20"/>
          <w:szCs w:val="20"/>
        </w:rPr>
        <w:t xml:space="preserve">noculation with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 xml:space="preserve">strain </w:t>
      </w:r>
      <w:r w:rsidR="003A3D7B" w:rsidRPr="00D4209D">
        <w:rPr>
          <w:rFonts w:cs="Times New Roman"/>
          <w:color w:val="000000" w:themeColor="text1"/>
          <w:sz w:val="20"/>
          <w:szCs w:val="20"/>
        </w:rPr>
        <w:t>SQR9</w:t>
      </w:r>
      <w:r w:rsidR="00B87936" w:rsidRPr="00D4209D">
        <w:rPr>
          <w:rFonts w:cs="Times New Roman" w:hint="eastAsia"/>
          <w:color w:val="000000" w:themeColor="text1"/>
          <w:sz w:val="20"/>
          <w:szCs w:val="20"/>
        </w:rPr>
        <w:t xml:space="preserve"> into soil</w:t>
      </w:r>
      <w:r w:rsidR="003A3D7B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Pr="00D4209D">
        <w:rPr>
          <w:rFonts w:cs="Times New Roman"/>
          <w:color w:val="000000" w:themeColor="text1"/>
          <w:sz w:val="20"/>
          <w:szCs w:val="20"/>
        </w:rPr>
        <w:t>exhibited a strong impact with a reduction in the total nodes</w:t>
      </w:r>
      <w:r w:rsidRPr="00D4209D">
        <w:rPr>
          <w:rFonts w:cs="Times New Roman" w:hint="eastAsia"/>
          <w:color w:val="000000" w:themeColor="text1"/>
          <w:sz w:val="20"/>
          <w:szCs w:val="20"/>
        </w:rPr>
        <w:t xml:space="preserve"> (decreased from 453 to 294), </w:t>
      </w:r>
      <w:r w:rsidR="007C3E68" w:rsidRPr="00D4209D">
        <w:rPr>
          <w:rFonts w:cs="Times New Roman" w:hint="eastAsia"/>
          <w:color w:val="000000" w:themeColor="text1"/>
          <w:sz w:val="20"/>
          <w:szCs w:val="20"/>
        </w:rPr>
        <w:t>however, i</w:t>
      </w:r>
      <w:r w:rsidR="007C3E68" w:rsidRPr="00D4209D">
        <w:rPr>
          <w:rFonts w:cs="Times New Roman"/>
          <w:color w:val="000000" w:themeColor="text1"/>
          <w:sz w:val="20"/>
          <w:szCs w:val="20"/>
        </w:rPr>
        <w:t xml:space="preserve">noculation with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 xml:space="preserve">strain </w:t>
      </w:r>
      <w:r w:rsidR="007C3E68" w:rsidRPr="00D4209D">
        <w:rPr>
          <w:rFonts w:cs="Times New Roman"/>
          <w:color w:val="000000" w:themeColor="text1"/>
          <w:sz w:val="20"/>
          <w:szCs w:val="20"/>
        </w:rPr>
        <w:t>SQR9</w:t>
      </w:r>
      <w:r w:rsidR="007C3E68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7C3E68" w:rsidRPr="00D4209D">
        <w:rPr>
          <w:rFonts w:cs="Times New Roman"/>
          <w:color w:val="000000" w:themeColor="text1"/>
          <w:sz w:val="20"/>
          <w:szCs w:val="20"/>
        </w:rPr>
        <w:t>significantly</w:t>
      </w:r>
      <w:r w:rsidR="007C3E68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820EFD" w:rsidRPr="00D4209D">
        <w:rPr>
          <w:rFonts w:cs="Times New Roman" w:hint="eastAsia"/>
          <w:color w:val="000000" w:themeColor="text1"/>
          <w:sz w:val="20"/>
          <w:szCs w:val="20"/>
        </w:rPr>
        <w:t>increased the total links (</w:t>
      </w:r>
      <w:r w:rsidR="00820EFD" w:rsidRPr="00D4209D">
        <w:rPr>
          <w:rFonts w:cs="Times New Roman"/>
          <w:color w:val="000000" w:themeColor="text1"/>
          <w:sz w:val="20"/>
          <w:szCs w:val="20"/>
        </w:rPr>
        <w:t>positive or negative correlations</w:t>
      </w:r>
      <w:r w:rsidR="00820EFD" w:rsidRPr="00D4209D">
        <w:rPr>
          <w:rFonts w:cs="Times New Roman" w:hint="eastAsia"/>
          <w:color w:val="000000" w:themeColor="text1"/>
          <w:sz w:val="20"/>
          <w:szCs w:val="20"/>
        </w:rPr>
        <w:t>), a</w:t>
      </w:r>
      <w:r w:rsidR="00820EFD" w:rsidRPr="00D4209D">
        <w:rPr>
          <w:rFonts w:cs="Times New Roman"/>
          <w:color w:val="000000" w:themeColor="text1"/>
          <w:sz w:val="20"/>
          <w:szCs w:val="20"/>
        </w:rPr>
        <w:t>verage degree</w:t>
      </w:r>
      <w:r w:rsidR="00820EFD" w:rsidRPr="00D4209D">
        <w:rPr>
          <w:rFonts w:cs="Times New Roman" w:hint="eastAsia"/>
          <w:color w:val="000000" w:themeColor="text1"/>
          <w:sz w:val="20"/>
          <w:szCs w:val="20"/>
        </w:rPr>
        <w:t xml:space="preserve"> (</w:t>
      </w:r>
      <w:r w:rsidR="00820EFD" w:rsidRPr="00D4209D">
        <w:rPr>
          <w:rFonts w:eastAsia="宋体" w:cs="Times New Roman"/>
          <w:color w:val="000000"/>
          <w:kern w:val="0"/>
          <w:sz w:val="20"/>
          <w:szCs w:val="20"/>
        </w:rPr>
        <w:t>avgK</w:t>
      </w:r>
      <w:r w:rsidR="00820EFD" w:rsidRPr="00D4209D">
        <w:rPr>
          <w:rFonts w:cs="Times New Roman" w:hint="eastAsia"/>
          <w:color w:val="000000" w:themeColor="text1"/>
          <w:sz w:val="20"/>
          <w:szCs w:val="20"/>
        </w:rPr>
        <w:t xml:space="preserve">), </w:t>
      </w:r>
      <w:r w:rsidR="00820EFD" w:rsidRPr="00D4209D">
        <w:rPr>
          <w:rFonts w:eastAsia="宋体" w:cs="Times New Roman" w:hint="eastAsia"/>
          <w:color w:val="000000"/>
          <w:kern w:val="0"/>
          <w:sz w:val="20"/>
          <w:szCs w:val="20"/>
        </w:rPr>
        <w:t>a</w:t>
      </w:r>
      <w:r w:rsidR="00820EFD" w:rsidRPr="00D4209D">
        <w:rPr>
          <w:rFonts w:eastAsia="宋体" w:cs="Times New Roman"/>
          <w:color w:val="000000"/>
          <w:kern w:val="0"/>
          <w:sz w:val="20"/>
          <w:szCs w:val="20"/>
        </w:rPr>
        <w:t>verage clustering coefficient</w:t>
      </w:r>
      <w:r w:rsidR="00820EFD" w:rsidRPr="00D4209D">
        <w:rPr>
          <w:rFonts w:eastAsia="宋体" w:cs="Times New Roman" w:hint="eastAsia"/>
          <w:color w:val="000000"/>
          <w:kern w:val="0"/>
          <w:sz w:val="20"/>
          <w:szCs w:val="20"/>
        </w:rPr>
        <w:t xml:space="preserve"> (</w:t>
      </w:r>
      <w:r w:rsidR="00820EFD" w:rsidRPr="00D4209D">
        <w:rPr>
          <w:rFonts w:eastAsia="宋体" w:cs="Times New Roman"/>
          <w:color w:val="000000"/>
          <w:kern w:val="0"/>
          <w:sz w:val="20"/>
          <w:szCs w:val="20"/>
        </w:rPr>
        <w:t>avgCC</w:t>
      </w:r>
      <w:r w:rsidR="00820EFD" w:rsidRPr="00D4209D">
        <w:rPr>
          <w:rFonts w:eastAsia="宋体" w:cs="Times New Roman" w:hint="eastAsia"/>
          <w:color w:val="000000"/>
          <w:kern w:val="0"/>
          <w:sz w:val="20"/>
          <w:szCs w:val="20"/>
        </w:rPr>
        <w:t>), g</w:t>
      </w:r>
      <w:r w:rsidR="00820EFD" w:rsidRPr="00D4209D">
        <w:rPr>
          <w:rFonts w:eastAsia="宋体" w:cs="Times New Roman"/>
          <w:color w:val="000000"/>
          <w:kern w:val="0"/>
          <w:sz w:val="20"/>
          <w:szCs w:val="20"/>
        </w:rPr>
        <w:t>raph density</w:t>
      </w:r>
      <w:r w:rsidR="00820EFD" w:rsidRPr="00D4209D">
        <w:rPr>
          <w:rFonts w:eastAsia="宋体" w:cs="Times New Roman" w:hint="eastAsia"/>
          <w:color w:val="000000"/>
          <w:kern w:val="0"/>
          <w:sz w:val="20"/>
          <w:szCs w:val="20"/>
        </w:rPr>
        <w:t xml:space="preserve"> (GD), </w:t>
      </w:r>
      <w:r w:rsidR="00820EFD" w:rsidRPr="00D4209D">
        <w:rPr>
          <w:rFonts w:cs="Times New Roman" w:hint="eastAsia"/>
          <w:color w:val="000000" w:themeColor="text1"/>
          <w:sz w:val="20"/>
          <w:szCs w:val="20"/>
        </w:rPr>
        <w:t xml:space="preserve">indicating that </w:t>
      </w:r>
      <w:r w:rsidR="00356138" w:rsidRPr="00D4209D">
        <w:rPr>
          <w:rFonts w:cs="Times New Roman" w:hint="eastAsia"/>
          <w:color w:val="000000" w:themeColor="text1"/>
          <w:sz w:val="20"/>
          <w:szCs w:val="20"/>
        </w:rPr>
        <w:t>i</w:t>
      </w:r>
      <w:r w:rsidR="00356138" w:rsidRPr="00D4209D">
        <w:rPr>
          <w:rFonts w:cs="Times New Roman"/>
          <w:color w:val="000000" w:themeColor="text1"/>
          <w:sz w:val="20"/>
          <w:szCs w:val="20"/>
        </w:rPr>
        <w:t xml:space="preserve">noculation with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>strain</w:t>
      </w:r>
      <w:r w:rsidR="00D4209D" w:rsidRPr="00D4209D">
        <w:rPr>
          <w:rFonts w:cs="Times New Roman"/>
          <w:color w:val="000000" w:themeColor="text1"/>
          <w:sz w:val="20"/>
          <w:szCs w:val="20"/>
        </w:rPr>
        <w:t xml:space="preserve"> </w:t>
      </w:r>
      <w:r w:rsidR="00356138" w:rsidRPr="00D4209D">
        <w:rPr>
          <w:rFonts w:cs="Times New Roman"/>
          <w:color w:val="000000" w:themeColor="text1"/>
          <w:sz w:val="20"/>
          <w:szCs w:val="20"/>
        </w:rPr>
        <w:t>SQR9</w:t>
      </w:r>
      <w:r w:rsidR="00356138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1E17E3" w:rsidRPr="00D4209D">
        <w:rPr>
          <w:rFonts w:cs="Times New Roman"/>
          <w:color w:val="000000" w:themeColor="text1"/>
          <w:sz w:val="20"/>
          <w:szCs w:val="20"/>
        </w:rPr>
        <w:t xml:space="preserve">re-assembled </w:t>
      </w:r>
      <w:r w:rsidR="001E17E3" w:rsidRPr="00D4209D">
        <w:rPr>
          <w:rFonts w:cs="Times New Roman" w:hint="eastAsia"/>
          <w:color w:val="000000" w:themeColor="text1"/>
          <w:sz w:val="20"/>
          <w:szCs w:val="20"/>
        </w:rPr>
        <w:t xml:space="preserve">rhizosphere </w:t>
      </w:r>
      <w:r w:rsidR="001E17E3" w:rsidRPr="00D4209D">
        <w:rPr>
          <w:rFonts w:cs="Times New Roman"/>
          <w:color w:val="000000" w:themeColor="text1"/>
          <w:sz w:val="20"/>
          <w:szCs w:val="20"/>
        </w:rPr>
        <w:t>soil microbiome</w:t>
      </w:r>
      <w:r w:rsidR="001E17E3" w:rsidRPr="00D4209D">
        <w:rPr>
          <w:rFonts w:cs="Times New Roman" w:hint="eastAsia"/>
          <w:color w:val="000000" w:themeColor="text1"/>
          <w:sz w:val="20"/>
          <w:szCs w:val="20"/>
        </w:rPr>
        <w:t xml:space="preserve"> and </w:t>
      </w:r>
      <w:r w:rsidR="0070259B" w:rsidRPr="00D4209D">
        <w:rPr>
          <w:rFonts w:cs="Times New Roman" w:hint="eastAsia"/>
          <w:color w:val="000000" w:themeColor="text1"/>
          <w:sz w:val="20"/>
          <w:szCs w:val="20"/>
        </w:rPr>
        <w:t xml:space="preserve">further </w:t>
      </w:r>
      <w:r w:rsidR="00356138" w:rsidRPr="00D4209D">
        <w:rPr>
          <w:rFonts w:cs="Times New Roman" w:hint="eastAsia"/>
          <w:color w:val="000000" w:themeColor="text1"/>
          <w:sz w:val="20"/>
          <w:szCs w:val="20"/>
        </w:rPr>
        <w:t xml:space="preserve">improved the </w:t>
      </w:r>
      <w:r w:rsidR="00356138" w:rsidRPr="00D4209D">
        <w:rPr>
          <w:rFonts w:cs="Times New Roman"/>
          <w:color w:val="000000" w:themeColor="text1"/>
          <w:sz w:val="20"/>
          <w:szCs w:val="20"/>
        </w:rPr>
        <w:t>correlation degree</w:t>
      </w:r>
      <w:r w:rsidR="00356138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70259B" w:rsidRPr="00D4209D">
        <w:rPr>
          <w:rFonts w:cs="Times New Roman" w:hint="eastAsia"/>
          <w:color w:val="000000" w:themeColor="text1"/>
          <w:sz w:val="20"/>
          <w:szCs w:val="20"/>
        </w:rPr>
        <w:t xml:space="preserve">among the </w:t>
      </w:r>
      <w:r w:rsidR="00B87936" w:rsidRPr="00D4209D">
        <w:rPr>
          <w:rFonts w:cs="Times New Roman" w:hint="eastAsia"/>
          <w:color w:val="000000" w:themeColor="text1"/>
          <w:sz w:val="20"/>
          <w:szCs w:val="20"/>
        </w:rPr>
        <w:t xml:space="preserve">bacteria </w:t>
      </w:r>
      <w:r w:rsidR="0070259B" w:rsidRPr="00D4209D">
        <w:rPr>
          <w:rFonts w:cs="Times New Roman" w:hint="eastAsia"/>
          <w:color w:val="000000" w:themeColor="text1"/>
          <w:sz w:val="20"/>
          <w:szCs w:val="20"/>
        </w:rPr>
        <w:t>community</w:t>
      </w:r>
      <w:r w:rsidR="00C870CA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B87936" w:rsidRPr="00D4209D">
        <w:rPr>
          <w:rFonts w:cs="Times New Roman" w:hint="eastAsia"/>
          <w:color w:val="000000" w:themeColor="text1"/>
          <w:sz w:val="20"/>
          <w:szCs w:val="20"/>
        </w:rPr>
        <w:t xml:space="preserve">in rhizosphere </w:t>
      </w:r>
      <w:r w:rsidR="000807AD" w:rsidRPr="00D4209D">
        <w:rPr>
          <w:rFonts w:cs="Times New Roman" w:hint="eastAsia"/>
          <w:color w:val="000000" w:themeColor="text1"/>
          <w:sz w:val="20"/>
          <w:szCs w:val="20"/>
        </w:rPr>
        <w:t>(Table S1)</w:t>
      </w:r>
      <w:r w:rsidR="0070259B" w:rsidRPr="00D4209D">
        <w:rPr>
          <w:rFonts w:cs="Times New Roman" w:hint="eastAsia"/>
          <w:color w:val="000000" w:themeColor="text1"/>
          <w:sz w:val="20"/>
          <w:szCs w:val="20"/>
        </w:rPr>
        <w:t>.</w:t>
      </w:r>
      <w:r w:rsidR="008733F4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A937D2" w:rsidRPr="00D4209D">
        <w:rPr>
          <w:rFonts w:cs="Times New Roman"/>
          <w:color w:val="000000" w:themeColor="text1"/>
          <w:sz w:val="20"/>
          <w:szCs w:val="20"/>
        </w:rPr>
        <w:t>In addition,</w:t>
      </w:r>
      <w:r w:rsidR="00A937D2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>i</w:t>
      </w:r>
      <w:r w:rsidR="00B82887" w:rsidRPr="00D4209D">
        <w:rPr>
          <w:rFonts w:cs="Times New Roman"/>
          <w:color w:val="000000" w:themeColor="text1"/>
          <w:sz w:val="20"/>
          <w:szCs w:val="20"/>
        </w:rPr>
        <w:t xml:space="preserve">noculation with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>strain</w:t>
      </w:r>
      <w:r w:rsidR="00D4209D" w:rsidRPr="00D4209D">
        <w:rPr>
          <w:rFonts w:cs="Times New Roman"/>
          <w:color w:val="000000" w:themeColor="text1"/>
          <w:sz w:val="20"/>
          <w:szCs w:val="20"/>
        </w:rPr>
        <w:t xml:space="preserve"> </w:t>
      </w:r>
      <w:r w:rsidR="00B82887" w:rsidRPr="00D4209D">
        <w:rPr>
          <w:rFonts w:cs="Times New Roman"/>
          <w:color w:val="000000" w:themeColor="text1"/>
          <w:sz w:val="20"/>
          <w:szCs w:val="20"/>
        </w:rPr>
        <w:t>SQR9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 xml:space="preserve">into soil </w:t>
      </w:r>
      <w:r w:rsidR="00B82887" w:rsidRPr="00D4209D">
        <w:rPr>
          <w:rFonts w:cs="Times New Roman"/>
          <w:color w:val="000000" w:themeColor="text1"/>
          <w:sz w:val="20"/>
          <w:szCs w:val="20"/>
        </w:rPr>
        <w:t>also exhibited a slight increase in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 xml:space="preserve"> m</w:t>
      </w:r>
      <w:r w:rsidR="00B82887" w:rsidRPr="00D4209D">
        <w:rPr>
          <w:rFonts w:cs="Times New Roman"/>
          <w:color w:val="000000" w:themeColor="text1"/>
          <w:sz w:val="20"/>
          <w:szCs w:val="20"/>
        </w:rPr>
        <w:t>odularity indices</w:t>
      </w:r>
      <w:r w:rsidR="00D4209D">
        <w:rPr>
          <w:rFonts w:cs="Times New Roman" w:hint="eastAsia"/>
          <w:color w:val="000000" w:themeColor="text1"/>
          <w:sz w:val="20"/>
          <w:szCs w:val="20"/>
        </w:rPr>
        <w:t xml:space="preserve"> </w:t>
      </w:r>
      <w:r w:rsidR="00D4209D" w:rsidRPr="00D4209D">
        <w:rPr>
          <w:rFonts w:cs="Times New Roman" w:hint="eastAsia"/>
          <w:color w:val="000000" w:themeColor="text1"/>
          <w:sz w:val="20"/>
          <w:szCs w:val="20"/>
        </w:rPr>
        <w:t>(Table S1)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 xml:space="preserve">. </w:t>
      </w:r>
      <w:r w:rsidR="00B82887" w:rsidRPr="00D4209D">
        <w:rPr>
          <w:rFonts w:cs="Times New Roman"/>
          <w:sz w:val="20"/>
          <w:szCs w:val="20"/>
        </w:rPr>
        <w:t>In summary</w:t>
      </w:r>
      <w:r w:rsidR="00B82887" w:rsidRPr="00D4209D">
        <w:rPr>
          <w:rFonts w:cs="Times New Roman"/>
          <w:color w:val="000000" w:themeColor="text1"/>
          <w:sz w:val="20"/>
          <w:szCs w:val="20"/>
        </w:rPr>
        <w:t xml:space="preserve">, inoculation with </w:t>
      </w:r>
      <w:r w:rsidR="00DA2364" w:rsidRPr="00D4209D">
        <w:rPr>
          <w:rFonts w:cs="Times New Roman" w:hint="eastAsia"/>
          <w:color w:val="000000" w:themeColor="text1"/>
          <w:sz w:val="20"/>
          <w:szCs w:val="20"/>
        </w:rPr>
        <w:t>strain</w:t>
      </w:r>
      <w:r w:rsidR="00DA2364" w:rsidRPr="00D4209D">
        <w:rPr>
          <w:rFonts w:cs="Times New Roman"/>
          <w:color w:val="000000" w:themeColor="text1"/>
          <w:sz w:val="20"/>
          <w:szCs w:val="20"/>
        </w:rPr>
        <w:t xml:space="preserve"> </w:t>
      </w:r>
      <w:r w:rsidR="00B82887" w:rsidRPr="00D4209D">
        <w:rPr>
          <w:rFonts w:cs="Times New Roman"/>
          <w:color w:val="000000" w:themeColor="text1"/>
          <w:sz w:val="20"/>
          <w:szCs w:val="20"/>
        </w:rPr>
        <w:t>SQR9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 xml:space="preserve"> into soil</w:t>
      </w:r>
      <w:r w:rsidR="00B82887" w:rsidRPr="00D4209D">
        <w:rPr>
          <w:rFonts w:cs="Times New Roman"/>
          <w:color w:val="000000" w:themeColor="text1"/>
          <w:sz w:val="20"/>
          <w:szCs w:val="20"/>
        </w:rPr>
        <w:t xml:space="preserve"> </w:t>
      </w:r>
      <w:r w:rsidR="00B82887" w:rsidRPr="00D4209D">
        <w:rPr>
          <w:rFonts w:cs="Times New Roman" w:hint="eastAsia"/>
          <w:color w:val="000000" w:themeColor="text1"/>
          <w:sz w:val="20"/>
          <w:szCs w:val="20"/>
        </w:rPr>
        <w:t>increased</w:t>
      </w:r>
      <w:r w:rsidR="00B82887" w:rsidRPr="00D4209D">
        <w:rPr>
          <w:rFonts w:cs="Times New Roman"/>
          <w:color w:val="000000" w:themeColor="text1"/>
          <w:sz w:val="20"/>
          <w:szCs w:val="20"/>
        </w:rPr>
        <w:t xml:space="preserve"> the complexity of gene co-occurrence networks. </w:t>
      </w:r>
    </w:p>
    <w:p w:rsidR="00F1490F" w:rsidRDefault="00F1490F" w:rsidP="00C870CA">
      <w:pPr>
        <w:spacing w:line="480" w:lineRule="auto"/>
        <w:rPr>
          <w:rFonts w:hint="eastAsia"/>
        </w:rPr>
      </w:pPr>
    </w:p>
    <w:p w:rsidR="00F1490F" w:rsidRDefault="00F1490F" w:rsidP="00C870CA">
      <w:pPr>
        <w:spacing w:line="480" w:lineRule="auto"/>
        <w:ind w:firstLineChars="200" w:firstLine="400"/>
        <w:rPr>
          <w:rFonts w:cs="Times New Roman" w:hint="eastAsia"/>
          <w:color w:val="FF0000"/>
          <w:sz w:val="20"/>
          <w:szCs w:val="20"/>
        </w:rPr>
      </w:pPr>
    </w:p>
    <w:p w:rsidR="00F1490F" w:rsidRDefault="00F1490F" w:rsidP="00C870CA">
      <w:pPr>
        <w:spacing w:line="480" w:lineRule="auto"/>
        <w:rPr>
          <w:rFonts w:cs="Times New Roman" w:hint="eastAsia"/>
          <w:color w:val="FF0000"/>
          <w:sz w:val="20"/>
          <w:szCs w:val="20"/>
        </w:rPr>
      </w:pPr>
    </w:p>
    <w:p w:rsidR="00F1490F" w:rsidRPr="00536A71" w:rsidRDefault="00F1490F"/>
    <w:sectPr w:rsidR="00F1490F" w:rsidRPr="00536A71" w:rsidSect="0027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C91" w:rsidRDefault="001E1C91" w:rsidP="00536A71">
      <w:r>
        <w:separator/>
      </w:r>
    </w:p>
  </w:endnote>
  <w:endnote w:type="continuationSeparator" w:id="0">
    <w:p w:rsidR="001E1C91" w:rsidRDefault="001E1C91" w:rsidP="0053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C91" w:rsidRDefault="001E1C91" w:rsidP="00536A71">
      <w:r>
        <w:separator/>
      </w:r>
    </w:p>
  </w:footnote>
  <w:footnote w:type="continuationSeparator" w:id="0">
    <w:p w:rsidR="001E1C91" w:rsidRDefault="001E1C91" w:rsidP="00536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4F1"/>
    <w:rsid w:val="00001084"/>
    <w:rsid w:val="00004DC9"/>
    <w:rsid w:val="000807AD"/>
    <w:rsid w:val="000D586D"/>
    <w:rsid w:val="001E17E3"/>
    <w:rsid w:val="001E1C91"/>
    <w:rsid w:val="00276749"/>
    <w:rsid w:val="00291515"/>
    <w:rsid w:val="00345DCB"/>
    <w:rsid w:val="00356138"/>
    <w:rsid w:val="003A3D7B"/>
    <w:rsid w:val="00416A1B"/>
    <w:rsid w:val="00536A71"/>
    <w:rsid w:val="005B014D"/>
    <w:rsid w:val="005B52D7"/>
    <w:rsid w:val="005C55E8"/>
    <w:rsid w:val="005F74F1"/>
    <w:rsid w:val="0070259B"/>
    <w:rsid w:val="00732AAE"/>
    <w:rsid w:val="0073493E"/>
    <w:rsid w:val="00736C59"/>
    <w:rsid w:val="007C3E68"/>
    <w:rsid w:val="00820EFD"/>
    <w:rsid w:val="008733F4"/>
    <w:rsid w:val="009036F5"/>
    <w:rsid w:val="009F2168"/>
    <w:rsid w:val="00A937D2"/>
    <w:rsid w:val="00AC3FF2"/>
    <w:rsid w:val="00B02F8E"/>
    <w:rsid w:val="00B82887"/>
    <w:rsid w:val="00B87936"/>
    <w:rsid w:val="00BB43D6"/>
    <w:rsid w:val="00C1581E"/>
    <w:rsid w:val="00C21039"/>
    <w:rsid w:val="00C870CA"/>
    <w:rsid w:val="00CB5793"/>
    <w:rsid w:val="00D4209D"/>
    <w:rsid w:val="00D867FF"/>
    <w:rsid w:val="00DA2364"/>
    <w:rsid w:val="00E938BA"/>
    <w:rsid w:val="00F1490F"/>
    <w:rsid w:val="00F6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71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A7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A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71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A7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A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XZH</cp:lastModifiedBy>
  <cp:revision>49</cp:revision>
  <dcterms:created xsi:type="dcterms:W3CDTF">2019-05-26T03:10:00Z</dcterms:created>
  <dcterms:modified xsi:type="dcterms:W3CDTF">2021-08-04T04:35:00Z</dcterms:modified>
</cp:coreProperties>
</file>