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04EF33" w14:textId="77777777" w:rsidR="003C061E" w:rsidRDefault="00266ED4">
      <w:pPr>
        <w:spacing w:line="480" w:lineRule="auto"/>
        <w:jc w:val="both"/>
        <w:rPr>
          <w:rFonts w:ascii="Palatino Linotype" w:hAnsi="Palatino Linotype"/>
          <w:b/>
          <w:bCs/>
          <w:sz w:val="20"/>
          <w:szCs w:val="20"/>
          <w:lang w:val="en-GB"/>
        </w:rPr>
      </w:pPr>
      <w:r>
        <w:rPr>
          <w:rFonts w:ascii="Palatino Linotype" w:hAnsi="Palatino Linotype"/>
          <w:b/>
          <w:bCs/>
          <w:sz w:val="20"/>
          <w:szCs w:val="20"/>
          <w:lang w:val="en-GB"/>
        </w:rPr>
        <w:t>SUPPLEMENTARY NOTE</w:t>
      </w:r>
    </w:p>
    <w:p w14:paraId="3404EF34" w14:textId="77777777" w:rsidR="003C061E" w:rsidRDefault="00266ED4">
      <w:pPr>
        <w:pStyle w:val="ListParagraph"/>
        <w:numPr>
          <w:ilvl w:val="0"/>
          <w:numId w:val="1"/>
        </w:numPr>
        <w:spacing w:line="480" w:lineRule="auto"/>
        <w:jc w:val="both"/>
        <w:rPr>
          <w:rFonts w:ascii="Palatino Linotype" w:hAnsi="Palatino Linotype"/>
          <w:b/>
          <w:bCs/>
          <w:sz w:val="20"/>
          <w:szCs w:val="20"/>
          <w:lang w:val="en-GB"/>
        </w:rPr>
      </w:pPr>
      <w:r>
        <w:rPr>
          <w:rFonts w:ascii="Palatino Linotype" w:hAnsi="Palatino Linotype"/>
          <w:b/>
          <w:bCs/>
          <w:sz w:val="20"/>
          <w:szCs w:val="20"/>
          <w:lang w:val="en-GB"/>
        </w:rPr>
        <w:t xml:space="preserve">Individual-level combined GWAS as an alternative approach </w:t>
      </w:r>
    </w:p>
    <w:p w14:paraId="3404EF35" w14:textId="77777777" w:rsidR="003C061E" w:rsidRDefault="00266ED4">
      <w:pPr>
        <w:spacing w:line="480" w:lineRule="auto"/>
        <w:jc w:val="both"/>
        <w:rPr>
          <w:rFonts w:ascii="Palatino Linotype" w:hAnsi="Palatino Linotype"/>
          <w:sz w:val="20"/>
          <w:szCs w:val="20"/>
          <w:lang w:val="en-GB"/>
        </w:rPr>
      </w:pPr>
      <w:r>
        <w:rPr>
          <w:rFonts w:ascii="Palatino Linotype" w:hAnsi="Palatino Linotype"/>
          <w:sz w:val="20"/>
          <w:szCs w:val="20"/>
          <w:lang w:val="en-GB"/>
        </w:rPr>
        <w:t xml:space="preserve">Quality control (QC) was conducted according to standard procedures for GWAS before the genetic association analysis </w:t>
      </w:r>
      <w:r>
        <w:fldChar w:fldCharType="begin"/>
      </w:r>
      <w:r>
        <w:rPr>
          <w:rFonts w:ascii="Palatino Linotype" w:hAnsi="Palatino Linotype"/>
          <w:sz w:val="20"/>
          <w:szCs w:val="20"/>
          <w:lang w:val="en-GB"/>
        </w:rPr>
        <w:instrText>ADDIN ZOTERO_ITEM CSL_CITATION {"citationID":"HIaqAQvY","properties":{"formattedCitation":"\\super 1\\nosupersub{}","plainCitation":"1","noteIndex":0},"citationItems":[{"id":207,"uris":["http://zotero.org/users/1393070/items/QWH3QWCB"],"itemData":{"id":207,"type":"article-journal","abstract":"OBJECTIVES: Genome-wide association studies (GWAS) have become increasingly popular to identify associations between single nucleotide polymorphisms (SNPs) and phenotypic traits. The GWAS method is commonly applied within the social sciences. However, statistical analyses will need to be carefully conducted and the use of dedicated genetics software will be required. This tutorial aims to provide a guideline for conducting genetic analyses.\nMETHODS: We discuss and explain key concepts and illustrate how to conduct GWAS using example scripts provided through GitHub (https://github.com/MareesAT/GWA_tutorial/). In addition to the illustration of standard GWAS, we will also show how to apply polygenic risk score (PRS) analysis. PRS does not aim to identify individual SNPs but aggregates information from SNPs across the genome in order to provide individual-level scores of genetic risk.\nRESULTS: The simulated data and scripts that will be illustrated in the current tutorial provide hands-on practice with genetic analyses. The scripts are based on PLINK, PRSice, and R, which are commonly used, freely available software tools that are accessible for novice users.\nCONCLUSIONS: By providing theoretical background and hands-on experience, we aim to make GWAS more accessible to researchers without formal training in the field.","container-title":"International Journal of Methods in Psychiatric Research","DOI":"10.1002/mpr.1608","ISSN":"1557-0657","issue":"2","journalAbbreviation":"Int J Methods Psychiatr Res","language":"eng","note":"PMID: 29484742\nPMCID: PMC6001694","page":"e1608","source":"PubMed","title":"A tutorial on conducting genome-wide association studies: Quality control and statistical analysis","title-short":"A tutorial on conducting genome-wide association studies","volume":"27","author":[{"family":"Marees","given":"Andries T."},{"family":"Kluiver","given":"Hilde","non-dropping-particle":"de"},{"family":"Stringer","given":"Sven"},{"family":"Vorspan","given":"Florence"},{"family":"Curis","given":"Emmanuel"},{"family":"Marie-Claire","given":"Cynthia"},{"family":"Derks","given":"Eske M."}],"issued":{"date-parts":[["2018",6]]}}}],"schema":"https://github.com/citation-style-language/schema/raw/master/csl-citation.json"}</w:instrText>
      </w:r>
      <w:r>
        <w:rPr>
          <w:rFonts w:ascii="Palatino Linotype" w:hAnsi="Palatino Linotype"/>
          <w:sz w:val="20"/>
          <w:szCs w:val="20"/>
          <w:lang w:val="en-GB"/>
        </w:rPr>
        <w:fldChar w:fldCharType="separate"/>
      </w:r>
      <w:r>
        <w:rPr>
          <w:rFonts w:ascii="Palatino Linotype" w:hAnsi="Palatino Linotype" w:cs="Times New Roman"/>
          <w:sz w:val="20"/>
          <w:szCs w:val="24"/>
          <w:vertAlign w:val="superscript"/>
          <w:lang w:val="en-US"/>
        </w:rPr>
        <w:t>1</w:t>
      </w:r>
      <w:r>
        <w:rPr>
          <w:rFonts w:ascii="Palatino Linotype" w:hAnsi="Palatino Linotype"/>
          <w:sz w:val="20"/>
          <w:szCs w:val="20"/>
          <w:lang w:val="en-GB"/>
        </w:rPr>
        <w:fldChar w:fldCharType="end"/>
      </w:r>
      <w:r>
        <w:rPr>
          <w:rFonts w:ascii="Palatino Linotype" w:hAnsi="Palatino Linotype"/>
          <w:sz w:val="20"/>
          <w:szCs w:val="20"/>
          <w:lang w:val="en-GB"/>
        </w:rPr>
        <w:t xml:space="preserve">. First, QC was performed separately for each dataset using PLINK 1.90 </w:t>
      </w:r>
      <w:r>
        <w:fldChar w:fldCharType="begin"/>
      </w:r>
      <w:r>
        <w:rPr>
          <w:rFonts w:ascii="Palatino Linotype" w:hAnsi="Palatino Linotype"/>
          <w:sz w:val="20"/>
          <w:szCs w:val="20"/>
          <w:lang w:val="en-GB"/>
        </w:rPr>
        <w:instrText>ADDIN ZOTERO_ITEM CSL_CITATION {"citationID":"SzzhbLgw","properties":{"formattedCitation":"\\super 2\\nosupersub{}","plainCitation":"2","noteIndex":0},"citationItems":[{"id":197,"uris":["http://zotero.org/users/1393070/items/2TLXKTY9"],"itemData":{"id":197,"type":"article-journal","abstract":"Whole-genome association studies (WGAS) bring new computational, as well as analytic, challenges to researchers. Many existing genetic-analysis tools are not designed to handle such large data sets in a convenient manner and do not necessarily exploit the new opportunities that whole-genome data bring. To address these issues, we developed PLINK, an open-source C/C++ WGAS tool set. With PLINK, large data sets comprising hundreds of thousands of markers genotyped for thousands of individuals can be rapidly manipulated and analyzed in their entirety. As well as providing tools to make the basic analytic steps computationally efficient, PLINK also supports some novel approaches to whole-genome data that take advantage of whole-genome coverage. We introduce PLINK and describe the five main domains of function: data management, summary statistics, population stratification, association analysis, and identity-by-descent estimation. In particular, we focus on the estimation and use of identity-by-state and identity-by-descent information in the context of population-based whole-genome studies. This information can be used to detect and correct for population stratification and to identify extended chromosomal segments that are shared identical by descent between very distantly related individuals. Analysis of the patterns of segmental sharing has the potential to map disease loci that contain multiple rare variants in a population-based linkage analysis.","container-title":"American Journal of Human Genetics","DOI":"10.1086/519795","ISSN":"0002-9297","issue":"3","journalAbbreviation":"Am J Hum Genet","language":"eng","note":"PMID: 17701901\nPMCID: PMC1950838","page":"559-575","source":"PubMed","title":"PLINK: a tool set for whole-genome association and population-based linkage analyses","title-short":"PLINK","volume":"81","author":[{"family":"Purcell","given":"Shaun"},{"family":"Neale","given":"Benjamin"},{"family":"Todd-Brown","given":"Kathe"},{"family":"Thomas","given":"Lori"},{"family":"Ferreira","given":"Manuel A. R."},{"family":"Bender","given":"David"},{"family":"Maller","given":"Julian"},{"family":"Sklar","given":"Pamela"},{"family":"Bakker","given":"Paul I. W.","non-dropping-particle":"de"},{"family":"Daly","given":"Mark J."},{"family":"Sham","given":"Pak C."}],"issued":{"date-parts":[["2007",9]]}}}],"schema":"https://github.com/citation-style-language/schema/raw/master/csl-citation.json"}</w:instrText>
      </w:r>
      <w:r>
        <w:rPr>
          <w:rFonts w:ascii="Palatino Linotype" w:hAnsi="Palatino Linotype"/>
          <w:sz w:val="20"/>
          <w:szCs w:val="20"/>
          <w:lang w:val="en-GB"/>
        </w:rPr>
        <w:fldChar w:fldCharType="separate"/>
      </w:r>
      <w:r w:rsidRPr="008D4770">
        <w:rPr>
          <w:rFonts w:ascii="Palatino Linotype" w:hAnsi="Palatino Linotype" w:cs="Times New Roman"/>
          <w:sz w:val="20"/>
          <w:szCs w:val="24"/>
          <w:vertAlign w:val="superscript"/>
          <w:lang w:val="en-US"/>
        </w:rPr>
        <w:t>2</w:t>
      </w:r>
      <w:r>
        <w:rPr>
          <w:rFonts w:ascii="Palatino Linotype" w:hAnsi="Palatino Linotype"/>
          <w:sz w:val="20"/>
          <w:szCs w:val="20"/>
          <w:lang w:val="en-GB"/>
        </w:rPr>
        <w:fldChar w:fldCharType="end"/>
      </w:r>
      <w:r>
        <w:rPr>
          <w:rFonts w:ascii="Palatino Linotype" w:hAnsi="Palatino Linotype"/>
          <w:sz w:val="20"/>
          <w:szCs w:val="20"/>
          <w:lang w:val="en-GB"/>
        </w:rPr>
        <w:t xml:space="preserve">. Briefly, genetic variants with missingness rate &gt; 2%, minor allele frequency (MAF) &lt; 5%, Hardy-Weinberg equilibrium (HWE) P-value &lt; 1e-06, and those belonging to non-autosomal chromosomes were excluded from downstream analyses. Ambiguous and multiallelic variants were also removed. Subjects with missingness rate &gt; 2%, increased or decreased heterozygosity rates (defined as ±3 standard deviations away from the sample mean), and relatedness &gt; 12.5% (PI_HAT &gt; 0.125) were excluded. Sex was imputed based on X chromosome heterozygosity/homozygosity rates, before removing sex chromosomes from the analyses. After QC steps, principal component analyses (PCA) were conducted using SMARTPCA from EIGENSOFT 6.1.4 </w:t>
      </w:r>
      <w:r>
        <w:fldChar w:fldCharType="begin"/>
      </w:r>
      <w:r>
        <w:rPr>
          <w:rFonts w:ascii="Palatino Linotype" w:hAnsi="Palatino Linotype"/>
          <w:sz w:val="20"/>
          <w:szCs w:val="20"/>
          <w:lang w:val="en-GB"/>
        </w:rPr>
        <w:instrText>ADDIN ZOTERO_ITEM CSL_CITATION {"citationID":"KYnYrJOc","properties":{"formattedCitation":"\\super 3\\nosupersub{}","plainCitation":"3","noteIndex":0},"citationItems":[{"id":707,"uris":["http://zotero.org/users/1393070/items/8MPA3CI3"],"itemData":{"id":707,"type":"article-journal","container-title":"PLoS Genetics","DOI":"10.1371/journal.pgen.0020190","ISSN":"1553-7390, 1553-7404","issue":"12","journalAbbreviation":"PLoS Genet","language":"en","page":"e190","source":"DOI.org (Crossref)","title":"Population Structure and Eigenanalysis","volume":"2","author":[{"family":"Patterson","given":"Nick"},{"family":"Price","given":"Alkes L."},{"family":"Reich","given":"David"}],"issued":{"date-parts":[["2006"]]}}}],"schema":"https://github.com/citation-style-language/schema/raw/master/csl-citation.json"}</w:instrText>
      </w:r>
      <w:r>
        <w:rPr>
          <w:rFonts w:ascii="Palatino Linotype" w:hAnsi="Palatino Linotype"/>
          <w:sz w:val="20"/>
          <w:szCs w:val="20"/>
          <w:lang w:val="en-GB"/>
        </w:rPr>
        <w:fldChar w:fldCharType="separate"/>
      </w:r>
      <w:r>
        <w:rPr>
          <w:rFonts w:ascii="Palatino Linotype" w:hAnsi="Palatino Linotype" w:cs="Times New Roman"/>
          <w:sz w:val="20"/>
          <w:szCs w:val="24"/>
          <w:vertAlign w:val="superscript"/>
          <w:lang w:val="en-US"/>
        </w:rPr>
        <w:t>3</w:t>
      </w:r>
      <w:r>
        <w:rPr>
          <w:rFonts w:ascii="Palatino Linotype" w:hAnsi="Palatino Linotype"/>
          <w:sz w:val="20"/>
          <w:szCs w:val="20"/>
          <w:lang w:val="en-GB"/>
        </w:rPr>
        <w:fldChar w:fldCharType="end"/>
      </w:r>
      <w:r>
        <w:rPr>
          <w:rFonts w:ascii="Palatino Linotype" w:hAnsi="Palatino Linotype"/>
          <w:sz w:val="20"/>
          <w:szCs w:val="20"/>
          <w:lang w:val="en-GB"/>
        </w:rPr>
        <w:t xml:space="preserve">. To keep only subjects with European ancestry, we discarded those individuals beyond ±3 standard deviations from the first two principal components (PCs) mean of the European cluster of 1000 Genomes Project Phase I </w:t>
      </w:r>
      <w:r>
        <w:fldChar w:fldCharType="begin"/>
      </w:r>
      <w:r>
        <w:rPr>
          <w:rFonts w:ascii="Palatino Linotype" w:hAnsi="Palatino Linotype"/>
          <w:sz w:val="20"/>
          <w:szCs w:val="20"/>
          <w:lang w:val="en-GB"/>
        </w:rPr>
        <w:instrText>ADDIN ZOTERO_ITEM CSL_CITATION {"citationID":"s0EibxMV","properties":{"formattedCitation":"\\super 4\\nosupersub{}","plainCitation":"4","noteIndex":0},"citationItems":[{"id":709,"uris":["http://zotero.org/users/1393070/items/4ZBMJQVP"],"itemData":{"id":709,"type":"article-journal","abstract":"The 1000 Genomes Project set out to provide a comprehensive description of common human genetic variation by applying whole-genome sequencing to a diverse set of individuals from multiple populations. Here we report completion of the project, having reconstructed the genomes of 2,504 individuals from 26 populations using a combination of low-coverage whole-genome sequencing, deep exome sequencing, and dense microarray genotyping. We characterized a broad spectrum of genetic variation, in total over 88 million variants (84.7 million single nucleotide polymorphisms (SNPs), 3.6 million short insertions/deletions (indels), and 60,000 structural variants), all phased onto high-quality haplotypes. This resource includes &gt;99% of SNP variants with a frequency of &gt;1% for a variety of ancestries. We describe the distribution of genetic variation across the global sample, and discuss the implications for common disease studies.","container-title":"Nature","DOI":"10.1038/nature15393","ISSN":"1476-4687","issue":"7571","journalAbbreviation":"Nature","language":"eng","note":"PMID: 26432245\nPMCID: PMC4750478","page":"68-74","source":"PubMed","title":"A global reference for human genetic variation","volume":"526","author":[{"literal":"1000 Genomes Project Consortium"},{"family":"Auton","given":"Adam"},{"family":"Brooks","given":"Lisa D."},{"family":"Durbin","given":"Richard M."},{"family":"Garrison","given":"Erik P."},{"family":"Kang","given":"Hyun Min"},{"family":"Korbel","given":"Jan O."},{"family":"Marchini","given":"Jonathan L."},{"family":"McCarthy","given":"Shane"},{"family":"McVean","given":"Gil A."},{"family":"Abecasis","given":"Gonçalo R."}],"issued":{"date-parts":[["2015",10,1]]}}}],"schema":"https://github.com/citation-style-language/schema/raw/master/csl-citation.json"}</w:instrText>
      </w:r>
      <w:r>
        <w:rPr>
          <w:rFonts w:ascii="Palatino Linotype" w:hAnsi="Palatino Linotype"/>
          <w:sz w:val="20"/>
          <w:szCs w:val="20"/>
          <w:lang w:val="en-GB"/>
        </w:rPr>
        <w:fldChar w:fldCharType="separate"/>
      </w:r>
      <w:r w:rsidRPr="008D4770">
        <w:rPr>
          <w:rFonts w:ascii="Palatino Linotype" w:hAnsi="Palatino Linotype" w:cs="Times New Roman"/>
          <w:sz w:val="20"/>
          <w:szCs w:val="24"/>
          <w:vertAlign w:val="superscript"/>
          <w:lang w:val="en-US"/>
        </w:rPr>
        <w:t>4</w:t>
      </w:r>
      <w:r>
        <w:rPr>
          <w:rFonts w:ascii="Palatino Linotype" w:hAnsi="Palatino Linotype"/>
          <w:sz w:val="20"/>
          <w:szCs w:val="20"/>
          <w:lang w:val="en-GB"/>
        </w:rPr>
        <w:fldChar w:fldCharType="end"/>
      </w:r>
      <w:r>
        <w:rPr>
          <w:rFonts w:ascii="Palatino Linotype" w:hAnsi="Palatino Linotype"/>
          <w:sz w:val="20"/>
          <w:szCs w:val="20"/>
          <w:lang w:val="en-GB"/>
        </w:rPr>
        <w:t xml:space="preserve">. At this point, binary files of the four datasets were temporarily merged. In this merged dataset, we evaluated relatedness between individuals and one subject from pairs of related subjects of the GAIN and </w:t>
      </w:r>
      <w:proofErr w:type="spellStart"/>
      <w:r>
        <w:rPr>
          <w:rFonts w:ascii="Palatino Linotype" w:hAnsi="Palatino Linotype"/>
          <w:sz w:val="20"/>
          <w:szCs w:val="20"/>
          <w:lang w:val="en-GB"/>
        </w:rPr>
        <w:t>nonGAIN</w:t>
      </w:r>
      <w:proofErr w:type="spellEnd"/>
      <w:r>
        <w:rPr>
          <w:rFonts w:ascii="Palatino Linotype" w:hAnsi="Palatino Linotype"/>
          <w:sz w:val="20"/>
          <w:szCs w:val="20"/>
          <w:lang w:val="en-GB"/>
        </w:rPr>
        <w:t xml:space="preserve"> studies (N = 37) were excluded. Subsequently, a PCA was performed again on the remaining subjects and the top 10 PCs were kept for further analysis. </w:t>
      </w:r>
    </w:p>
    <w:p w14:paraId="3404EF36" w14:textId="38074A87" w:rsidR="003C061E" w:rsidRDefault="00266ED4">
      <w:pPr>
        <w:spacing w:line="480" w:lineRule="auto"/>
        <w:jc w:val="both"/>
        <w:rPr>
          <w:rFonts w:ascii="Palatino Linotype" w:hAnsi="Palatino Linotype"/>
          <w:sz w:val="20"/>
          <w:szCs w:val="20"/>
          <w:lang w:val="en-GB"/>
        </w:rPr>
      </w:pPr>
      <w:r>
        <w:rPr>
          <w:rFonts w:ascii="Palatino Linotype" w:hAnsi="Palatino Linotype"/>
          <w:sz w:val="20"/>
          <w:szCs w:val="20"/>
          <w:lang w:val="en-GB"/>
        </w:rPr>
        <w:t xml:space="preserve">Genotype imputation was conducted independently for each dataset (CIBERSAM, </w:t>
      </w:r>
      <w:proofErr w:type="spellStart"/>
      <w:r>
        <w:rPr>
          <w:rFonts w:ascii="Palatino Linotype" w:hAnsi="Palatino Linotype"/>
          <w:sz w:val="20"/>
          <w:szCs w:val="20"/>
          <w:lang w:val="en-GB"/>
        </w:rPr>
        <w:t>PsyCourse</w:t>
      </w:r>
      <w:proofErr w:type="spellEnd"/>
      <w:r>
        <w:rPr>
          <w:rFonts w:ascii="Palatino Linotype" w:hAnsi="Palatino Linotype"/>
          <w:sz w:val="20"/>
          <w:szCs w:val="20"/>
          <w:lang w:val="en-GB"/>
        </w:rPr>
        <w:t xml:space="preserve">, GAIN, and </w:t>
      </w:r>
      <w:proofErr w:type="spellStart"/>
      <w:r>
        <w:rPr>
          <w:rFonts w:ascii="Palatino Linotype" w:hAnsi="Palatino Linotype"/>
          <w:sz w:val="20"/>
          <w:szCs w:val="20"/>
          <w:lang w:val="en-GB"/>
        </w:rPr>
        <w:t>nonGAIN</w:t>
      </w:r>
      <w:proofErr w:type="spellEnd"/>
      <w:r>
        <w:rPr>
          <w:rFonts w:ascii="Palatino Linotype" w:hAnsi="Palatino Linotype"/>
          <w:sz w:val="20"/>
          <w:szCs w:val="20"/>
          <w:lang w:val="en-GB"/>
        </w:rPr>
        <w:t xml:space="preserve">) using the </w:t>
      </w:r>
      <w:proofErr w:type="spellStart"/>
      <w:r>
        <w:rPr>
          <w:rFonts w:ascii="Palatino Linotype" w:hAnsi="Palatino Linotype"/>
          <w:sz w:val="20"/>
          <w:szCs w:val="20"/>
          <w:lang w:val="en-GB"/>
        </w:rPr>
        <w:t>TOPMed</w:t>
      </w:r>
      <w:proofErr w:type="spellEnd"/>
      <w:r>
        <w:rPr>
          <w:rFonts w:ascii="Palatino Linotype" w:hAnsi="Palatino Linotype"/>
          <w:sz w:val="20"/>
          <w:szCs w:val="20"/>
          <w:lang w:val="en-GB"/>
        </w:rPr>
        <w:t xml:space="preserve"> Imputation server </w:t>
      </w:r>
      <w:r>
        <w:fldChar w:fldCharType="begin"/>
      </w:r>
      <w:r>
        <w:rPr>
          <w:rFonts w:ascii="Palatino Linotype" w:hAnsi="Palatino Linotype"/>
          <w:sz w:val="20"/>
          <w:szCs w:val="20"/>
          <w:lang w:val="en-GB"/>
        </w:rPr>
        <w:instrText>ADDIN ZOTERO_ITEM CSL_CITATION {"citationID":"wkVqz9wi","properties":{"formattedCitation":"\\super 5\\nosupersub{}","plainCitation":"5","noteIndex":0},"citationItems":[{"id":712,"uris":["http://zotero.org/users/1393070/items/5ZAIUSRQ"],"itemData":{"id":712,"type":"article-journal","abstract":"Abstract\n            \n              The Trans-Omics for Precision Medicine (TOPMed) programme seeks to elucidate the genetic architecture and biology of heart, lung, blood and sleep disorders, with the ultimate goal of improving diagnosis, treatment and prevention of these diseases. The initial phases of the programme focused on whole-genome sequencing of individuals with rich phenotypic data and diverse backgrounds. Here we describe the TOPMed goals and design as well as the available resources and early insights obtained from the sequence data. The resources include a variant browser, a genotype imputation server, and genomic and phenotypic data that are available through dbGaP (Database of Genotypes and Phenotypes)\n              1\n              . In the first 53,831 TOPMed samples, we detected more than 400 million single-nucleotide and insertion or deletion variants after alignment with the reference genome. Additional previously undescribed variants were detected through assembly of unmapped reads and customized analysis in highly variable loci. Among the more than 400 million detected variants, 97% have frequencies of less than 1% and 46% are singletons that are present in only one individual (53% among unrelated individuals). These rare variants provide insights into mutational processes and recent human evolutionary history. The extensive catalogue of genetic variation in TOPMed studies provides unique opportunities for exploring the contributions of rare and noncoding sequence variants to phenotypic variation. Furthermore, combining TOPMed haplotypes with modern imputation methods improves the power and reach of genome-wide association studies to include variants down to a frequency of approximately 0.01%.","container-title":"Nature","DOI":"10.1038/s41586-021-03205-y","ISSN":"0028-0836, 1476-4687","issue":"7845","journalAbbreviation":"Nature","language":"en","page":"290-299","source":"DOI.org (Crossref)","title":"Sequencing of 53,831 diverse genomes from the NHLBI TOPMed Program","volume":"590","author":[{"literal":"NHLBI Trans-Omics for Precision Medicine (TOPMed) Consortium"},{"family":"Taliun","given":"Daniel"},{"family":"Harris","given":"Daniel N."},{"family":"Kessler","given":"Michael D."},{"family":"Carlson","given":"Jedidiah"},{"family":"Szpiech","given":"Zachary A."},{"family":"Torres","given":"Raul"},{"family":"Taliun","given":"Sarah A. Gagliano"},{"family":"Corvelo","given":"André"},{"family":"Gogarten","given":"Stephanie M."},{"family":"Kang","given":"Hyun Min"},{"family":"Pitsillides","given":"Achilleas N."},{"family":"LeFaive","given":"Jonathon"},{"family":"Lee","given":"Seung-been"},{"family":"Tian","given":"Xiaowen"},{"family":"Browning","given":"Brian L."},{"family":"Das","given":"Sayantan"},{"family":"Emde","given":"Anne-Katrin"},{"family":"Clarke","given":"Wayne E."},{"family":"Loesch","given":"Douglas P."},{"family":"Shetty","given":"Amol C."},{"family":"Blackwell","given":"Thomas W."},{"family":"Smith","given":"Albert V."},{"family":"Wong","given":"Quenna"},{"family":"Liu","given":"Xiaoming"},{"family":"Conomos","given":"Matthew P."},{"family":"Bobo","given":"Dean M."},{"family":"Aguet","given":"François"},{"family":"Albert","given":"Christine"},{"family":"Alonso","given":"Alvaro"},{"family":"Ardlie","given":"Kristin G."},{"family":"Arking","given":"Dan E."},{"family":"Aslibekyan","given":"Stella"},{"family":"Auer","given":"Paul L."},{"family":"Barnard","given":"John"},{"family":"Barr","given":"R. Graham"},{"family":"Barwick","given":"Lucas"},{"family":"Becker","given":"Lewis C."},{"family":"Beer","given":"Rebecca L."},{"family":"Benjamin","given":"Emelia J."},{"family":"Bielak","given":"Lawrence F."},{"family":"Blangero","given":"John"},{"family":"Boehnke","given":"Michael"},{"family":"Bowden","given":"Donald W."},{"family":"Brody","given":"Jennifer A."},{"family":"Burchard","given":"Esteban G."},{"family":"Cade","given":"Brian E."},{"family":"Casella","given":"James F."},{"family":"Chalazan","given":"Brandon"},{"family":"Chasman","given":"Daniel I."},{"family":"Chen","given":"Yii-Der Ida"},{"family":"Cho","given":"Michael H."},{"family":"Choi","given":"Seung Hoan"},{"family":"Chung","given":"Mina K."},{"family":"Clish","given":"Clary B."},{"family":"Correa","given":"Adolfo"},{"family":"Curran","given":"Joanne E."},{"family":"Custer","given":"Brian"},{"family":"Darbar","given":"Dawood"},{"family":"Daya","given":"Michelle"},{"family":"Andrade","given":"Mariza","non-dropping-particle":"de"},{"family":"DeMeo","given":"Dawn L."},{"family":"Dutcher","given":"Susan K."},{"family":"Ellinor","given":"Patrick T."},{"family":"Emery","given":"Leslie S."},{"family":"Eng","given":"Celeste"},{"family":"Fatkin","given":"Diane"},{"family":"Fingerlin","given":"Tasha"},{"family":"Forer","given":"Lukas"},{"family":"Fornage","given":"Myriam"},{"family":"Franceschini","given":"Nora"},{"family":"Fuchsberger","given":"Christian"},{"family":"Fullerton","given":"Stephanie M."},{"family":"Germer","given":"Soren"},{"family":"Gladwin","given":"Mark T."},{"family":"Gottlieb","given":"Daniel J."},{"family":"Guo","given":"Xiuqing"},{"family":"Hall","given":"Michael E."},{"family":"He","given":"Jiang"},{"family":"Heard-Costa","given":"Nancy L."},{"family":"Heckbert","given":"Susan R."},{"family":"Irvin","given":"Marguerite R."},{"family":"Johnsen","given":"Jill M."},{"family":"Johnson","given":"Andrew D."},{"family":"Kaplan","given":"Robert"},{"family":"Kardia","given":"Sharon L. R."},{"family":"Kelly","given":"Tanika"},{"family":"Kelly","given":"Shannon"},{"family":"Kenny","given":"Eimear E."},{"family":"Kiel","given":"Douglas P."},{"family":"Klemmer","given":"Robert"},{"family":"Konkle","given":"Barbara A."},{"family":"Kooperberg","given":"Charles"},{"family":"Köttgen","given":"Anna"},{"family":"Lange","given":"Leslie A."},{"family":"Lasky-Su","given":"Jessica"},{"family":"Levy","given":"Daniel"},{"family":"Lin","given":"Xihong"},{"family":"Lin","given":"Keng-Han"},{"family":"Liu","given":"Chunyu"},{"family":"Loos","given":"Ruth J. F."},{"family":"Garman","given":"Lori"},{"family":"Gerszten","given":"Robert"},{"family":"Lubitz","given":"Steven A."},{"family":"Lunetta","given":"Kathryn L."},{"family":"Mak","given":"Angel C. Y."},{"family":"Manichaikul","given":"Ani"},{"family":"Manning","given":"Alisa K."},{"family":"Mathias","given":"Rasika A."},{"family":"McManus","given":"David D."},{"family":"McGarvey","given":"Stephen T."},{"family":"Meigs","given":"James B."},{"family":"Meyers","given":"Deborah A."},{"family":"Mikulla","given":"Julie L."},{"family":"Minear","given":"Mollie A."},{"family":"Mitchell","given":"Braxton D."},{"family":"Mohanty","given":"Sanghamitra"},{"family":"Montasser","given":"May E."},{"family":"Montgomery","given":"Courtney"},{"family":"Morrison","given":"Alanna C."},{"family":"Murabito","given":"Joanne M."},{"family":"Natale","given":"Andrea"},{"family":"Natarajan","given":"Pradeep"},{"family":"Nelson","given":"Sarah C."},{"family":"North","given":"Kari E."},{"family":"O’Connell","given":"Jeffrey R."},{"family":"Palmer","given":"Nicholette D."},{"family":"Pankratz","given":"Nathan"},{"family":"Peloso","given":"Gina M."},{"family":"Peyser","given":"Patricia A."},{"family":"Pleiness","given":"Jacob"},{"family":"Post","given":"Wendy S."},{"family":"Psaty","given":"Bruce M."},{"family":"Rao","given":"D. C."},{"family":"Redline","given":"Susan"},{"family":"Reiner","given":"Alexander P."},{"family":"Roden","given":"Dan"},{"family":"Rotter","given":"Jerome I."},{"family":"Ruczinski","given":"Ingo"},{"family":"Sarnowski","given":"Chloé"},{"family":"Schoenherr","given":"Sebastian"},{"family":"Schwartz","given":"David A."},{"family":"Seo","given":"Jeong-Sun"},{"family":"Seshadri","given":"Sudha"},{"family":"Sheehan","given":"Vivien A."},{"family":"Sheu","given":"Wayne H."},{"family":"Shoemaker","given":"M. Benjamin"},{"family":"Smith","given":"Nicholas L."},{"family":"Smith","given":"Jennifer A."},{"family":"Sotoodehnia","given":"Nona"},{"family":"Stilp","given":"Adrienne M."},{"family":"Tang","given":"Weihong"},{"family":"Taylor","given":"Kent D."},{"family":"Telen","given":"Marilyn"},{"family":"Thornton","given":"Timothy A."},{"family":"Tracy","given":"Russell P."},{"family":"Van Den Berg","given":"David J."},{"family":"Vasan","given":"Ramachandran S."},{"family":"Viaud-Martinez","given":"Karine A."},{"family":"Vrieze","given":"Scott"},{"family":"Weeks","given":"Daniel E."},{"family":"Weir","given":"Bruce S."},{"family":"Weiss","given":"Scott T."},{"family":"Weng","given":"Lu-Chen"},{"family":"Willer","given":"Cristen J."},{"family":"Zhang","given":"Yingze"},{"family":"Zhao","given":"Xutong"},{"family":"Arnett","given":"Donna K."},{"family":"Ashley-Koch","given":"Allison E."},{"family":"Barnes","given":"Kathleen C."},{"family":"Boerwinkle","given":"Eric"},{"family":"Gabriel","given":"Stacey"},{"family":"Gibbs","given":"Richard"},{"family":"Rice","given":"Kenneth M."},{"family":"Rich","given":"Stephen S."},{"family":"Silverman","given":"Edwin K."},{"family":"Qasba","given":"Pankaj"},{"family":"Gan","given":"Weiniu"},{"family":"Papanicolaou","given":"George J."},{"family":"Nickerson","given":"Deborah A."},{"family":"Browning","given":"Sharon R."},{"family":"Zody","given":"Michael C."},{"family":"Zöllner","given":"Sebastian"},{"family":"Wilson","given":"James G."},{"family":"Cupples","given":"L. Adrienne"},{"family":"Laurie","given":"Cathy C."},{"family":"Jaquish","given":"Cashell E."},{"family":"Hernandez","given":"Ryan D."},{"family":"O’Connor","given":"Timothy D."},{"family":"Abecasis","given":"Gonçalo R."}],"issued":{"date-parts":[["2021",2,11]]}}}],"schema":"https://github.com/citation-style-language/schema/raw/master/csl-citation.json"}</w:instrText>
      </w:r>
      <w:r>
        <w:rPr>
          <w:rFonts w:ascii="Palatino Linotype" w:hAnsi="Palatino Linotype"/>
          <w:sz w:val="20"/>
          <w:szCs w:val="20"/>
          <w:lang w:val="en-GB"/>
        </w:rPr>
        <w:fldChar w:fldCharType="separate"/>
      </w:r>
      <w:r>
        <w:rPr>
          <w:rFonts w:ascii="Palatino Linotype" w:hAnsi="Palatino Linotype" w:cs="Times New Roman"/>
          <w:sz w:val="20"/>
          <w:szCs w:val="24"/>
          <w:vertAlign w:val="superscript"/>
          <w:lang w:val="en-US"/>
        </w:rPr>
        <w:t>5</w:t>
      </w:r>
      <w:r>
        <w:rPr>
          <w:rFonts w:ascii="Palatino Linotype" w:hAnsi="Palatino Linotype"/>
          <w:sz w:val="20"/>
          <w:szCs w:val="20"/>
          <w:lang w:val="en-GB"/>
        </w:rPr>
        <w:fldChar w:fldCharType="end"/>
      </w:r>
      <w:r>
        <w:rPr>
          <w:rFonts w:ascii="Palatino Linotype" w:hAnsi="Palatino Linotype"/>
          <w:sz w:val="20"/>
          <w:szCs w:val="20"/>
          <w:lang w:val="en-GB"/>
        </w:rPr>
        <w:t xml:space="preserve">. Imputed datasets were filtered discarding genetic variants with an imputation quality score (r-squared) &lt; </w:t>
      </w:r>
      <w:proofErr w:type="gramStart"/>
      <w:r>
        <w:rPr>
          <w:rFonts w:ascii="Palatino Linotype" w:hAnsi="Palatino Linotype"/>
          <w:sz w:val="20"/>
          <w:szCs w:val="20"/>
          <w:lang w:val="en-GB"/>
        </w:rPr>
        <w:t>0.9, and</w:t>
      </w:r>
      <w:proofErr w:type="gramEnd"/>
      <w:r>
        <w:rPr>
          <w:rFonts w:ascii="Palatino Linotype" w:hAnsi="Palatino Linotype"/>
          <w:sz w:val="20"/>
          <w:szCs w:val="20"/>
          <w:lang w:val="en-GB"/>
        </w:rPr>
        <w:t xml:space="preserve"> converted to binary files using PLINK’s --</w:t>
      </w:r>
      <w:proofErr w:type="spellStart"/>
      <w:r>
        <w:rPr>
          <w:rFonts w:ascii="Palatino Linotype" w:hAnsi="Palatino Linotype"/>
          <w:sz w:val="20"/>
          <w:szCs w:val="20"/>
          <w:lang w:val="en-GB"/>
        </w:rPr>
        <w:t>vcf</w:t>
      </w:r>
      <w:proofErr w:type="spellEnd"/>
      <w:r>
        <w:rPr>
          <w:rFonts w:ascii="Palatino Linotype" w:hAnsi="Palatino Linotype"/>
          <w:sz w:val="20"/>
          <w:szCs w:val="20"/>
          <w:lang w:val="en-GB"/>
        </w:rPr>
        <w:t xml:space="preserve"> flag. Finally, the four datasets were merged, post-imputation QC was applied using PLINK (ambiguous and multiallelic SNPs, as well as SNPs with MAF &lt; 1%, and HWE P-value &lt; 1e-06 were excluded), and the genotypes were lifted over to genome build </w:t>
      </w:r>
      <w:r>
        <w:rPr>
          <w:rFonts w:ascii="Palatino Linotype" w:hAnsi="Palatino Linotype"/>
          <w:sz w:val="20"/>
          <w:szCs w:val="20"/>
          <w:lang w:val="en-GB"/>
        </w:rPr>
        <w:lastRenderedPageBreak/>
        <w:t xml:space="preserve">19 using the UCSC </w:t>
      </w:r>
      <w:proofErr w:type="spellStart"/>
      <w:r>
        <w:rPr>
          <w:rFonts w:ascii="Palatino Linotype" w:hAnsi="Palatino Linotype"/>
          <w:sz w:val="20"/>
          <w:szCs w:val="20"/>
          <w:lang w:val="en-GB"/>
        </w:rPr>
        <w:t>liftOverPlink</w:t>
      </w:r>
      <w:proofErr w:type="spellEnd"/>
      <w:r>
        <w:rPr>
          <w:rFonts w:ascii="Palatino Linotype" w:hAnsi="Palatino Linotype"/>
          <w:sz w:val="20"/>
          <w:szCs w:val="20"/>
          <w:lang w:val="en-GB"/>
        </w:rPr>
        <w:t xml:space="preserve"> tool </w:t>
      </w:r>
      <w:r>
        <w:fldChar w:fldCharType="begin"/>
      </w:r>
      <w:r>
        <w:rPr>
          <w:rFonts w:ascii="Palatino Linotype" w:hAnsi="Palatino Linotype"/>
          <w:sz w:val="20"/>
          <w:szCs w:val="20"/>
          <w:lang w:val="en-GB"/>
        </w:rPr>
        <w:instrText>ADDIN ZOTERO_ITEM CSL_CITATION {"citationID":"x3GAkmmp","properties":{"formattedCitation":"\\super 6\\nosupersub{}","plainCitation":"6","noteIndex":0},"citationItems":[{"id":714,"uris":["http://zotero.org/users/1393070/items/IIT6AV8G"],"itemData":{"id":714,"type":"article-journal","abstract":"For more than two decades, the UCSC Genome Browser database (https://genome.ucsc.edu) has provided high-quality genomics data visualization and genome annotations to the research community. As the field of genomics grows and more data become available, new modes of display are required to accommodate new technologies. New features released this past year include a Hi-C heatmap display, a phased family trio display for VCF files, and various track visualization improvements. Striving to keep data up-to-date, new updates to gene annotations include GENCODE Genes, NCBI RefSeq Genes, and Ensembl Genes. New data tracks added for human and mouse genomes include the ENCODE registry of candidate cis-regulatory elements, promoters from the Eukaryotic Promoter Database, and NCBI RefSeq Select and Matched Annotation from NCBI and EMBL-EBI (MANE). Within weeks of learning about the outbreak of coronavirus, UCSC released a genome browser, with detailed annotation tracks, for the SARS-CoV-2 RNA reference assembly.","container-title":"Nucleic Acids Research","DOI":"10.1093/nar/gkaa1070","ISSN":"1362-4962","issue":"D1","journalAbbreviation":"Nucleic Acids Res","language":"eng","note":"PMID: 33221922\nPMCID: PMC7779060","page":"D1046-D1057","source":"PubMed","title":"The UCSC Genome Browser database: 2021 update","title-short":"The UCSC Genome Browser database","volume":"49","author":[{"family":"Navarro Gonzalez","given":"Jairo"},{"family":"Zweig","given":"Ann S."},{"family":"Speir","given":"Matthew L."},{"family":"Schmelter","given":"Daniel"},{"family":"Rosenbloom","given":"Kate R."},{"family":"Raney","given":"Brian J."},{"family":"Powell","given":"Conner C."},{"family":"Nassar","given":"Luis R."},{"family":"Maulding","given":"Nathan D."},{"family":"Lee","given":"Christopher M."},{"family":"Lee","given":"Brian T."},{"family":"Hinrichs","given":"Angie S."},{"family":"Fyfe","given":"Alastair C."},{"family":"Fernandes","given":"Jason D."},{"family":"Diekhans","given":"Mark"},{"family":"Clawson","given":"Hiram"},{"family":"Casper","given":"Jonathan"},{"family":"Benet-Pagès","given":"Anna"},{"family":"Barber","given":"Galt P."},{"family":"Haussler","given":"David"},{"family":"Kuhn","given":"Robert M."},{"family":"Haeussler","given":"Maximilian"},{"family":"Kent","given":"W. James"}],"issued":{"date-parts":[["2021",1,8]]}}}],"schema":"https://github.com/citation-style-language/schema/raw/master/csl-citation.json"}</w:instrText>
      </w:r>
      <w:r>
        <w:rPr>
          <w:rFonts w:ascii="Palatino Linotype" w:hAnsi="Palatino Linotype"/>
          <w:sz w:val="20"/>
          <w:szCs w:val="20"/>
          <w:lang w:val="en-GB"/>
        </w:rPr>
        <w:fldChar w:fldCharType="separate"/>
      </w:r>
      <w:r w:rsidRPr="00CB0285">
        <w:rPr>
          <w:rFonts w:ascii="Palatino Linotype" w:hAnsi="Palatino Linotype" w:cs="Times New Roman"/>
          <w:sz w:val="20"/>
          <w:szCs w:val="24"/>
          <w:vertAlign w:val="superscript"/>
          <w:lang w:val="en-US"/>
        </w:rPr>
        <w:t>6</w:t>
      </w:r>
      <w:r>
        <w:rPr>
          <w:rFonts w:ascii="Palatino Linotype" w:hAnsi="Palatino Linotype"/>
          <w:sz w:val="20"/>
          <w:szCs w:val="20"/>
          <w:lang w:val="en-GB"/>
        </w:rPr>
        <w:fldChar w:fldCharType="end"/>
      </w:r>
      <w:r>
        <w:rPr>
          <w:rFonts w:ascii="Palatino Linotype" w:hAnsi="Palatino Linotype"/>
          <w:sz w:val="20"/>
          <w:szCs w:val="20"/>
          <w:lang w:val="en-GB"/>
        </w:rPr>
        <w:t>. At the end of the process, the resulting dataset included 4 707 individuals and 4</w:t>
      </w:r>
      <w:r w:rsidR="00CB0285">
        <w:rPr>
          <w:rFonts w:ascii="Palatino Linotype" w:hAnsi="Palatino Linotype"/>
          <w:sz w:val="20"/>
          <w:szCs w:val="20"/>
          <w:lang w:val="en-GB"/>
        </w:rPr>
        <w:t xml:space="preserve"> </w:t>
      </w:r>
      <w:r>
        <w:rPr>
          <w:rFonts w:ascii="Palatino Linotype" w:hAnsi="Palatino Linotype"/>
          <w:sz w:val="20"/>
          <w:szCs w:val="20"/>
          <w:lang w:val="en-GB"/>
        </w:rPr>
        <w:t>649</w:t>
      </w:r>
      <w:r w:rsidR="00CB0285">
        <w:rPr>
          <w:rFonts w:ascii="Palatino Linotype" w:hAnsi="Palatino Linotype"/>
          <w:sz w:val="20"/>
          <w:szCs w:val="20"/>
          <w:lang w:val="en-GB"/>
        </w:rPr>
        <w:t xml:space="preserve"> </w:t>
      </w:r>
      <w:r>
        <w:rPr>
          <w:rFonts w:ascii="Palatino Linotype" w:hAnsi="Palatino Linotype"/>
          <w:sz w:val="20"/>
          <w:szCs w:val="20"/>
          <w:lang w:val="en-GB"/>
        </w:rPr>
        <w:t xml:space="preserve">950 SNPs. GWAS was performed by linear regression in PLINK using normalized AAO as the outcome and sex, dataset, and the top 10 PCs were included as covariates. </w:t>
      </w:r>
    </w:p>
    <w:p w14:paraId="3404EF37" w14:textId="77777777" w:rsidR="003C061E" w:rsidRDefault="003C061E">
      <w:pPr>
        <w:spacing w:line="480" w:lineRule="auto"/>
        <w:jc w:val="both"/>
        <w:rPr>
          <w:rFonts w:ascii="Palatino Linotype" w:hAnsi="Palatino Linotype"/>
          <w:sz w:val="20"/>
          <w:szCs w:val="20"/>
          <w:lang w:val="en-GB"/>
        </w:rPr>
      </w:pPr>
    </w:p>
    <w:p w14:paraId="3404EF3B" w14:textId="77777777" w:rsidR="003C061E" w:rsidRDefault="00266ED4">
      <w:pPr>
        <w:spacing w:line="480" w:lineRule="auto"/>
        <w:jc w:val="both"/>
        <w:rPr>
          <w:rFonts w:ascii="Palatino Linotype" w:hAnsi="Palatino Linotype"/>
          <w:b/>
          <w:bCs/>
          <w:sz w:val="20"/>
          <w:szCs w:val="20"/>
          <w:lang w:val="en-GB"/>
        </w:rPr>
      </w:pPr>
      <w:r>
        <w:rPr>
          <w:rFonts w:ascii="Palatino Linotype" w:hAnsi="Palatino Linotype"/>
          <w:b/>
          <w:bCs/>
          <w:sz w:val="20"/>
          <w:szCs w:val="20"/>
          <w:lang w:val="en-GB"/>
        </w:rPr>
        <w:t>Results</w:t>
      </w:r>
    </w:p>
    <w:p w14:paraId="3404EF3C" w14:textId="53ECE56B" w:rsidR="003C061E" w:rsidRDefault="00266ED4">
      <w:pPr>
        <w:spacing w:line="480" w:lineRule="auto"/>
        <w:ind w:right="-1"/>
        <w:jc w:val="both"/>
        <w:rPr>
          <w:rFonts w:ascii="Palatino Linotype" w:hAnsi="Palatino Linotype"/>
          <w:sz w:val="20"/>
          <w:szCs w:val="20"/>
          <w:lang w:val="en-GB"/>
        </w:rPr>
      </w:pPr>
      <w:r>
        <w:rPr>
          <w:rFonts w:ascii="Palatino Linotype" w:hAnsi="Palatino Linotype"/>
          <w:sz w:val="20"/>
          <w:szCs w:val="20"/>
          <w:lang w:val="en-GB"/>
        </w:rPr>
        <w:t>Genomic loci showing suggestive associations with AAO (</w:t>
      </w:r>
      <w:r>
        <w:rPr>
          <w:rFonts w:ascii="Palatino Linotype" w:hAnsi="Palatino Linotype"/>
          <w:i/>
          <w:iCs/>
          <w:sz w:val="20"/>
          <w:szCs w:val="20"/>
          <w:lang w:val="en-GB"/>
        </w:rPr>
        <w:t>P</w:t>
      </w:r>
      <w:r>
        <w:rPr>
          <w:rFonts w:ascii="Palatino Linotype" w:hAnsi="Palatino Linotype"/>
          <w:sz w:val="20"/>
          <w:szCs w:val="20"/>
          <w:lang w:val="en-GB"/>
        </w:rPr>
        <w:t xml:space="preserve">-value &lt; 1e-05) were identified using FUMA </w:t>
      </w:r>
      <w:r>
        <w:fldChar w:fldCharType="begin"/>
      </w:r>
      <w:r>
        <w:rPr>
          <w:rFonts w:ascii="Palatino Linotype" w:hAnsi="Palatino Linotype"/>
          <w:sz w:val="20"/>
          <w:szCs w:val="20"/>
          <w:lang w:val="en-GB"/>
        </w:rPr>
        <w:instrText xml:space="preserve"> ADDIN ZOTERO_ITEM CSL_CITATION {"citationID":"gA0f5Jan","properties":{"formattedCitation":"\\super 7\\nosupersub{}","plainCitation":"7","noteIndex":0},"citationItems":[{"id":"tFkd3ltK/RZA3JYXl","uris":["http://www.mendeley.com/documents/?uuid=a5e51bbc-7579-3519-9903-323ed6baec5f"],"itemData":{"DOI":"10.1038/s41467-017-01261-5","ISSN":"20411723","PMID":"29184056","abstract":"A main challenge in genome-wide association studies (GWAS) is to pinpoint possible causal variants. Results from GWAS typically do not directly translate into causal variants because the majority of hits are in non-coding or intergenic regions, and the presence of linkage disequilibrium leads to effects being statistically spread out across multiple variants. Post-GWAS annotation facilitates the selection of most likely causal variant(s). Multiple resources are available for post-GWAS annotation, yet these can be time consuming and do not provide integrated visual aids for data interpretation. We, therefore, develop FUMA: an integrative web-based platform using information from multiple biological resources to facilitate functional annotation of GWAS results, gene prioritization and interactive visualization. FUMA accommodates positional, expression quantitative trait loci (eQTL) and chromatin interaction mappings, and provides gene-based, pathway and tissue enrichment results. FUMA results directly aid in generating hypotheses that are testable in functional experiments aimed at proving causal relations.","author":[{"dropping-particle":"","family":"Watanabe","given":"Kyoko","non-dropping-particle":"","parse-names":false,"suffix":""},{"dropping-particle":"","family":"Taskesen","given":"Erdogan","non-dropping-particle":"","parse-names":false,"suffix":""},{"dropping-particle":"","family":"Bochoven","given":"Arjen","non-dropping-particle":"Van","parse-names":false,"suffix":""},{"dropping-particle":"","family":"Posthuma","given":"Danielle","non-dropping-particle":"","parse-names":false,"suffix":""}],"container-title":"Nature Communications","id":"ITEM-1","issue":"1","issued":{"date-parts":[["2017","12","1"]]},"page":"1-11","publisher":"Nature Publishing Group","title":"Functional mapping and annotation of genetic associations with FUMA","type":"article-journal","volume":"8"}}],"schema":"https://github.com/citation-style-language/schema/raw/master/csl-citation.json"} </w:instrText>
      </w:r>
      <w:r>
        <w:rPr>
          <w:rFonts w:ascii="Palatino Linotype" w:hAnsi="Palatino Linotype"/>
          <w:sz w:val="20"/>
          <w:szCs w:val="20"/>
          <w:lang w:val="en-GB"/>
        </w:rPr>
        <w:fldChar w:fldCharType="separate"/>
      </w:r>
      <w:r w:rsidRPr="00266ED4">
        <w:rPr>
          <w:rFonts w:ascii="Palatino Linotype" w:hAnsi="Palatino Linotype" w:cs="Times New Roman"/>
          <w:sz w:val="20"/>
          <w:szCs w:val="24"/>
          <w:vertAlign w:val="superscript"/>
          <w:lang w:val="en-US"/>
        </w:rPr>
        <w:t>7</w:t>
      </w:r>
      <w:r>
        <w:rPr>
          <w:rFonts w:ascii="Palatino Linotype" w:hAnsi="Palatino Linotype"/>
          <w:sz w:val="20"/>
          <w:szCs w:val="20"/>
          <w:lang w:val="en-GB"/>
        </w:rPr>
        <w:fldChar w:fldCharType="end"/>
      </w:r>
      <w:r>
        <w:rPr>
          <w:rFonts w:ascii="Palatino Linotype" w:hAnsi="Palatino Linotype"/>
          <w:sz w:val="20"/>
          <w:szCs w:val="20"/>
          <w:lang w:val="en-GB"/>
        </w:rPr>
        <w:t xml:space="preserve">. Although none of the SNPs reached the genome-wide significance threshold </w:t>
      </w:r>
      <w:bookmarkStart w:id="0" w:name="_Hlk101468828"/>
      <w:r>
        <w:rPr>
          <w:rFonts w:ascii="Palatino Linotype" w:hAnsi="Palatino Linotype"/>
          <w:sz w:val="20"/>
          <w:szCs w:val="20"/>
          <w:lang w:val="en-GB"/>
        </w:rPr>
        <w:t>(</w:t>
      </w:r>
      <w:r>
        <w:rPr>
          <w:rFonts w:ascii="Palatino Linotype" w:hAnsi="Palatino Linotype"/>
          <w:i/>
          <w:iCs/>
          <w:sz w:val="20"/>
          <w:szCs w:val="20"/>
          <w:lang w:val="en-GB"/>
        </w:rPr>
        <w:t>P</w:t>
      </w:r>
      <w:r>
        <w:rPr>
          <w:rFonts w:ascii="Palatino Linotype" w:hAnsi="Palatino Linotype"/>
          <w:sz w:val="20"/>
          <w:szCs w:val="20"/>
          <w:lang w:val="en-GB"/>
        </w:rPr>
        <w:t>-value &lt; 5e-08)</w:t>
      </w:r>
      <w:bookmarkEnd w:id="0"/>
      <w:r>
        <w:rPr>
          <w:rFonts w:ascii="Palatino Linotype" w:hAnsi="Palatino Linotype"/>
          <w:sz w:val="20"/>
          <w:szCs w:val="20"/>
          <w:lang w:val="en-GB"/>
        </w:rPr>
        <w:t>, we detected 33 suggestive associations (</w:t>
      </w:r>
      <w:r>
        <w:rPr>
          <w:rFonts w:ascii="Palatino Linotype" w:hAnsi="Palatino Linotype"/>
          <w:i/>
          <w:iCs/>
          <w:sz w:val="20"/>
          <w:szCs w:val="20"/>
          <w:lang w:val="en-GB"/>
        </w:rPr>
        <w:t>P</w:t>
      </w:r>
      <w:r>
        <w:rPr>
          <w:rFonts w:ascii="Palatino Linotype" w:hAnsi="Palatino Linotype"/>
          <w:sz w:val="20"/>
          <w:szCs w:val="20"/>
          <w:lang w:val="en-GB"/>
        </w:rPr>
        <w:t xml:space="preserve">-value &lt; 1e-05) (Figure </w:t>
      </w:r>
      <w:r w:rsidR="000A7FA5">
        <w:rPr>
          <w:rFonts w:ascii="Palatino Linotype" w:hAnsi="Palatino Linotype"/>
          <w:sz w:val="20"/>
          <w:szCs w:val="20"/>
          <w:lang w:val="en-GB"/>
        </w:rPr>
        <w:t>S</w:t>
      </w:r>
      <w:r>
        <w:rPr>
          <w:rFonts w:ascii="Palatino Linotype" w:hAnsi="Palatino Linotype"/>
          <w:sz w:val="20"/>
          <w:szCs w:val="20"/>
          <w:lang w:val="en-GB"/>
        </w:rPr>
        <w:t>2</w:t>
      </w:r>
      <w:r w:rsidR="000A7FA5">
        <w:rPr>
          <w:rFonts w:ascii="Palatino Linotype" w:hAnsi="Palatino Linotype"/>
          <w:sz w:val="20"/>
          <w:szCs w:val="20"/>
          <w:lang w:val="en-GB"/>
        </w:rPr>
        <w:t>,</w:t>
      </w:r>
      <w:r>
        <w:rPr>
          <w:rFonts w:ascii="Palatino Linotype" w:hAnsi="Palatino Linotype"/>
          <w:sz w:val="20"/>
          <w:szCs w:val="20"/>
          <w:lang w:val="en-GB"/>
        </w:rPr>
        <w:t xml:space="preserve"> Table S</w:t>
      </w:r>
      <w:r w:rsidR="00CE0126">
        <w:rPr>
          <w:rFonts w:ascii="Palatino Linotype" w:hAnsi="Palatino Linotype"/>
          <w:sz w:val="20"/>
          <w:szCs w:val="20"/>
          <w:lang w:val="en-GB"/>
        </w:rPr>
        <w:t>4</w:t>
      </w:r>
      <w:r>
        <w:rPr>
          <w:rFonts w:ascii="Palatino Linotype" w:hAnsi="Palatino Linotype"/>
          <w:sz w:val="20"/>
          <w:szCs w:val="20"/>
          <w:lang w:val="en-GB"/>
        </w:rPr>
        <w:t xml:space="preserve">). The three strongest association signals for AAO were intergenic variants at chromosomes 16 (rs142248381, </w:t>
      </w:r>
      <w:r>
        <w:rPr>
          <w:rFonts w:ascii="Palatino Linotype" w:hAnsi="Palatino Linotype"/>
          <w:i/>
          <w:iCs/>
          <w:sz w:val="20"/>
          <w:szCs w:val="20"/>
          <w:lang w:val="en-GB"/>
        </w:rPr>
        <w:t>P</w:t>
      </w:r>
      <w:r>
        <w:rPr>
          <w:rFonts w:ascii="Palatino Linotype" w:hAnsi="Palatino Linotype"/>
          <w:sz w:val="20"/>
          <w:szCs w:val="20"/>
          <w:lang w:val="en-GB"/>
        </w:rPr>
        <w:t xml:space="preserve">-value = 6.093e-07, nearest gene </w:t>
      </w:r>
      <w:r>
        <w:rPr>
          <w:rFonts w:ascii="Palatino Linotype" w:hAnsi="Palatino Linotype"/>
          <w:i/>
          <w:iCs/>
          <w:sz w:val="20"/>
          <w:szCs w:val="20"/>
          <w:lang w:val="en-GB"/>
        </w:rPr>
        <w:t>CALB2</w:t>
      </w:r>
      <w:r>
        <w:rPr>
          <w:rFonts w:ascii="Palatino Linotype" w:hAnsi="Palatino Linotype"/>
          <w:sz w:val="20"/>
          <w:szCs w:val="20"/>
          <w:lang w:val="en-GB"/>
        </w:rPr>
        <w:t xml:space="preserve">), 13 (rs9570366, </w:t>
      </w:r>
      <w:r>
        <w:rPr>
          <w:rFonts w:ascii="Palatino Linotype" w:hAnsi="Palatino Linotype"/>
          <w:i/>
          <w:iCs/>
          <w:sz w:val="20"/>
          <w:szCs w:val="20"/>
          <w:lang w:val="en-GB"/>
        </w:rPr>
        <w:t>P</w:t>
      </w:r>
      <w:r>
        <w:rPr>
          <w:rFonts w:ascii="Palatino Linotype" w:hAnsi="Palatino Linotype"/>
          <w:sz w:val="20"/>
          <w:szCs w:val="20"/>
          <w:lang w:val="en-GB"/>
        </w:rPr>
        <w:t xml:space="preserve">-value = 1.404e-06, nearest gene </w:t>
      </w:r>
      <w:r>
        <w:rPr>
          <w:rFonts w:ascii="Palatino Linotype" w:hAnsi="Palatino Linotype"/>
          <w:i/>
          <w:iCs/>
          <w:sz w:val="20"/>
          <w:szCs w:val="20"/>
          <w:lang w:val="en-GB"/>
        </w:rPr>
        <w:t>RNY4P31</w:t>
      </w:r>
      <w:r>
        <w:rPr>
          <w:rFonts w:ascii="Palatino Linotype" w:hAnsi="Palatino Linotype"/>
          <w:sz w:val="20"/>
          <w:szCs w:val="20"/>
          <w:lang w:val="en-GB"/>
        </w:rPr>
        <w:t xml:space="preserve">) and 8 (rs12550821, </w:t>
      </w:r>
      <w:r>
        <w:rPr>
          <w:rFonts w:ascii="Palatino Linotype" w:hAnsi="Palatino Linotype"/>
          <w:i/>
          <w:iCs/>
          <w:sz w:val="20"/>
          <w:szCs w:val="20"/>
          <w:lang w:val="en-GB"/>
        </w:rPr>
        <w:t>P</w:t>
      </w:r>
      <w:r>
        <w:rPr>
          <w:rFonts w:ascii="Palatino Linotype" w:hAnsi="Palatino Linotype"/>
          <w:sz w:val="20"/>
          <w:szCs w:val="20"/>
          <w:lang w:val="en-GB"/>
        </w:rPr>
        <w:t xml:space="preserve">-value = 1.425e-06, nearest genomic element was a long non-coding RNA </w:t>
      </w:r>
      <w:r>
        <w:rPr>
          <w:rFonts w:ascii="Palatino Linotype" w:hAnsi="Palatino Linotype"/>
          <w:i/>
          <w:iCs/>
          <w:sz w:val="20"/>
          <w:szCs w:val="20"/>
          <w:lang w:val="en-GB"/>
        </w:rPr>
        <w:t>RP11-563N12.2</w:t>
      </w:r>
      <w:r>
        <w:rPr>
          <w:rFonts w:ascii="Palatino Linotype" w:hAnsi="Palatino Linotype"/>
          <w:sz w:val="20"/>
          <w:szCs w:val="20"/>
          <w:lang w:val="en-GB"/>
        </w:rPr>
        <w:t>). Thirteen lead SNPs were detected, corresponding to 12 genomic risk loci, which were mapped to 98 genes (Table S</w:t>
      </w:r>
      <w:r w:rsidR="00CE0126">
        <w:rPr>
          <w:rFonts w:ascii="Palatino Linotype" w:hAnsi="Palatino Linotype"/>
          <w:sz w:val="20"/>
          <w:szCs w:val="20"/>
          <w:lang w:val="en-GB"/>
        </w:rPr>
        <w:t>4)</w:t>
      </w:r>
      <w:r>
        <w:rPr>
          <w:rFonts w:ascii="Palatino Linotype" w:hAnsi="Palatino Linotype"/>
          <w:sz w:val="20"/>
          <w:szCs w:val="20"/>
          <w:lang w:val="en-GB"/>
        </w:rPr>
        <w:t>. No gene showed a significant association with AAO (5% FDR) in the gene-based analysis. The LDSC analysis estimated an intercept of 1.01 (SE = 0.0081), consistent with minimal population stratification or cryptic relatedness (</w:t>
      </w:r>
      <w:proofErr w:type="spellStart"/>
      <w:r>
        <w:rPr>
          <w:rFonts w:ascii="Palatino Linotype" w:hAnsi="Palatino Linotype"/>
          <w:sz w:val="20"/>
          <w:szCs w:val="20"/>
          <w:lang w:val="en-GB"/>
        </w:rPr>
        <w:t>λ</w:t>
      </w:r>
      <w:r>
        <w:rPr>
          <w:rFonts w:ascii="Palatino Linotype" w:hAnsi="Palatino Linotype"/>
          <w:sz w:val="20"/>
          <w:szCs w:val="20"/>
          <w:vertAlign w:val="subscript"/>
          <w:lang w:val="en-GB"/>
        </w:rPr>
        <w:t>GC</w:t>
      </w:r>
      <w:proofErr w:type="spellEnd"/>
      <w:r>
        <w:rPr>
          <w:rFonts w:ascii="Palatino Linotype" w:hAnsi="Palatino Linotype"/>
          <w:sz w:val="20"/>
          <w:szCs w:val="20"/>
          <w:vertAlign w:val="subscript"/>
          <w:lang w:val="en-GB"/>
        </w:rPr>
        <w:t xml:space="preserve"> </w:t>
      </w:r>
      <w:r>
        <w:rPr>
          <w:rFonts w:ascii="Palatino Linotype" w:hAnsi="Palatino Linotype"/>
          <w:sz w:val="20"/>
          <w:szCs w:val="20"/>
          <w:lang w:val="en-GB"/>
        </w:rPr>
        <w:t>= 1.003).</w:t>
      </w:r>
    </w:p>
    <w:p w14:paraId="3404EF3D" w14:textId="77777777" w:rsidR="003C061E" w:rsidRDefault="003C061E">
      <w:pPr>
        <w:spacing w:line="480" w:lineRule="auto"/>
        <w:ind w:right="-1"/>
        <w:jc w:val="both"/>
        <w:rPr>
          <w:rFonts w:ascii="Palatino Linotype" w:hAnsi="Palatino Linotype"/>
          <w:sz w:val="20"/>
          <w:szCs w:val="20"/>
          <w:lang w:val="en-GB"/>
        </w:rPr>
      </w:pPr>
    </w:p>
    <w:p w14:paraId="3404EF3E" w14:textId="77777777" w:rsidR="003C061E" w:rsidRDefault="00266ED4">
      <w:pPr>
        <w:spacing w:line="480" w:lineRule="auto"/>
        <w:ind w:right="-1"/>
        <w:jc w:val="both"/>
        <w:rPr>
          <w:rFonts w:ascii="Palatino Linotype" w:hAnsi="Palatino Linotype"/>
          <w:b/>
          <w:bCs/>
          <w:sz w:val="20"/>
          <w:szCs w:val="20"/>
          <w:lang w:val="en-GB"/>
        </w:rPr>
      </w:pPr>
      <w:r>
        <w:rPr>
          <w:rFonts w:ascii="Palatino Linotype" w:hAnsi="Palatino Linotype"/>
          <w:b/>
          <w:bCs/>
          <w:sz w:val="20"/>
          <w:szCs w:val="20"/>
          <w:lang w:val="en-GB"/>
        </w:rPr>
        <w:t>SNP-based heritability</w:t>
      </w:r>
    </w:p>
    <w:p w14:paraId="3404EF3F" w14:textId="79B519A5" w:rsidR="003C061E" w:rsidRDefault="00A8117B">
      <w:pPr>
        <w:spacing w:line="480" w:lineRule="auto"/>
        <w:ind w:right="-1"/>
        <w:jc w:val="both"/>
        <w:rPr>
          <w:rFonts w:ascii="Palatino Linotype" w:hAnsi="Palatino Linotype"/>
          <w:sz w:val="20"/>
          <w:szCs w:val="20"/>
          <w:lang w:val="en-GB"/>
        </w:rPr>
      </w:pPr>
      <w:r>
        <w:rPr>
          <w:rFonts w:ascii="Palatino Linotype" w:hAnsi="Palatino Linotype"/>
          <w:sz w:val="20"/>
          <w:szCs w:val="20"/>
          <w:lang w:val="en-GB"/>
        </w:rPr>
        <w:t>T</w:t>
      </w:r>
      <w:r w:rsidR="00266ED4">
        <w:rPr>
          <w:rFonts w:ascii="Palatino Linotype" w:hAnsi="Palatino Linotype"/>
          <w:sz w:val="20"/>
          <w:szCs w:val="20"/>
          <w:lang w:val="en-GB"/>
        </w:rPr>
        <w:t>he contribution of common variation to heritability showed results consistent with moderate and significant SNP-based heritability. With LDSC, the SNP-based heritability was estimated as</w:t>
      </w:r>
      <w:bookmarkStart w:id="1" w:name="_Hlk101465404"/>
      <w:r w:rsidR="00266ED4">
        <w:rPr>
          <w:rFonts w:ascii="Palatino Linotype" w:hAnsi="Palatino Linotype"/>
          <w:sz w:val="20"/>
          <w:szCs w:val="20"/>
          <w:lang w:val="en-GB"/>
        </w:rPr>
        <w:t xml:space="preserve"> h</w:t>
      </w:r>
      <w:r w:rsidR="00266ED4">
        <w:rPr>
          <w:rFonts w:ascii="Palatino Linotype" w:hAnsi="Palatino Linotype"/>
          <w:sz w:val="20"/>
          <w:szCs w:val="20"/>
          <w:vertAlign w:val="superscript"/>
          <w:lang w:val="en-GB"/>
        </w:rPr>
        <w:t>2</w:t>
      </w:r>
      <w:r w:rsidR="00266ED4">
        <w:rPr>
          <w:rFonts w:ascii="Palatino Linotype" w:hAnsi="Palatino Linotype"/>
          <w:sz w:val="20"/>
          <w:szCs w:val="20"/>
          <w:vertAlign w:val="subscript"/>
          <w:lang w:val="en-GB"/>
        </w:rPr>
        <w:t>SNP</w:t>
      </w:r>
      <w:bookmarkEnd w:id="1"/>
      <w:r w:rsidR="00266ED4">
        <w:rPr>
          <w:rFonts w:ascii="Palatino Linotype" w:hAnsi="Palatino Linotype"/>
          <w:sz w:val="20"/>
          <w:szCs w:val="20"/>
          <w:lang w:val="en-GB"/>
        </w:rPr>
        <w:t xml:space="preserve"> = 0.13 (SE = 0.07). </w:t>
      </w:r>
    </w:p>
    <w:p w14:paraId="3404EFB5" w14:textId="6B36DCB7" w:rsidR="003C061E" w:rsidRDefault="003C061E">
      <w:pPr>
        <w:rPr>
          <w:rFonts w:ascii="Palatino Linotype" w:hAnsi="Palatino Linotype"/>
          <w:b/>
          <w:bCs/>
          <w:sz w:val="20"/>
          <w:szCs w:val="20"/>
          <w:lang w:val="en-GB"/>
        </w:rPr>
      </w:pPr>
    </w:p>
    <w:p w14:paraId="3404EFB6" w14:textId="77777777" w:rsidR="003C061E" w:rsidRDefault="00266ED4">
      <w:pPr>
        <w:spacing w:line="480" w:lineRule="auto"/>
        <w:jc w:val="both"/>
        <w:rPr>
          <w:rFonts w:ascii="Palatino Linotype" w:hAnsi="Palatino Linotype"/>
          <w:b/>
          <w:bCs/>
          <w:sz w:val="20"/>
          <w:szCs w:val="20"/>
          <w:lang w:val="en-GB"/>
        </w:rPr>
      </w:pPr>
      <w:r>
        <w:rPr>
          <w:rFonts w:ascii="Palatino Linotype" w:hAnsi="Palatino Linotype"/>
          <w:b/>
          <w:bCs/>
          <w:sz w:val="20"/>
          <w:szCs w:val="20"/>
          <w:lang w:val="en-GB"/>
        </w:rPr>
        <w:t>References</w:t>
      </w:r>
    </w:p>
    <w:p w14:paraId="32CB04A9" w14:textId="77777777" w:rsidR="00FF67B6" w:rsidRPr="00FF67B6" w:rsidRDefault="00FF67B6" w:rsidP="00FF67B6">
      <w:pPr>
        <w:pStyle w:val="Bibliography"/>
        <w:rPr>
          <w:rFonts w:ascii="Calibri" w:hAnsi="Calibri" w:cs="Calibri"/>
          <w:lang w:val="en-US"/>
        </w:rPr>
      </w:pPr>
      <w:r>
        <w:fldChar w:fldCharType="begin"/>
      </w:r>
      <w:r w:rsidRPr="00FF67B6">
        <w:rPr>
          <w:lang w:val="en-US"/>
        </w:rPr>
        <w:instrText xml:space="preserve"> ADDIN ZOTERO_BIBL {"uncited":[],"omitted":[],"custom":[]} CSL_BIBLIOGRAPHY </w:instrText>
      </w:r>
      <w:r>
        <w:fldChar w:fldCharType="separate"/>
      </w:r>
      <w:r w:rsidRPr="00FF67B6">
        <w:rPr>
          <w:rFonts w:ascii="Calibri" w:hAnsi="Calibri" w:cs="Calibri"/>
          <w:lang w:val="en-US"/>
        </w:rPr>
        <w:t>1.</w:t>
      </w:r>
      <w:r w:rsidRPr="00FF67B6">
        <w:rPr>
          <w:rFonts w:ascii="Calibri" w:hAnsi="Calibri" w:cs="Calibri"/>
          <w:lang w:val="en-US"/>
        </w:rPr>
        <w:tab/>
        <w:t xml:space="preserve">Marees, A. T. </w:t>
      </w:r>
      <w:r w:rsidRPr="00FF67B6">
        <w:rPr>
          <w:rFonts w:ascii="Calibri" w:hAnsi="Calibri" w:cs="Calibri"/>
          <w:i/>
          <w:iCs/>
          <w:lang w:val="en-US"/>
        </w:rPr>
        <w:t>et al.</w:t>
      </w:r>
      <w:r w:rsidRPr="00FF67B6">
        <w:rPr>
          <w:rFonts w:ascii="Calibri" w:hAnsi="Calibri" w:cs="Calibri"/>
          <w:lang w:val="en-US"/>
        </w:rPr>
        <w:t xml:space="preserve"> A tutorial on conducting genome-wide association studies: Quality control and statistical analysis. </w:t>
      </w:r>
      <w:r w:rsidRPr="00FF67B6">
        <w:rPr>
          <w:rFonts w:ascii="Calibri" w:hAnsi="Calibri" w:cs="Calibri"/>
          <w:i/>
          <w:iCs/>
          <w:lang w:val="en-US"/>
        </w:rPr>
        <w:t>Int J Methods Psychiatr Res</w:t>
      </w:r>
      <w:r w:rsidRPr="00FF67B6">
        <w:rPr>
          <w:rFonts w:ascii="Calibri" w:hAnsi="Calibri" w:cs="Calibri"/>
          <w:lang w:val="en-US"/>
        </w:rPr>
        <w:t xml:space="preserve"> </w:t>
      </w:r>
      <w:r w:rsidRPr="00FF67B6">
        <w:rPr>
          <w:rFonts w:ascii="Calibri" w:hAnsi="Calibri" w:cs="Calibri"/>
          <w:b/>
          <w:bCs/>
          <w:lang w:val="en-US"/>
        </w:rPr>
        <w:t>27</w:t>
      </w:r>
      <w:r w:rsidRPr="00FF67B6">
        <w:rPr>
          <w:rFonts w:ascii="Calibri" w:hAnsi="Calibri" w:cs="Calibri"/>
          <w:lang w:val="en-US"/>
        </w:rPr>
        <w:t>, e1608 (2018).</w:t>
      </w:r>
    </w:p>
    <w:p w14:paraId="317E9A0B" w14:textId="77777777" w:rsidR="00FF67B6" w:rsidRPr="00FF67B6" w:rsidRDefault="00FF67B6" w:rsidP="00FF67B6">
      <w:pPr>
        <w:pStyle w:val="Bibliography"/>
        <w:rPr>
          <w:rFonts w:ascii="Calibri" w:hAnsi="Calibri" w:cs="Calibri"/>
          <w:lang w:val="en-US"/>
        </w:rPr>
      </w:pPr>
      <w:r w:rsidRPr="00FF67B6">
        <w:rPr>
          <w:rFonts w:ascii="Calibri" w:hAnsi="Calibri" w:cs="Calibri"/>
          <w:lang w:val="en-US"/>
        </w:rPr>
        <w:lastRenderedPageBreak/>
        <w:t>2.</w:t>
      </w:r>
      <w:r w:rsidRPr="00FF67B6">
        <w:rPr>
          <w:rFonts w:ascii="Calibri" w:hAnsi="Calibri" w:cs="Calibri"/>
          <w:lang w:val="en-US"/>
        </w:rPr>
        <w:tab/>
        <w:t xml:space="preserve">Purcell, S. </w:t>
      </w:r>
      <w:r w:rsidRPr="00FF67B6">
        <w:rPr>
          <w:rFonts w:ascii="Calibri" w:hAnsi="Calibri" w:cs="Calibri"/>
          <w:i/>
          <w:iCs/>
          <w:lang w:val="en-US"/>
        </w:rPr>
        <w:t>et al.</w:t>
      </w:r>
      <w:r w:rsidRPr="00FF67B6">
        <w:rPr>
          <w:rFonts w:ascii="Calibri" w:hAnsi="Calibri" w:cs="Calibri"/>
          <w:lang w:val="en-US"/>
        </w:rPr>
        <w:t xml:space="preserve"> PLINK: a tool set for whole-genome association and population-based linkage analyses. </w:t>
      </w:r>
      <w:r w:rsidRPr="00FF67B6">
        <w:rPr>
          <w:rFonts w:ascii="Calibri" w:hAnsi="Calibri" w:cs="Calibri"/>
          <w:i/>
          <w:iCs/>
          <w:lang w:val="en-US"/>
        </w:rPr>
        <w:t>Am J Hum Genet</w:t>
      </w:r>
      <w:r w:rsidRPr="00FF67B6">
        <w:rPr>
          <w:rFonts w:ascii="Calibri" w:hAnsi="Calibri" w:cs="Calibri"/>
          <w:lang w:val="en-US"/>
        </w:rPr>
        <w:t xml:space="preserve"> </w:t>
      </w:r>
      <w:r w:rsidRPr="00FF67B6">
        <w:rPr>
          <w:rFonts w:ascii="Calibri" w:hAnsi="Calibri" w:cs="Calibri"/>
          <w:b/>
          <w:bCs/>
          <w:lang w:val="en-US"/>
        </w:rPr>
        <w:t>81</w:t>
      </w:r>
      <w:r w:rsidRPr="00FF67B6">
        <w:rPr>
          <w:rFonts w:ascii="Calibri" w:hAnsi="Calibri" w:cs="Calibri"/>
          <w:lang w:val="en-US"/>
        </w:rPr>
        <w:t>, 559–575 (2007).</w:t>
      </w:r>
    </w:p>
    <w:p w14:paraId="60E858E2" w14:textId="77777777" w:rsidR="00FF67B6" w:rsidRPr="00FF67B6" w:rsidRDefault="00FF67B6" w:rsidP="00FF67B6">
      <w:pPr>
        <w:pStyle w:val="Bibliography"/>
        <w:rPr>
          <w:rFonts w:ascii="Calibri" w:hAnsi="Calibri" w:cs="Calibri"/>
          <w:lang w:val="en-US"/>
        </w:rPr>
      </w:pPr>
      <w:r w:rsidRPr="00FF67B6">
        <w:rPr>
          <w:rFonts w:ascii="Calibri" w:hAnsi="Calibri" w:cs="Calibri"/>
          <w:lang w:val="en-US"/>
        </w:rPr>
        <w:t>3.</w:t>
      </w:r>
      <w:r w:rsidRPr="00FF67B6">
        <w:rPr>
          <w:rFonts w:ascii="Calibri" w:hAnsi="Calibri" w:cs="Calibri"/>
          <w:lang w:val="en-US"/>
        </w:rPr>
        <w:tab/>
        <w:t xml:space="preserve">Patterson, N., Price, A. L. &amp; Reich, D. Population Structure and Eigenanalysis. </w:t>
      </w:r>
      <w:r w:rsidRPr="00FF67B6">
        <w:rPr>
          <w:rFonts w:ascii="Calibri" w:hAnsi="Calibri" w:cs="Calibri"/>
          <w:i/>
          <w:iCs/>
          <w:lang w:val="en-US"/>
        </w:rPr>
        <w:t>PLoS Genet</w:t>
      </w:r>
      <w:r w:rsidRPr="00FF67B6">
        <w:rPr>
          <w:rFonts w:ascii="Calibri" w:hAnsi="Calibri" w:cs="Calibri"/>
          <w:lang w:val="en-US"/>
        </w:rPr>
        <w:t xml:space="preserve"> </w:t>
      </w:r>
      <w:r w:rsidRPr="00FF67B6">
        <w:rPr>
          <w:rFonts w:ascii="Calibri" w:hAnsi="Calibri" w:cs="Calibri"/>
          <w:b/>
          <w:bCs/>
          <w:lang w:val="en-US"/>
        </w:rPr>
        <w:t>2</w:t>
      </w:r>
      <w:r w:rsidRPr="00FF67B6">
        <w:rPr>
          <w:rFonts w:ascii="Calibri" w:hAnsi="Calibri" w:cs="Calibri"/>
          <w:lang w:val="en-US"/>
        </w:rPr>
        <w:t>, e190 (2006).</w:t>
      </w:r>
    </w:p>
    <w:p w14:paraId="4CA6BB7B" w14:textId="77777777" w:rsidR="00FF67B6" w:rsidRPr="00FF67B6" w:rsidRDefault="00FF67B6" w:rsidP="00FF67B6">
      <w:pPr>
        <w:pStyle w:val="Bibliography"/>
        <w:rPr>
          <w:rFonts w:ascii="Calibri" w:hAnsi="Calibri" w:cs="Calibri"/>
          <w:lang w:val="en-US"/>
        </w:rPr>
      </w:pPr>
      <w:r w:rsidRPr="00FF67B6">
        <w:rPr>
          <w:rFonts w:ascii="Calibri" w:hAnsi="Calibri" w:cs="Calibri"/>
          <w:lang w:val="en-US"/>
        </w:rPr>
        <w:t>4.</w:t>
      </w:r>
      <w:r w:rsidRPr="00FF67B6">
        <w:rPr>
          <w:rFonts w:ascii="Calibri" w:hAnsi="Calibri" w:cs="Calibri"/>
          <w:lang w:val="en-US"/>
        </w:rPr>
        <w:tab/>
        <w:t xml:space="preserve">1000 Genomes Project Consortium </w:t>
      </w:r>
      <w:r w:rsidRPr="00FF67B6">
        <w:rPr>
          <w:rFonts w:ascii="Calibri" w:hAnsi="Calibri" w:cs="Calibri"/>
          <w:i/>
          <w:iCs/>
          <w:lang w:val="en-US"/>
        </w:rPr>
        <w:t>et al.</w:t>
      </w:r>
      <w:r w:rsidRPr="00FF67B6">
        <w:rPr>
          <w:rFonts w:ascii="Calibri" w:hAnsi="Calibri" w:cs="Calibri"/>
          <w:lang w:val="en-US"/>
        </w:rPr>
        <w:t xml:space="preserve"> A global reference for human genetic variation. </w:t>
      </w:r>
      <w:r w:rsidRPr="00FF67B6">
        <w:rPr>
          <w:rFonts w:ascii="Calibri" w:hAnsi="Calibri" w:cs="Calibri"/>
          <w:i/>
          <w:iCs/>
          <w:lang w:val="en-US"/>
        </w:rPr>
        <w:t>Nature</w:t>
      </w:r>
      <w:r w:rsidRPr="00FF67B6">
        <w:rPr>
          <w:rFonts w:ascii="Calibri" w:hAnsi="Calibri" w:cs="Calibri"/>
          <w:lang w:val="en-US"/>
        </w:rPr>
        <w:t xml:space="preserve"> </w:t>
      </w:r>
      <w:r w:rsidRPr="00FF67B6">
        <w:rPr>
          <w:rFonts w:ascii="Calibri" w:hAnsi="Calibri" w:cs="Calibri"/>
          <w:b/>
          <w:bCs/>
          <w:lang w:val="en-US"/>
        </w:rPr>
        <w:t>526</w:t>
      </w:r>
      <w:r w:rsidRPr="00FF67B6">
        <w:rPr>
          <w:rFonts w:ascii="Calibri" w:hAnsi="Calibri" w:cs="Calibri"/>
          <w:lang w:val="en-US"/>
        </w:rPr>
        <w:t>, 68–74 (2015).</w:t>
      </w:r>
    </w:p>
    <w:p w14:paraId="33732E4F" w14:textId="77777777" w:rsidR="00FF67B6" w:rsidRPr="00FF67B6" w:rsidRDefault="00FF67B6" w:rsidP="00FF67B6">
      <w:pPr>
        <w:pStyle w:val="Bibliography"/>
        <w:rPr>
          <w:rFonts w:ascii="Calibri" w:hAnsi="Calibri" w:cs="Calibri"/>
          <w:lang w:val="en-US"/>
        </w:rPr>
      </w:pPr>
      <w:r w:rsidRPr="00FF67B6">
        <w:rPr>
          <w:rFonts w:ascii="Calibri" w:hAnsi="Calibri" w:cs="Calibri"/>
          <w:lang w:val="en-US"/>
        </w:rPr>
        <w:t>5.</w:t>
      </w:r>
      <w:r w:rsidRPr="00FF67B6">
        <w:rPr>
          <w:rFonts w:ascii="Calibri" w:hAnsi="Calibri" w:cs="Calibri"/>
          <w:lang w:val="en-US"/>
        </w:rPr>
        <w:tab/>
        <w:t xml:space="preserve">NHLBI Trans-Omics for Precision Medicine (TOPMed) Consortium </w:t>
      </w:r>
      <w:r w:rsidRPr="00FF67B6">
        <w:rPr>
          <w:rFonts w:ascii="Calibri" w:hAnsi="Calibri" w:cs="Calibri"/>
          <w:i/>
          <w:iCs/>
          <w:lang w:val="en-US"/>
        </w:rPr>
        <w:t>et al.</w:t>
      </w:r>
      <w:r w:rsidRPr="00FF67B6">
        <w:rPr>
          <w:rFonts w:ascii="Calibri" w:hAnsi="Calibri" w:cs="Calibri"/>
          <w:lang w:val="en-US"/>
        </w:rPr>
        <w:t xml:space="preserve"> Sequencing of 53,831 diverse genomes from the NHLBI TOPMed Program. </w:t>
      </w:r>
      <w:r w:rsidRPr="00FF67B6">
        <w:rPr>
          <w:rFonts w:ascii="Calibri" w:hAnsi="Calibri" w:cs="Calibri"/>
          <w:i/>
          <w:iCs/>
          <w:lang w:val="en-US"/>
        </w:rPr>
        <w:t>Nature</w:t>
      </w:r>
      <w:r w:rsidRPr="00FF67B6">
        <w:rPr>
          <w:rFonts w:ascii="Calibri" w:hAnsi="Calibri" w:cs="Calibri"/>
          <w:lang w:val="en-US"/>
        </w:rPr>
        <w:t xml:space="preserve"> </w:t>
      </w:r>
      <w:r w:rsidRPr="00FF67B6">
        <w:rPr>
          <w:rFonts w:ascii="Calibri" w:hAnsi="Calibri" w:cs="Calibri"/>
          <w:b/>
          <w:bCs/>
          <w:lang w:val="en-US"/>
        </w:rPr>
        <w:t>590</w:t>
      </w:r>
      <w:r w:rsidRPr="00FF67B6">
        <w:rPr>
          <w:rFonts w:ascii="Calibri" w:hAnsi="Calibri" w:cs="Calibri"/>
          <w:lang w:val="en-US"/>
        </w:rPr>
        <w:t>, 290–299 (2021).</w:t>
      </w:r>
    </w:p>
    <w:p w14:paraId="64C45142" w14:textId="77777777" w:rsidR="00FF67B6" w:rsidRPr="00FF67B6" w:rsidRDefault="00FF67B6" w:rsidP="00FF67B6">
      <w:pPr>
        <w:pStyle w:val="Bibliography"/>
        <w:rPr>
          <w:rFonts w:ascii="Calibri" w:hAnsi="Calibri" w:cs="Calibri"/>
          <w:lang w:val="en-US"/>
        </w:rPr>
      </w:pPr>
      <w:r w:rsidRPr="00FF67B6">
        <w:rPr>
          <w:rFonts w:ascii="Calibri" w:hAnsi="Calibri" w:cs="Calibri"/>
        </w:rPr>
        <w:t>6.</w:t>
      </w:r>
      <w:r w:rsidRPr="00FF67B6">
        <w:rPr>
          <w:rFonts w:ascii="Calibri" w:hAnsi="Calibri" w:cs="Calibri"/>
        </w:rPr>
        <w:tab/>
        <w:t xml:space="preserve">Navarro Gonzalez, J. </w:t>
      </w:r>
      <w:r w:rsidRPr="00FF67B6">
        <w:rPr>
          <w:rFonts w:ascii="Calibri" w:hAnsi="Calibri" w:cs="Calibri"/>
          <w:i/>
          <w:iCs/>
        </w:rPr>
        <w:t>et al.</w:t>
      </w:r>
      <w:r w:rsidRPr="00FF67B6">
        <w:rPr>
          <w:rFonts w:ascii="Calibri" w:hAnsi="Calibri" w:cs="Calibri"/>
        </w:rPr>
        <w:t xml:space="preserve"> </w:t>
      </w:r>
      <w:r w:rsidRPr="00FF67B6">
        <w:rPr>
          <w:rFonts w:ascii="Calibri" w:hAnsi="Calibri" w:cs="Calibri"/>
          <w:lang w:val="en-US"/>
        </w:rPr>
        <w:t xml:space="preserve">The UCSC Genome Browser database: 2021 update. </w:t>
      </w:r>
      <w:r w:rsidRPr="00FF67B6">
        <w:rPr>
          <w:rFonts w:ascii="Calibri" w:hAnsi="Calibri" w:cs="Calibri"/>
          <w:i/>
          <w:iCs/>
          <w:lang w:val="en-US"/>
        </w:rPr>
        <w:t>Nucleic Acids Res</w:t>
      </w:r>
      <w:r w:rsidRPr="00FF67B6">
        <w:rPr>
          <w:rFonts w:ascii="Calibri" w:hAnsi="Calibri" w:cs="Calibri"/>
          <w:lang w:val="en-US"/>
        </w:rPr>
        <w:t xml:space="preserve"> </w:t>
      </w:r>
      <w:r w:rsidRPr="00FF67B6">
        <w:rPr>
          <w:rFonts w:ascii="Calibri" w:hAnsi="Calibri" w:cs="Calibri"/>
          <w:b/>
          <w:bCs/>
          <w:lang w:val="en-US"/>
        </w:rPr>
        <w:t>49</w:t>
      </w:r>
      <w:r w:rsidRPr="00FF67B6">
        <w:rPr>
          <w:rFonts w:ascii="Calibri" w:hAnsi="Calibri" w:cs="Calibri"/>
          <w:lang w:val="en-US"/>
        </w:rPr>
        <w:t>, D1046–D1057 (2021).</w:t>
      </w:r>
    </w:p>
    <w:p w14:paraId="5A6E3288" w14:textId="77777777" w:rsidR="00FF67B6" w:rsidRPr="00FF67B6" w:rsidRDefault="00FF67B6" w:rsidP="00FF67B6">
      <w:pPr>
        <w:pStyle w:val="Bibliography"/>
        <w:rPr>
          <w:rFonts w:ascii="Calibri" w:hAnsi="Calibri" w:cs="Calibri"/>
        </w:rPr>
      </w:pPr>
      <w:r w:rsidRPr="00FF67B6">
        <w:rPr>
          <w:rFonts w:ascii="Calibri" w:hAnsi="Calibri" w:cs="Calibri"/>
          <w:lang w:val="en-US"/>
        </w:rPr>
        <w:t>7.</w:t>
      </w:r>
      <w:r w:rsidRPr="00FF67B6">
        <w:rPr>
          <w:rFonts w:ascii="Calibri" w:hAnsi="Calibri" w:cs="Calibri"/>
          <w:lang w:val="en-US"/>
        </w:rPr>
        <w:tab/>
        <w:t xml:space="preserve">Watanabe, K., Taskesen, E., Van Bochoven, A. &amp; Posthuma, D. Functional mapping and annotation of genetic associations with FUMA. </w:t>
      </w:r>
      <w:r w:rsidRPr="00FF67B6">
        <w:rPr>
          <w:rFonts w:ascii="Calibri" w:hAnsi="Calibri" w:cs="Calibri"/>
          <w:i/>
          <w:iCs/>
        </w:rPr>
        <w:t>Nature Communications</w:t>
      </w:r>
      <w:r w:rsidRPr="00FF67B6">
        <w:rPr>
          <w:rFonts w:ascii="Calibri" w:hAnsi="Calibri" w:cs="Calibri"/>
        </w:rPr>
        <w:t xml:space="preserve"> </w:t>
      </w:r>
      <w:r w:rsidRPr="00FF67B6">
        <w:rPr>
          <w:rFonts w:ascii="Calibri" w:hAnsi="Calibri" w:cs="Calibri"/>
          <w:b/>
          <w:bCs/>
        </w:rPr>
        <w:t>8</w:t>
      </w:r>
      <w:r w:rsidRPr="00FF67B6">
        <w:rPr>
          <w:rFonts w:ascii="Calibri" w:hAnsi="Calibri" w:cs="Calibri"/>
        </w:rPr>
        <w:t>, 1–11 (2017).</w:t>
      </w:r>
    </w:p>
    <w:p w14:paraId="23666212" w14:textId="15BE9E92" w:rsidR="00C219C7" w:rsidRDefault="00FF67B6">
      <w:pPr>
        <w:spacing w:after="0" w:line="240" w:lineRule="auto"/>
      </w:pPr>
      <w:r>
        <w:fldChar w:fldCharType="end"/>
      </w:r>
      <w:r w:rsidR="00C219C7">
        <w:br w:type="page"/>
      </w:r>
    </w:p>
    <w:p w14:paraId="29CD0915" w14:textId="77777777" w:rsidR="00C219C7" w:rsidRPr="00B705A5" w:rsidRDefault="00C219C7" w:rsidP="00C219C7">
      <w:pPr>
        <w:jc w:val="both"/>
        <w:rPr>
          <w:rFonts w:ascii="Palatino Linotype" w:hAnsi="Palatino Linotype"/>
          <w:b/>
          <w:bCs/>
          <w:sz w:val="24"/>
          <w:szCs w:val="24"/>
          <w:u w:val="single"/>
          <w:lang w:val="en-GB"/>
        </w:rPr>
      </w:pPr>
      <w:r w:rsidRPr="00B705A5">
        <w:rPr>
          <w:rFonts w:ascii="Palatino Linotype" w:hAnsi="Palatino Linotype"/>
          <w:b/>
          <w:bCs/>
          <w:sz w:val="24"/>
          <w:szCs w:val="24"/>
          <w:u w:val="single"/>
          <w:lang w:val="en-GB"/>
        </w:rPr>
        <w:lastRenderedPageBreak/>
        <w:t>SUPPLEMENTARY FIGURES</w:t>
      </w:r>
    </w:p>
    <w:p w14:paraId="39E23B7A" w14:textId="77777777" w:rsidR="00C219C7" w:rsidRDefault="00C219C7" w:rsidP="00C219C7">
      <w:pPr>
        <w:jc w:val="both"/>
        <w:rPr>
          <w:rFonts w:ascii="Palatino Linotype" w:hAnsi="Palatino Linotype"/>
          <w:b/>
          <w:bCs/>
          <w:sz w:val="18"/>
          <w:szCs w:val="18"/>
          <w:lang w:val="en-GB"/>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54"/>
        <w:gridCol w:w="2825"/>
        <w:gridCol w:w="2825"/>
      </w:tblGrid>
      <w:tr w:rsidR="00063114" w14:paraId="3147C47A" w14:textId="77777777" w:rsidTr="00A73AFD">
        <w:trPr>
          <w:trHeight w:val="4751"/>
        </w:trPr>
        <w:tc>
          <w:tcPr>
            <w:tcW w:w="1688" w:type="pct"/>
          </w:tcPr>
          <w:p w14:paraId="371090C9" w14:textId="77777777" w:rsidR="00C219C7" w:rsidRDefault="00C219C7" w:rsidP="00A73AFD">
            <w:pPr>
              <w:widowControl w:val="0"/>
              <w:spacing w:after="0" w:line="240" w:lineRule="auto"/>
              <w:rPr>
                <w:rFonts w:ascii="Palatino Linotype" w:hAnsi="Palatino Linotype"/>
                <w:b/>
                <w:bCs/>
                <w:sz w:val="18"/>
                <w:szCs w:val="18"/>
                <w:lang w:val="en-GB"/>
              </w:rPr>
            </w:pPr>
            <w:r>
              <w:rPr>
                <w:rFonts w:ascii="Palatino Linotype" w:eastAsia="Calibri" w:hAnsi="Palatino Linotype"/>
                <w:b/>
                <w:bCs/>
                <w:sz w:val="18"/>
                <w:szCs w:val="18"/>
                <w:lang w:val="en-GB"/>
              </w:rPr>
              <w:t>A)</w:t>
            </w:r>
          </w:p>
          <w:p w14:paraId="118F4437" w14:textId="77777777" w:rsidR="00C219C7" w:rsidRDefault="00C219C7" w:rsidP="00A73AFD">
            <w:pPr>
              <w:widowControl w:val="0"/>
              <w:spacing w:after="0" w:line="240" w:lineRule="auto"/>
              <w:rPr>
                <w:rFonts w:ascii="Palatino Linotype" w:hAnsi="Palatino Linotype"/>
                <w:b/>
                <w:bCs/>
                <w:sz w:val="18"/>
                <w:szCs w:val="18"/>
                <w:lang w:val="en-GB"/>
              </w:rPr>
            </w:pPr>
          </w:p>
          <w:p w14:paraId="4038B99D" w14:textId="77777777" w:rsidR="00C219C7" w:rsidRDefault="00C219C7" w:rsidP="00A73AFD">
            <w:pPr>
              <w:widowControl w:val="0"/>
              <w:spacing w:after="0" w:line="240" w:lineRule="auto"/>
              <w:rPr>
                <w:rFonts w:ascii="Palatino Linotype" w:hAnsi="Palatino Linotype"/>
                <w:b/>
                <w:bCs/>
                <w:sz w:val="18"/>
                <w:szCs w:val="18"/>
                <w:lang w:val="en-GB"/>
              </w:rPr>
            </w:pPr>
            <w:r>
              <w:rPr>
                <w:noProof/>
              </w:rPr>
              <w:drawing>
                <wp:inline distT="0" distB="0" distL="0" distR="0" wp14:anchorId="7465A7F7" wp14:editId="17D3C66A">
                  <wp:extent cx="1753050" cy="1578454"/>
                  <wp:effectExtent l="0" t="0" r="0" b="3175"/>
                  <wp:docPr id="1" name="Imagen 15" descr="Gráfico, Histo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5" descr="Gráfico, Histograma&#10;&#10;Descripción generada automáticamente"/>
                          <pic:cNvPicPr>
                            <a:picLocks noChangeAspect="1" noChangeArrowheads="1"/>
                          </pic:cNvPicPr>
                        </pic:nvPicPr>
                        <pic:blipFill>
                          <a:blip r:embed="rId8"/>
                          <a:srcRect t="9961"/>
                          <a:stretch>
                            <a:fillRect/>
                          </a:stretch>
                        </pic:blipFill>
                        <pic:spPr bwMode="auto">
                          <a:xfrm>
                            <a:off x="0" y="0"/>
                            <a:ext cx="1782345" cy="1604831"/>
                          </a:xfrm>
                          <a:prstGeom prst="rect">
                            <a:avLst/>
                          </a:prstGeom>
                        </pic:spPr>
                      </pic:pic>
                    </a:graphicData>
                  </a:graphic>
                </wp:inline>
              </w:drawing>
            </w:r>
          </w:p>
        </w:tc>
        <w:tc>
          <w:tcPr>
            <w:tcW w:w="1587" w:type="pct"/>
          </w:tcPr>
          <w:p w14:paraId="5B358863" w14:textId="77777777" w:rsidR="00C219C7" w:rsidRDefault="00C219C7" w:rsidP="00A73AFD">
            <w:pPr>
              <w:widowControl w:val="0"/>
              <w:spacing w:after="0" w:line="240" w:lineRule="auto"/>
              <w:rPr>
                <w:rFonts w:ascii="Palatino Linotype" w:hAnsi="Palatino Linotype"/>
                <w:b/>
                <w:bCs/>
                <w:sz w:val="18"/>
                <w:szCs w:val="18"/>
                <w:lang w:val="en-GB"/>
              </w:rPr>
            </w:pPr>
            <w:r>
              <w:rPr>
                <w:noProof/>
              </w:rPr>
              <w:drawing>
                <wp:anchor distT="0" distB="0" distL="114300" distR="114300" simplePos="0" relativeHeight="251659264" behindDoc="0" locked="0" layoutInCell="1" allowOverlap="1" wp14:anchorId="7070496F" wp14:editId="188003C4">
                  <wp:simplePos x="0" y="0"/>
                  <wp:positionH relativeFrom="column">
                    <wp:posOffset>-45277</wp:posOffset>
                  </wp:positionH>
                  <wp:positionV relativeFrom="paragraph">
                    <wp:posOffset>337820</wp:posOffset>
                  </wp:positionV>
                  <wp:extent cx="1733550" cy="1552575"/>
                  <wp:effectExtent l="0" t="0" r="0" b="9525"/>
                  <wp:wrapTight wrapText="bothSides">
                    <wp:wrapPolygon edited="0">
                      <wp:start x="0" y="0"/>
                      <wp:lineTo x="0" y="21467"/>
                      <wp:lineTo x="21363" y="21467"/>
                      <wp:lineTo x="21363" y="0"/>
                      <wp:lineTo x="0" y="0"/>
                    </wp:wrapPolygon>
                  </wp:wrapTight>
                  <wp:docPr id="2" name="Imagen 14" descr="Gráfico, Histo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14" descr="Gráfico, Histograma&#10;&#10;Descripción generada automáticamente"/>
                          <pic:cNvPicPr>
                            <a:picLocks noChangeAspect="1" noChangeArrowheads="1"/>
                          </pic:cNvPicPr>
                        </pic:nvPicPr>
                        <pic:blipFill>
                          <a:blip r:embed="rId9"/>
                          <a:srcRect t="10457"/>
                          <a:stretch>
                            <a:fillRect/>
                          </a:stretch>
                        </pic:blipFill>
                        <pic:spPr bwMode="auto">
                          <a:xfrm>
                            <a:off x="0" y="0"/>
                            <a:ext cx="1733550" cy="1552575"/>
                          </a:xfrm>
                          <a:prstGeom prst="rect">
                            <a:avLst/>
                          </a:prstGeom>
                        </pic:spPr>
                      </pic:pic>
                    </a:graphicData>
                  </a:graphic>
                  <wp14:sizeRelH relativeFrom="margin">
                    <wp14:pctWidth>0</wp14:pctWidth>
                  </wp14:sizeRelH>
                  <wp14:sizeRelV relativeFrom="margin">
                    <wp14:pctHeight>0</wp14:pctHeight>
                  </wp14:sizeRelV>
                </wp:anchor>
              </w:drawing>
            </w:r>
            <w:r>
              <w:rPr>
                <w:rFonts w:ascii="Palatino Linotype" w:eastAsia="Calibri" w:hAnsi="Palatino Linotype"/>
                <w:b/>
                <w:bCs/>
                <w:sz w:val="18"/>
                <w:szCs w:val="18"/>
                <w:lang w:val="en-GB"/>
              </w:rPr>
              <w:t>B)</w:t>
            </w:r>
          </w:p>
        </w:tc>
        <w:tc>
          <w:tcPr>
            <w:tcW w:w="1725" w:type="pct"/>
          </w:tcPr>
          <w:p w14:paraId="2FBE1B54" w14:textId="77777777" w:rsidR="00C219C7" w:rsidRDefault="00C219C7" w:rsidP="00A73AFD">
            <w:pPr>
              <w:widowControl w:val="0"/>
              <w:spacing w:after="0" w:line="240" w:lineRule="auto"/>
              <w:rPr>
                <w:rFonts w:ascii="Palatino Linotype" w:eastAsia="Calibri" w:hAnsi="Palatino Linotype"/>
                <w:b/>
                <w:bCs/>
                <w:sz w:val="18"/>
                <w:szCs w:val="18"/>
                <w:lang w:val="en-GB"/>
              </w:rPr>
            </w:pPr>
            <w:r>
              <w:rPr>
                <w:rFonts w:ascii="Palatino Linotype" w:eastAsia="Calibri" w:hAnsi="Palatino Linotype"/>
                <w:b/>
                <w:bCs/>
                <w:sz w:val="18"/>
                <w:szCs w:val="18"/>
                <w:lang w:val="en-GB"/>
              </w:rPr>
              <w:t>C)</w:t>
            </w:r>
          </w:p>
          <w:p w14:paraId="2B2B256E" w14:textId="77777777" w:rsidR="00C219C7" w:rsidRDefault="00C219C7" w:rsidP="00A73AFD">
            <w:pPr>
              <w:widowControl w:val="0"/>
              <w:spacing w:after="0" w:line="240" w:lineRule="auto"/>
              <w:rPr>
                <w:noProof/>
              </w:rPr>
            </w:pPr>
            <w:r>
              <w:rPr>
                <w:noProof/>
              </w:rPr>
              <w:drawing>
                <wp:anchor distT="0" distB="0" distL="114300" distR="114300" simplePos="0" relativeHeight="251660288" behindDoc="0" locked="0" layoutInCell="1" allowOverlap="1" wp14:anchorId="005B33A8" wp14:editId="2DB57442">
                  <wp:simplePos x="0" y="0"/>
                  <wp:positionH relativeFrom="column">
                    <wp:posOffset>48500</wp:posOffset>
                  </wp:positionH>
                  <wp:positionV relativeFrom="paragraph">
                    <wp:posOffset>174889</wp:posOffset>
                  </wp:positionV>
                  <wp:extent cx="1725031" cy="1491188"/>
                  <wp:effectExtent l="0" t="0" r="8890" b="0"/>
                  <wp:wrapTopAndBottom/>
                  <wp:docPr id="7" name="Imagen 4" descr="Gráfico, Histo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4" descr="Gráfico, Histograma&#10;&#10;Descripción generada automáticamente"/>
                          <pic:cNvPicPr>
                            <a:picLocks noChangeAspect="1" noChangeArrowheads="1"/>
                          </pic:cNvPicPr>
                        </pic:nvPicPr>
                        <pic:blipFill>
                          <a:blip r:embed="rId10"/>
                          <a:srcRect t="9929" b="3583"/>
                          <a:stretch>
                            <a:fillRect/>
                          </a:stretch>
                        </pic:blipFill>
                        <pic:spPr bwMode="auto">
                          <a:xfrm>
                            <a:off x="0" y="0"/>
                            <a:ext cx="1744158" cy="1507722"/>
                          </a:xfrm>
                          <a:prstGeom prst="rect">
                            <a:avLst/>
                          </a:prstGeom>
                        </pic:spPr>
                      </pic:pic>
                    </a:graphicData>
                  </a:graphic>
                  <wp14:sizeRelH relativeFrom="margin">
                    <wp14:pctWidth>0</wp14:pctWidth>
                  </wp14:sizeRelH>
                  <wp14:sizeRelV relativeFrom="margin">
                    <wp14:pctHeight>0</wp14:pctHeight>
                  </wp14:sizeRelV>
                </wp:anchor>
              </w:drawing>
            </w:r>
          </w:p>
        </w:tc>
      </w:tr>
      <w:tr w:rsidR="00C219C7" w:rsidRPr="00CE0126" w14:paraId="709D8F51" w14:textId="77777777" w:rsidTr="00A73AFD">
        <w:tc>
          <w:tcPr>
            <w:tcW w:w="5000" w:type="pct"/>
            <w:gridSpan w:val="3"/>
          </w:tcPr>
          <w:p w14:paraId="29495C28" w14:textId="77777777" w:rsidR="00C219C7" w:rsidRDefault="00C219C7" w:rsidP="00A73AFD">
            <w:pPr>
              <w:widowControl w:val="0"/>
              <w:spacing w:after="0" w:line="240" w:lineRule="auto"/>
              <w:jc w:val="both"/>
              <w:rPr>
                <w:rFonts w:ascii="Palatino Linotype" w:eastAsia="Calibri" w:hAnsi="Palatino Linotype"/>
                <w:sz w:val="18"/>
                <w:szCs w:val="18"/>
                <w:lang w:val="en-GB"/>
              </w:rPr>
            </w:pPr>
            <w:r>
              <w:rPr>
                <w:rFonts w:ascii="Palatino Linotype" w:eastAsia="Calibri" w:hAnsi="Palatino Linotype"/>
                <w:b/>
                <w:bCs/>
                <w:sz w:val="18"/>
                <w:szCs w:val="18"/>
                <w:lang w:val="en-GB"/>
              </w:rPr>
              <w:t xml:space="preserve">Figure S1. </w:t>
            </w:r>
            <w:r>
              <w:rPr>
                <w:rFonts w:ascii="Palatino Linotype" w:eastAsia="Calibri" w:hAnsi="Palatino Linotype"/>
                <w:sz w:val="18"/>
                <w:szCs w:val="18"/>
                <w:lang w:val="en-GB"/>
              </w:rPr>
              <w:t>A)</w:t>
            </w:r>
            <w:r>
              <w:rPr>
                <w:rFonts w:ascii="Palatino Linotype" w:eastAsia="Calibri" w:hAnsi="Palatino Linotype"/>
                <w:b/>
                <w:bCs/>
                <w:sz w:val="18"/>
                <w:szCs w:val="18"/>
                <w:lang w:val="en-GB"/>
              </w:rPr>
              <w:t xml:space="preserve"> </w:t>
            </w:r>
            <w:r>
              <w:rPr>
                <w:rFonts w:ascii="Palatino Linotype" w:eastAsia="Calibri" w:hAnsi="Palatino Linotype"/>
                <w:sz w:val="18"/>
                <w:szCs w:val="18"/>
                <w:lang w:val="en-GB"/>
              </w:rPr>
              <w:t xml:space="preserve">Distribution of AAO based on sex. Mean AAO in males was 22.52, while mean AAO in females was 25.09. B) Distribution of AAO for each dataset. C) </w:t>
            </w:r>
            <w:r w:rsidRPr="00424C76">
              <w:rPr>
                <w:rFonts w:ascii="Palatino Linotype" w:eastAsia="Calibri" w:hAnsi="Palatino Linotype"/>
                <w:sz w:val="18"/>
                <w:szCs w:val="18"/>
                <w:lang w:val="en-GB"/>
              </w:rPr>
              <w:t>Distribution of normalized AAO by rank-based inverse-normal transformation.</w:t>
            </w:r>
            <w:r>
              <w:rPr>
                <w:rFonts w:ascii="Palatino Linotype" w:eastAsia="Calibri" w:hAnsi="Palatino Linotype"/>
                <w:sz w:val="18"/>
                <w:szCs w:val="18"/>
                <w:lang w:val="en-GB"/>
              </w:rPr>
              <w:t xml:space="preserve"> </w:t>
            </w:r>
          </w:p>
          <w:p w14:paraId="7E612A38" w14:textId="77777777" w:rsidR="00C219C7" w:rsidRDefault="00C219C7" w:rsidP="00A73AFD">
            <w:pPr>
              <w:widowControl w:val="0"/>
              <w:spacing w:after="0" w:line="240" w:lineRule="auto"/>
              <w:jc w:val="both"/>
              <w:rPr>
                <w:rFonts w:ascii="Palatino Linotype" w:eastAsia="Calibri" w:hAnsi="Palatino Linotype"/>
                <w:b/>
                <w:bCs/>
                <w:sz w:val="18"/>
                <w:szCs w:val="18"/>
                <w:lang w:val="en-GB"/>
              </w:rPr>
            </w:pPr>
            <w:r>
              <w:rPr>
                <w:rFonts w:ascii="Palatino Linotype" w:eastAsia="Calibri" w:hAnsi="Palatino Linotype"/>
                <w:sz w:val="18"/>
                <w:szCs w:val="18"/>
                <w:lang w:val="en-GB"/>
              </w:rPr>
              <w:t xml:space="preserve">   </w:t>
            </w:r>
          </w:p>
        </w:tc>
      </w:tr>
    </w:tbl>
    <w:p w14:paraId="679002B2" w14:textId="77777777" w:rsidR="00C219C7" w:rsidRDefault="00C219C7" w:rsidP="00C219C7">
      <w:pPr>
        <w:jc w:val="both"/>
        <w:rPr>
          <w:rFonts w:ascii="Palatino Linotype" w:hAnsi="Palatino Linotype"/>
          <w:b/>
          <w:bCs/>
          <w:sz w:val="18"/>
          <w:szCs w:val="18"/>
          <w:lang w:val="en-GB"/>
        </w:rPr>
      </w:pPr>
    </w:p>
    <w:p w14:paraId="1AC452A3" w14:textId="77777777" w:rsidR="00C219C7" w:rsidRDefault="00C219C7" w:rsidP="00C219C7">
      <w:pPr>
        <w:jc w:val="both"/>
        <w:rPr>
          <w:rFonts w:ascii="Palatino Linotype" w:hAnsi="Palatino Linotype"/>
          <w:b/>
          <w:bCs/>
          <w:sz w:val="18"/>
          <w:szCs w:val="18"/>
          <w:lang w:val="en-GB"/>
        </w:rPr>
      </w:pPr>
    </w:p>
    <w:p w14:paraId="78A3073C" w14:textId="77777777" w:rsidR="00C219C7" w:rsidRDefault="00C219C7" w:rsidP="00C219C7">
      <w:pPr>
        <w:spacing w:after="0" w:line="240" w:lineRule="auto"/>
        <w:rPr>
          <w:rFonts w:ascii="Palatino Linotype" w:hAnsi="Palatino Linotype"/>
          <w:b/>
          <w:bCs/>
          <w:sz w:val="18"/>
          <w:szCs w:val="18"/>
          <w:lang w:val="en-GB"/>
        </w:rPr>
      </w:pPr>
      <w:r>
        <w:rPr>
          <w:rFonts w:ascii="Palatino Linotype" w:hAnsi="Palatino Linotype"/>
          <w:b/>
          <w:bCs/>
          <w:sz w:val="18"/>
          <w:szCs w:val="18"/>
          <w:lang w:val="en-GB"/>
        </w:rPr>
        <w:br w:type="page"/>
      </w:r>
    </w:p>
    <w:tbl>
      <w:tblPr>
        <w:tblStyle w:val="TableGrid"/>
        <w:tblW w:w="9635" w:type="dxa"/>
        <w:tblInd w:w="-4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635"/>
      </w:tblGrid>
      <w:tr w:rsidR="00C219C7" w14:paraId="02DE1745" w14:textId="77777777" w:rsidTr="00A73AFD">
        <w:trPr>
          <w:trHeight w:val="5280"/>
        </w:trPr>
        <w:tc>
          <w:tcPr>
            <w:tcW w:w="9635" w:type="dxa"/>
          </w:tcPr>
          <w:p w14:paraId="215988B4" w14:textId="77777777" w:rsidR="00C219C7" w:rsidRDefault="00C219C7" w:rsidP="00A73AFD">
            <w:pPr>
              <w:widowControl w:val="0"/>
              <w:spacing w:after="0" w:line="240" w:lineRule="auto"/>
              <w:ind w:left="-573" w:right="-846"/>
              <w:jc w:val="both"/>
              <w:rPr>
                <w:rFonts w:ascii="Palatino Linotype" w:hAnsi="Palatino Linotype"/>
                <w:sz w:val="20"/>
                <w:szCs w:val="20"/>
                <w:lang w:val="en-GB"/>
              </w:rPr>
            </w:pPr>
            <w:r>
              <w:rPr>
                <w:rFonts w:ascii="Palatino Linotype" w:hAnsi="Palatino Linotype"/>
                <w:noProof/>
                <w:sz w:val="20"/>
                <w:szCs w:val="20"/>
                <w:lang w:val="en-GB"/>
              </w:rPr>
              <w:lastRenderedPageBreak/>
              <w:drawing>
                <wp:inline distT="0" distB="0" distL="0" distR="0" wp14:anchorId="3EDAE99E" wp14:editId="6F412F4F">
                  <wp:extent cx="6562090" cy="3691255"/>
                  <wp:effectExtent l="0" t="0" r="0" b="4445"/>
                  <wp:docPr id="6" name="Imagen 6" descr="Gráfico, Gráfico de barra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Gráfico, Gráfico de barras&#10;&#10;Descripción generada automáticamente"/>
                          <pic:cNvPicPr/>
                        </pic:nvPicPr>
                        <pic:blipFill>
                          <a:blip r:embed="rId11">
                            <a:extLst>
                              <a:ext uri="{28A0092B-C50C-407E-A947-70E740481C1C}">
                                <a14:useLocalDpi xmlns:a14="http://schemas.microsoft.com/office/drawing/2010/main" val="0"/>
                              </a:ext>
                            </a:extLst>
                          </a:blip>
                          <a:stretch>
                            <a:fillRect/>
                          </a:stretch>
                        </pic:blipFill>
                        <pic:spPr>
                          <a:xfrm>
                            <a:off x="0" y="0"/>
                            <a:ext cx="6562090" cy="3691255"/>
                          </a:xfrm>
                          <a:prstGeom prst="rect">
                            <a:avLst/>
                          </a:prstGeom>
                        </pic:spPr>
                      </pic:pic>
                    </a:graphicData>
                  </a:graphic>
                </wp:inline>
              </w:drawing>
            </w:r>
          </w:p>
        </w:tc>
      </w:tr>
      <w:tr w:rsidR="00C219C7" w:rsidRPr="00CE0126" w14:paraId="3C0A11AF" w14:textId="77777777" w:rsidTr="00A73AFD">
        <w:tc>
          <w:tcPr>
            <w:tcW w:w="9635" w:type="dxa"/>
          </w:tcPr>
          <w:p w14:paraId="1D2F562F" w14:textId="77777777" w:rsidR="00C219C7" w:rsidRPr="002D229A" w:rsidRDefault="00C219C7" w:rsidP="00A73AFD">
            <w:pPr>
              <w:jc w:val="both"/>
              <w:rPr>
                <w:rFonts w:ascii="Palatino Linotype" w:eastAsia="Times New Roman" w:hAnsi="Palatino Linotype" w:cs="Times New Roman"/>
                <w:b/>
                <w:bCs/>
                <w:color w:val="000000"/>
                <w:sz w:val="20"/>
                <w:szCs w:val="20"/>
                <w:lang w:val="en-US" w:eastAsia="de-DE" w:bidi="en-US"/>
              </w:rPr>
            </w:pPr>
            <w:r>
              <w:rPr>
                <w:rFonts w:ascii="Palatino Linotype" w:eastAsia="Times New Roman" w:hAnsi="Palatino Linotype" w:cs="Times New Roman"/>
                <w:b/>
                <w:bCs/>
                <w:color w:val="000000"/>
                <w:sz w:val="20"/>
                <w:szCs w:val="20"/>
                <w:lang w:val="en-US" w:eastAsia="de-DE" w:bidi="en-US"/>
              </w:rPr>
              <w:t xml:space="preserve">Figure S2.  </w:t>
            </w:r>
            <w:r>
              <w:rPr>
                <w:rFonts w:ascii="Palatino Linotype" w:eastAsia="Times New Roman" w:hAnsi="Palatino Linotype" w:cs="Times New Roman"/>
                <w:color w:val="000000"/>
                <w:sz w:val="20"/>
                <w:szCs w:val="20"/>
                <w:lang w:val="en-US" w:eastAsia="de-DE" w:bidi="en-US"/>
              </w:rPr>
              <w:t xml:space="preserve">Manhattan plot (left) and Q-Q plot (upper right) of the GWAS results from the </w:t>
            </w:r>
            <w:r w:rsidRPr="00DC23D5">
              <w:rPr>
                <w:rFonts w:ascii="Palatino Linotype" w:eastAsia="Times New Roman" w:hAnsi="Palatino Linotype" w:cs="Times New Roman"/>
                <w:i/>
                <w:iCs/>
                <w:color w:val="000000"/>
                <w:sz w:val="20"/>
                <w:szCs w:val="20"/>
                <w:lang w:val="en-US" w:eastAsia="de-DE" w:bidi="en-US"/>
              </w:rPr>
              <w:t>merged</w:t>
            </w:r>
            <w:r>
              <w:rPr>
                <w:rFonts w:ascii="Palatino Linotype" w:eastAsia="Times New Roman" w:hAnsi="Palatino Linotype" w:cs="Times New Roman"/>
                <w:color w:val="000000"/>
                <w:sz w:val="20"/>
                <w:szCs w:val="20"/>
                <w:lang w:val="en-US" w:eastAsia="de-DE" w:bidi="en-US"/>
              </w:rPr>
              <w:t xml:space="preserve"> approach on AAO in SCZ in a combined sample of European ancestry. The blue line represents the threshold for suggestive associations (P-value &lt; 1e-05).</w:t>
            </w:r>
            <w:r>
              <w:rPr>
                <w:rFonts w:ascii="Palatino Linotype" w:eastAsia="Times New Roman" w:hAnsi="Palatino Linotype" w:cs="Times New Roman"/>
                <w:b/>
                <w:bCs/>
                <w:color w:val="000000"/>
                <w:sz w:val="20"/>
                <w:szCs w:val="20"/>
                <w:lang w:val="en-US" w:eastAsia="de-DE" w:bidi="en-US"/>
              </w:rPr>
              <w:t xml:space="preserve"> </w:t>
            </w:r>
          </w:p>
        </w:tc>
      </w:tr>
    </w:tbl>
    <w:p w14:paraId="6955316D" w14:textId="77777777" w:rsidR="00C219C7" w:rsidRDefault="00C219C7" w:rsidP="00C219C7">
      <w:pPr>
        <w:rPr>
          <w:rFonts w:ascii="Palatino Linotype" w:hAnsi="Palatino Linotype"/>
          <w:b/>
          <w:bCs/>
          <w:sz w:val="18"/>
          <w:szCs w:val="18"/>
          <w:lang w:val="en-GB"/>
        </w:rPr>
      </w:pPr>
    </w:p>
    <w:p w14:paraId="04560E0C" w14:textId="77777777" w:rsidR="00C219C7" w:rsidRDefault="00C219C7" w:rsidP="00C219C7">
      <w:pPr>
        <w:jc w:val="both"/>
        <w:rPr>
          <w:rFonts w:ascii="Palatino Linotype" w:hAnsi="Palatino Linotype"/>
          <w:b/>
          <w:bCs/>
          <w:sz w:val="18"/>
          <w:szCs w:val="18"/>
          <w:lang w:val="en-GB"/>
        </w:rPr>
      </w:pPr>
    </w:p>
    <w:p w14:paraId="3404EFC3" w14:textId="17F2EB60" w:rsidR="003C061E" w:rsidRDefault="003C061E" w:rsidP="00266ED4">
      <w:pPr>
        <w:pStyle w:val="Bibliography"/>
        <w:rPr>
          <w:lang w:val="en-GB"/>
        </w:rPr>
      </w:pPr>
    </w:p>
    <w:sectPr w:rsidR="003C061E">
      <w:footerReference w:type="default" r:id="rId12"/>
      <w:pgSz w:w="11906" w:h="16838"/>
      <w:pgMar w:top="1417" w:right="1701" w:bottom="1417" w:left="1701" w:header="0" w:footer="708" w:gutter="0"/>
      <w:cols w:space="708"/>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04EFD4" w14:textId="77777777" w:rsidR="00062A8B" w:rsidRDefault="00266ED4">
      <w:pPr>
        <w:spacing w:after="0" w:line="240" w:lineRule="auto"/>
      </w:pPr>
      <w:r>
        <w:separator/>
      </w:r>
    </w:p>
  </w:endnote>
  <w:endnote w:type="continuationSeparator" w:id="0">
    <w:p w14:paraId="3404EFD6" w14:textId="77777777" w:rsidR="00062A8B" w:rsidRDefault="00266E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0"/>
    <w:family w:val="roman"/>
    <w:pitch w:val="variable"/>
  </w:font>
  <w:font w:name="Noto Sans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66002224"/>
      <w:docPartObj>
        <w:docPartGallery w:val="Page Numbers (Bottom of Page)"/>
        <w:docPartUnique/>
      </w:docPartObj>
    </w:sdtPr>
    <w:sdtEndPr/>
    <w:sdtContent>
      <w:p w14:paraId="3404EFCE" w14:textId="77777777" w:rsidR="003C061E" w:rsidRDefault="00266ED4">
        <w:pPr>
          <w:pStyle w:val="Footer"/>
          <w:jc w:val="right"/>
        </w:pPr>
        <w:r>
          <w:fldChar w:fldCharType="begin"/>
        </w:r>
        <w:r>
          <w:instrText xml:space="preserve"> PAGE </w:instrText>
        </w:r>
        <w:r>
          <w:fldChar w:fldCharType="separate"/>
        </w:r>
        <w:r>
          <w:t>1</w:t>
        </w:r>
        <w:r>
          <w:fldChar w:fldCharType="end"/>
        </w:r>
      </w:p>
    </w:sdtContent>
  </w:sdt>
  <w:p w14:paraId="3404EFCF" w14:textId="77777777" w:rsidR="003C061E" w:rsidRDefault="003C061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04EFD0" w14:textId="77777777" w:rsidR="00062A8B" w:rsidRDefault="00266ED4">
      <w:pPr>
        <w:spacing w:after="0" w:line="240" w:lineRule="auto"/>
      </w:pPr>
      <w:r>
        <w:separator/>
      </w:r>
    </w:p>
  </w:footnote>
  <w:footnote w:type="continuationSeparator" w:id="0">
    <w:p w14:paraId="3404EFD2" w14:textId="77777777" w:rsidR="00062A8B" w:rsidRDefault="00266ED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F455AD"/>
    <w:multiLevelType w:val="multilevel"/>
    <w:tmpl w:val="219835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3C584887"/>
    <w:multiLevelType w:val="multilevel"/>
    <w:tmpl w:val="492A227A"/>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16cid:durableId="565143359">
    <w:abstractNumId w:val="1"/>
  </w:num>
  <w:num w:numId="2" w16cid:durableId="298872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061E"/>
    <w:rsid w:val="00027846"/>
    <w:rsid w:val="00062A8B"/>
    <w:rsid w:val="00063114"/>
    <w:rsid w:val="000A7FA5"/>
    <w:rsid w:val="00266ED4"/>
    <w:rsid w:val="00320E3D"/>
    <w:rsid w:val="003C061E"/>
    <w:rsid w:val="006B368E"/>
    <w:rsid w:val="006C457C"/>
    <w:rsid w:val="007E13FA"/>
    <w:rsid w:val="00855793"/>
    <w:rsid w:val="008D4770"/>
    <w:rsid w:val="00A8117B"/>
    <w:rsid w:val="00AD3857"/>
    <w:rsid w:val="00C219C7"/>
    <w:rsid w:val="00CB0285"/>
    <w:rsid w:val="00CE0126"/>
    <w:rsid w:val="00EE21B4"/>
    <w:rsid w:val="00FF67B6"/>
  </w:rsids>
  <m:mathPr>
    <m:mathFont m:val="Cambria Math"/>
    <m:brkBin m:val="before"/>
    <m:brkBinSub m:val="--"/>
    <m:smallFrac m:val="0"/>
    <m:dispDef/>
    <m:lMargin m:val="0"/>
    <m:rMargin m:val="0"/>
    <m:defJc m:val="centerGroup"/>
    <m:wrapIndent m:val="1440"/>
    <m:intLim m:val="subSup"/>
    <m:naryLim m:val="undOvr"/>
  </m:mathPr>
  <w:themeFontLang w:val="es-E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04EF33"/>
  <w15:docId w15:val="{5CAB728D-D0D4-486F-814E-C0D2076EDC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A2F69"/>
    <w:rPr>
      <w:color w:val="0563C1" w:themeColor="hyperlink"/>
      <w:u w:val="single"/>
    </w:rPr>
  </w:style>
  <w:style w:type="character" w:customStyle="1" w:styleId="HeaderChar">
    <w:name w:val="Header Char"/>
    <w:basedOn w:val="DefaultParagraphFont"/>
    <w:link w:val="Header"/>
    <w:uiPriority w:val="99"/>
    <w:qFormat/>
    <w:rsid w:val="009C20BD"/>
  </w:style>
  <w:style w:type="character" w:customStyle="1" w:styleId="FooterChar">
    <w:name w:val="Footer Char"/>
    <w:basedOn w:val="DefaultParagraphFont"/>
    <w:link w:val="Footer"/>
    <w:uiPriority w:val="99"/>
    <w:qFormat/>
    <w:rsid w:val="009C20BD"/>
  </w:style>
  <w:style w:type="character" w:styleId="CommentReference">
    <w:name w:val="annotation reference"/>
    <w:basedOn w:val="DefaultParagraphFont"/>
    <w:uiPriority w:val="99"/>
    <w:semiHidden/>
    <w:unhideWhenUsed/>
    <w:qFormat/>
    <w:rsid w:val="009C20BD"/>
    <w:rPr>
      <w:sz w:val="16"/>
      <w:szCs w:val="16"/>
    </w:rPr>
  </w:style>
  <w:style w:type="character" w:customStyle="1" w:styleId="CommentTextChar">
    <w:name w:val="Comment Text Char"/>
    <w:basedOn w:val="DefaultParagraphFont"/>
    <w:link w:val="CommentText"/>
    <w:uiPriority w:val="99"/>
    <w:qFormat/>
    <w:rsid w:val="009C20BD"/>
    <w:rPr>
      <w:sz w:val="20"/>
      <w:szCs w:val="20"/>
    </w:rPr>
  </w:style>
  <w:style w:type="character" w:customStyle="1" w:styleId="CommentSubjectChar">
    <w:name w:val="Comment Subject Char"/>
    <w:basedOn w:val="CommentTextChar"/>
    <w:link w:val="CommentSubject"/>
    <w:uiPriority w:val="99"/>
    <w:semiHidden/>
    <w:qFormat/>
    <w:rsid w:val="009C20BD"/>
    <w:rPr>
      <w:b/>
      <w:bCs/>
      <w:sz w:val="20"/>
      <w:szCs w:val="20"/>
    </w:rPr>
  </w:style>
  <w:style w:type="character" w:customStyle="1" w:styleId="LineNumbering">
    <w:name w:val="Line Numbering"/>
  </w:style>
  <w:style w:type="paragraph" w:customStyle="1" w:styleId="Heading">
    <w:name w:val="Heading"/>
    <w:basedOn w:val="Normal"/>
    <w:next w:val="BodyText"/>
    <w:qFormat/>
    <w:pPr>
      <w:keepNext/>
      <w:spacing w:before="240" w:after="120"/>
    </w:pPr>
    <w:rPr>
      <w:rFonts w:ascii="Liberation Sans" w:eastAsia="Noto Sans CJK SC" w:hAnsi="Liberation Sans" w:cs="Lohit Devanagari"/>
      <w:sz w:val="28"/>
      <w:szCs w:val="28"/>
    </w:rPr>
  </w:style>
  <w:style w:type="paragraph" w:styleId="BodyText">
    <w:name w:val="Body Text"/>
    <w:basedOn w:val="Normal"/>
    <w:pPr>
      <w:spacing w:after="140" w:line="276" w:lineRule="auto"/>
    </w:p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customStyle="1" w:styleId="Index">
    <w:name w:val="Index"/>
    <w:basedOn w:val="Normal"/>
    <w:qFormat/>
    <w:pPr>
      <w:suppressLineNumbers/>
    </w:pPr>
    <w:rPr>
      <w:rFonts w:cs="Lohit Devanagari"/>
    </w:rPr>
  </w:style>
  <w:style w:type="paragraph" w:styleId="ListParagraph">
    <w:name w:val="List Paragraph"/>
    <w:basedOn w:val="Normal"/>
    <w:uiPriority w:val="34"/>
    <w:qFormat/>
    <w:rsid w:val="00CD7C63"/>
    <w:pPr>
      <w:ind w:left="720"/>
      <w:contextualSpacing/>
    </w:pPr>
  </w:style>
  <w:style w:type="paragraph" w:customStyle="1" w:styleId="HeaderandFooter">
    <w:name w:val="Header and Footer"/>
    <w:basedOn w:val="Normal"/>
    <w:qFormat/>
  </w:style>
  <w:style w:type="paragraph" w:styleId="Header">
    <w:name w:val="header"/>
    <w:basedOn w:val="Normal"/>
    <w:link w:val="HeaderChar"/>
    <w:uiPriority w:val="99"/>
    <w:unhideWhenUsed/>
    <w:rsid w:val="009C20BD"/>
    <w:pPr>
      <w:tabs>
        <w:tab w:val="center" w:pos="4252"/>
        <w:tab w:val="right" w:pos="8504"/>
      </w:tabs>
      <w:spacing w:after="0" w:line="240" w:lineRule="auto"/>
    </w:pPr>
  </w:style>
  <w:style w:type="paragraph" w:styleId="Footer">
    <w:name w:val="footer"/>
    <w:basedOn w:val="Normal"/>
    <w:link w:val="FooterChar"/>
    <w:uiPriority w:val="99"/>
    <w:unhideWhenUsed/>
    <w:rsid w:val="009C20BD"/>
    <w:pPr>
      <w:tabs>
        <w:tab w:val="center" w:pos="4252"/>
        <w:tab w:val="right" w:pos="8504"/>
      </w:tabs>
      <w:spacing w:after="0" w:line="240" w:lineRule="auto"/>
    </w:pPr>
  </w:style>
  <w:style w:type="paragraph" w:styleId="CommentText">
    <w:name w:val="annotation text"/>
    <w:basedOn w:val="Normal"/>
    <w:link w:val="CommentTextChar"/>
    <w:uiPriority w:val="99"/>
    <w:unhideWhenUsed/>
    <w:qFormat/>
    <w:rsid w:val="009C20BD"/>
    <w:pPr>
      <w:spacing w:line="240" w:lineRule="auto"/>
    </w:pPr>
    <w:rPr>
      <w:sz w:val="20"/>
      <w:szCs w:val="20"/>
    </w:rPr>
  </w:style>
  <w:style w:type="paragraph" w:styleId="CommentSubject">
    <w:name w:val="annotation subject"/>
    <w:basedOn w:val="CommentText"/>
    <w:next w:val="CommentText"/>
    <w:link w:val="CommentSubjectChar"/>
    <w:uiPriority w:val="99"/>
    <w:semiHidden/>
    <w:unhideWhenUsed/>
    <w:qFormat/>
    <w:rsid w:val="009C20BD"/>
    <w:rPr>
      <w:b/>
      <w:bCs/>
    </w:rPr>
  </w:style>
  <w:style w:type="paragraph" w:styleId="Bibliography">
    <w:name w:val="Bibliography"/>
    <w:basedOn w:val="Normal"/>
    <w:next w:val="Normal"/>
    <w:uiPriority w:val="37"/>
    <w:unhideWhenUsed/>
    <w:qFormat/>
    <w:rsid w:val="00BC614A"/>
    <w:pPr>
      <w:tabs>
        <w:tab w:val="left" w:pos="264"/>
      </w:tabs>
      <w:spacing w:after="0" w:line="480" w:lineRule="auto"/>
      <w:ind w:left="264" w:hanging="264"/>
    </w:pPr>
  </w:style>
  <w:style w:type="table" w:styleId="TableGrid">
    <w:name w:val="Table Grid"/>
    <w:basedOn w:val="TableNormal"/>
    <w:uiPriority w:val="39"/>
    <w:rsid w:val="00CB33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21">
    <w:name w:val="Tabla normal 21"/>
    <w:basedOn w:val="TableNormal"/>
    <w:uiPriority w:val="42"/>
    <w:rsid w:val="00D554C2"/>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000000" w:themeColor="text1"/>
        </w:tcBorders>
      </w:tcPr>
    </w:tblStylePr>
    <w:tblStylePr w:type="lastRow">
      <w:rPr>
        <w:b/>
        <w:bCs/>
      </w:rPr>
      <w:tblPr/>
      <w:tcPr>
        <w:tcBorders>
          <w:top w:val="single" w:sz="4" w:space="0" w:color="000000" w:themeColor="text1"/>
        </w:tcBorders>
      </w:tcPr>
    </w:tblStylePr>
    <w:tblStylePr w:type="firstCol">
      <w:rPr>
        <w:b/>
        <w:bCs/>
      </w:rPr>
    </w:tblStylePr>
    <w:tblStylePr w:type="lastCol">
      <w:rPr>
        <w:b/>
        <w:bCs/>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paragraph" w:styleId="Revision">
    <w:name w:val="Revision"/>
    <w:hidden/>
    <w:uiPriority w:val="99"/>
    <w:semiHidden/>
    <w:rsid w:val="00CB0285"/>
    <w:pPr>
      <w:suppressAutoHyphens w:val="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E6035F-B223-4D10-8DD0-80C2D8E596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5</Pages>
  <Words>4261</Words>
  <Characters>24294</Characters>
  <Application>Microsoft Office Word</Application>
  <DocSecurity>0</DocSecurity>
  <Lines>202</Lines>
  <Paragraphs>56</Paragraphs>
  <ScaleCrop>false</ScaleCrop>
  <Company/>
  <LinksUpToDate>false</LinksUpToDate>
  <CharactersWithSpaces>28499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Ester Sada Fuente</dc:creator>
  <dc:description/>
  <cp:lastModifiedBy>Gerard Muntané Medina</cp:lastModifiedBy>
  <cp:revision>43</cp:revision>
  <dcterms:created xsi:type="dcterms:W3CDTF">2022-11-22T10:32:00Z</dcterms:created>
  <dcterms:modified xsi:type="dcterms:W3CDTF">2022-12-05T12:10:00Z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Citation Style_1">
    <vt:lpwstr>http://www.zotero.org/styles/american-medical-association</vt:lpwstr>
  </property>
  <property fmtid="{D5CDD505-2E9C-101B-9397-08002B2CF9AE}" pid="3" name="Mendeley Document_1">
    <vt:lpwstr>True</vt:lpwstr>
  </property>
  <property fmtid="{D5CDD505-2E9C-101B-9397-08002B2CF9AE}" pid="4" name="Mendeley Recent Style Id 0_1">
    <vt:lpwstr>http://www.zotero.org/styles/american-medical-association</vt:lpwstr>
  </property>
  <property fmtid="{D5CDD505-2E9C-101B-9397-08002B2CF9AE}" pid="5" name="Mendeley Recent Style Id 1_1">
    <vt:lpwstr>http://www.zotero.org/styles/american-political-science-association</vt:lpwstr>
  </property>
  <property fmtid="{D5CDD505-2E9C-101B-9397-08002B2CF9AE}" pid="6" name="Mendeley Recent Style Id 2_1">
    <vt:lpwstr>http://www.zotero.org/styles/apa</vt:lpwstr>
  </property>
  <property fmtid="{D5CDD505-2E9C-101B-9397-08002B2CF9AE}" pid="7" name="Mendeley Recent Style Id 3_1">
    <vt:lpwstr>http://www.zotero.org/styles/american-sociological-association</vt:lpwstr>
  </property>
  <property fmtid="{D5CDD505-2E9C-101B-9397-08002B2CF9AE}" pid="8" name="Mendeley Recent Style Id 4_1">
    <vt:lpwstr>http://www.zotero.org/styles/chicago-author-date</vt:lpwstr>
  </property>
  <property fmtid="{D5CDD505-2E9C-101B-9397-08002B2CF9AE}" pid="9" name="Mendeley Recent Style Id 5_1">
    <vt:lpwstr>http://www.zotero.org/styles/harvard-cite-them-right</vt:lpwstr>
  </property>
  <property fmtid="{D5CDD505-2E9C-101B-9397-08002B2CF9AE}" pid="10" name="Mendeley Recent Style Id 6_1">
    <vt:lpwstr>http://www.zotero.org/styles/ieee</vt:lpwstr>
  </property>
  <property fmtid="{D5CDD505-2E9C-101B-9397-08002B2CF9AE}" pid="11" name="Mendeley Recent Style Id 7_1">
    <vt:lpwstr>http://www.zotero.org/styles/ieee-access</vt:lpwstr>
  </property>
  <property fmtid="{D5CDD505-2E9C-101B-9397-08002B2CF9AE}" pid="12" name="Mendeley Recent Style Id 8_1">
    <vt:lpwstr>http://www.zotero.org/styles/modern-language-association</vt:lpwstr>
  </property>
  <property fmtid="{D5CDD505-2E9C-101B-9397-08002B2CF9AE}" pid="13" name="Mendeley Recent Style Id 9_1">
    <vt:lpwstr>http://www.zotero.org/styles/vancouver</vt:lpwstr>
  </property>
  <property fmtid="{D5CDD505-2E9C-101B-9397-08002B2CF9AE}" pid="14" name="Mendeley Recent Style Name 0_1">
    <vt:lpwstr>American Medical Association 11th edition</vt:lpwstr>
  </property>
  <property fmtid="{D5CDD505-2E9C-101B-9397-08002B2CF9AE}" pid="15" name="Mendeley Recent Style Name 1_1">
    <vt:lpwstr>American Political Science Association</vt:lpwstr>
  </property>
  <property fmtid="{D5CDD505-2E9C-101B-9397-08002B2CF9AE}" pid="16" name="Mendeley Recent Style Name 2_1">
    <vt:lpwstr>American Psychological Association 7th edition</vt:lpwstr>
  </property>
  <property fmtid="{D5CDD505-2E9C-101B-9397-08002B2CF9AE}" pid="17" name="Mendeley Recent Style Name 3_1">
    <vt:lpwstr>American Sociological Association 6th edition</vt:lpwstr>
  </property>
  <property fmtid="{D5CDD505-2E9C-101B-9397-08002B2CF9AE}" pid="18" name="Mendeley Recent Style Name 4_1">
    <vt:lpwstr>Chicago Manual of Style 17th edition (author-date)</vt:lpwstr>
  </property>
  <property fmtid="{D5CDD505-2E9C-101B-9397-08002B2CF9AE}" pid="19" name="Mendeley Recent Style Name 5_1">
    <vt:lpwstr>Cite Them Right 10th edition - Harvard</vt:lpwstr>
  </property>
  <property fmtid="{D5CDD505-2E9C-101B-9397-08002B2CF9AE}" pid="20" name="Mendeley Recent Style Name 6_1">
    <vt:lpwstr>IEEE</vt:lpwstr>
  </property>
  <property fmtid="{D5CDD505-2E9C-101B-9397-08002B2CF9AE}" pid="21" name="Mendeley Recent Style Name 7_1">
    <vt:lpwstr>IEEE Access</vt:lpwstr>
  </property>
  <property fmtid="{D5CDD505-2E9C-101B-9397-08002B2CF9AE}" pid="22" name="Mendeley Recent Style Name 8_1">
    <vt:lpwstr>Modern Language Association 8th edition</vt:lpwstr>
  </property>
  <property fmtid="{D5CDD505-2E9C-101B-9397-08002B2CF9AE}" pid="23" name="Mendeley Recent Style Name 9_1">
    <vt:lpwstr>Vancouver</vt:lpwstr>
  </property>
  <property fmtid="{D5CDD505-2E9C-101B-9397-08002B2CF9AE}" pid="24" name="Mendeley Unique User Id_1">
    <vt:lpwstr>89009239-970d-3a34-9293-180a5f7a2ae8</vt:lpwstr>
  </property>
  <property fmtid="{D5CDD505-2E9C-101B-9397-08002B2CF9AE}" pid="25" name="ZOTERO_PREF_1">
    <vt:lpwstr>&lt;data data-version="3" zotero-version="6.0.18"&gt;&lt;session id="tFkd3ltK"/&gt;&lt;style id="http://www.zotero.org/styles/nature" hasBibliography="1" bibliographyStyleHasBeenSet="1"/&gt;&lt;prefs&gt;&lt;pref name="fieldType" value="Field"/&gt;&lt;/prefs&gt;&lt;/data&gt;</vt:lpwstr>
  </property>
</Properties>
</file>