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0CA5A" w14:textId="77777777" w:rsidR="00A42DCF" w:rsidRPr="00BE571C" w:rsidRDefault="00A42DCF" w:rsidP="00A42DCF">
      <w:pPr>
        <w:suppressLineNumbers/>
        <w:spacing w:line="276" w:lineRule="auto"/>
        <w:jc w:val="both"/>
        <w:rPr>
          <w:sz w:val="22"/>
          <w:szCs w:val="22"/>
        </w:rPr>
      </w:pPr>
      <w:r>
        <w:rPr>
          <w:noProof/>
        </w:rPr>
        <w:drawing>
          <wp:inline distT="0" distB="0" distL="0" distR="0" wp14:anchorId="2E9C489B" wp14:editId="3C9A1D81">
            <wp:extent cx="5731510" cy="5119370"/>
            <wp:effectExtent l="0" t="0" r="2540" b="5080"/>
            <wp:docPr id="3" name="Picture 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1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AFC413" w14:textId="77777777" w:rsidR="00A42DCF" w:rsidRDefault="00A42DCF" w:rsidP="00A42DCF">
      <w:pPr>
        <w:suppressLineNumbers/>
        <w:spacing w:line="276" w:lineRule="auto"/>
        <w:jc w:val="both"/>
        <w:rPr>
          <w:rFonts w:cs="Arial"/>
          <w:sz w:val="22"/>
          <w:szCs w:val="22"/>
        </w:rPr>
      </w:pPr>
    </w:p>
    <w:p w14:paraId="3C01DD87" w14:textId="77777777" w:rsidR="00A42DCF" w:rsidRDefault="00A42DCF" w:rsidP="00A42DCF">
      <w:pPr>
        <w:suppressLineNumbers/>
        <w:spacing w:line="276" w:lineRule="auto"/>
        <w:jc w:val="both"/>
        <w:rPr>
          <w:rFonts w:cs="Arial"/>
          <w:sz w:val="22"/>
          <w:szCs w:val="22"/>
        </w:rPr>
      </w:pPr>
      <w:r>
        <w:rPr>
          <w:rFonts w:cs="Arial"/>
          <w:b/>
          <w:bCs/>
          <w:sz w:val="22"/>
          <w:szCs w:val="22"/>
        </w:rPr>
        <w:t xml:space="preserve">Extended Data </w:t>
      </w:r>
      <w:r w:rsidRPr="00D018B9">
        <w:rPr>
          <w:rFonts w:cs="Arial"/>
          <w:b/>
          <w:bCs/>
          <w:sz w:val="22"/>
          <w:szCs w:val="22"/>
        </w:rPr>
        <w:t>Figure 1.</w:t>
      </w:r>
      <w:r w:rsidRPr="00D018B9">
        <w:rPr>
          <w:rFonts w:cs="Arial"/>
          <w:sz w:val="22"/>
          <w:szCs w:val="22"/>
        </w:rPr>
        <w:t xml:space="preserve">  </w:t>
      </w:r>
      <w:r>
        <w:rPr>
          <w:rFonts w:cs="Arial"/>
          <w:b/>
          <w:bCs/>
          <w:sz w:val="22"/>
          <w:szCs w:val="22"/>
        </w:rPr>
        <w:t>A</w:t>
      </w:r>
      <w:r w:rsidRPr="00851575">
        <w:rPr>
          <w:rFonts w:cs="Arial"/>
          <w:b/>
          <w:bCs/>
          <w:sz w:val="22"/>
          <w:szCs w:val="22"/>
        </w:rPr>
        <w:t>ssociations between lung mucosa and systemic antibody levels against Spike post SARS-CoV-2 vaccination.</w:t>
      </w:r>
      <w:r>
        <w:rPr>
          <w:rFonts w:cs="Arial"/>
          <w:b/>
          <w:bCs/>
          <w:sz w:val="22"/>
          <w:szCs w:val="22"/>
        </w:rPr>
        <w:t xml:space="preserve"> (A to C) </w:t>
      </w:r>
      <w:r>
        <w:rPr>
          <w:rFonts w:cs="Arial"/>
          <w:sz w:val="22"/>
          <w:szCs w:val="22"/>
        </w:rPr>
        <w:t xml:space="preserve">Levels of anti-N IgG in serum (A) and anti-N IgG (B) and IgA (C) in BAL fluid of control (n=11), naïve vaccinated (n=7) and infected vaccinated donors (n=15). Correlation of anti-S IgG </w:t>
      </w:r>
      <w:r w:rsidRPr="00063F3C">
        <w:rPr>
          <w:rFonts w:cs="Arial"/>
          <w:b/>
          <w:bCs/>
          <w:sz w:val="22"/>
          <w:szCs w:val="22"/>
        </w:rPr>
        <w:t>(</w:t>
      </w:r>
      <w:r>
        <w:rPr>
          <w:rFonts w:cs="Arial"/>
          <w:b/>
          <w:bCs/>
          <w:sz w:val="22"/>
          <w:szCs w:val="22"/>
        </w:rPr>
        <w:t>D</w:t>
      </w:r>
      <w:r w:rsidRPr="00063F3C">
        <w:rPr>
          <w:rFonts w:cs="Arial"/>
          <w:b/>
          <w:bCs/>
          <w:sz w:val="22"/>
          <w:szCs w:val="22"/>
        </w:rPr>
        <w:t>)</w:t>
      </w:r>
      <w:r>
        <w:rPr>
          <w:rFonts w:cs="Arial"/>
          <w:sz w:val="22"/>
          <w:szCs w:val="22"/>
        </w:rPr>
        <w:t xml:space="preserve"> and anti-S IgA </w:t>
      </w:r>
      <w:r w:rsidRPr="00063F3C">
        <w:rPr>
          <w:rFonts w:cs="Arial"/>
          <w:b/>
          <w:bCs/>
          <w:sz w:val="22"/>
          <w:szCs w:val="22"/>
        </w:rPr>
        <w:t>(</w:t>
      </w:r>
      <w:r>
        <w:rPr>
          <w:rFonts w:cs="Arial"/>
          <w:b/>
          <w:bCs/>
          <w:sz w:val="22"/>
          <w:szCs w:val="22"/>
        </w:rPr>
        <w:t>E</w:t>
      </w:r>
      <w:r w:rsidRPr="00063F3C">
        <w:rPr>
          <w:rFonts w:cs="Arial"/>
          <w:b/>
          <w:bCs/>
          <w:sz w:val="22"/>
          <w:szCs w:val="22"/>
        </w:rPr>
        <w:t>)</w:t>
      </w:r>
      <w:r>
        <w:rPr>
          <w:rFonts w:cs="Arial"/>
          <w:sz w:val="22"/>
          <w:szCs w:val="22"/>
        </w:rPr>
        <w:t xml:space="preserve"> levels measured in serum and BAL fluid of naïve, vaccinated (in turquoise) and infected, vaccinated donors (in purple). Total n=22 vaccinated individuals. R and p values are shown using Spearman rank correlation. </w:t>
      </w:r>
    </w:p>
    <w:p w14:paraId="0FB3B9CD" w14:textId="4AA3C0F0" w:rsidR="008545B0" w:rsidRDefault="008545B0"/>
    <w:p w14:paraId="7C32736A" w14:textId="77777777" w:rsidR="00A42DCF" w:rsidRPr="00A0031F" w:rsidRDefault="00A42DCF" w:rsidP="00A42DCF">
      <w:pPr>
        <w:suppressLineNumbers/>
        <w:spacing w:line="276" w:lineRule="auto"/>
        <w:jc w:val="both"/>
        <w:rPr>
          <w:rFonts w:cs="Arial"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61DF322D" wp14:editId="4A94DD29">
            <wp:extent cx="5731510" cy="6330315"/>
            <wp:effectExtent l="0" t="0" r="2540" b="0"/>
            <wp:docPr id="5" name="Picture 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iagram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33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2B241" w14:textId="77777777" w:rsidR="00A42DCF" w:rsidRDefault="00A42DCF" w:rsidP="00A42DCF">
      <w:pPr>
        <w:suppressLineNumbers/>
        <w:spacing w:line="276" w:lineRule="auto"/>
        <w:jc w:val="both"/>
        <w:rPr>
          <w:rFonts w:cs="Arial"/>
          <w:sz w:val="22"/>
          <w:szCs w:val="22"/>
        </w:rPr>
      </w:pPr>
    </w:p>
    <w:p w14:paraId="072D9ED1" w14:textId="7F6AA45E" w:rsidR="00A42DCF" w:rsidRPr="00A42DCF" w:rsidRDefault="00A42DCF" w:rsidP="00A42DCF">
      <w:pPr>
        <w:suppressLineNumbers/>
        <w:spacing w:line="276" w:lineRule="auto"/>
        <w:jc w:val="both"/>
        <w:rPr>
          <w:rFonts w:cs="Arial"/>
          <w:sz w:val="22"/>
          <w:szCs w:val="22"/>
        </w:rPr>
      </w:pPr>
      <w:r>
        <w:rPr>
          <w:rFonts w:cs="Arial"/>
          <w:b/>
          <w:bCs/>
          <w:sz w:val="22"/>
          <w:szCs w:val="22"/>
        </w:rPr>
        <w:t xml:space="preserve">Extended Data </w:t>
      </w:r>
      <w:r w:rsidRPr="00D018B9">
        <w:rPr>
          <w:rFonts w:cs="Arial"/>
          <w:b/>
          <w:bCs/>
          <w:sz w:val="22"/>
          <w:szCs w:val="22"/>
        </w:rPr>
        <w:t xml:space="preserve">Figure </w:t>
      </w:r>
      <w:r>
        <w:rPr>
          <w:rFonts w:cs="Arial"/>
          <w:b/>
          <w:bCs/>
          <w:sz w:val="22"/>
          <w:szCs w:val="22"/>
        </w:rPr>
        <w:t>2</w:t>
      </w:r>
      <w:r w:rsidRPr="00D018B9">
        <w:rPr>
          <w:rFonts w:cs="Arial"/>
          <w:b/>
          <w:bCs/>
          <w:sz w:val="22"/>
          <w:szCs w:val="22"/>
        </w:rPr>
        <w:t>.</w:t>
      </w:r>
      <w:r w:rsidRPr="00D018B9">
        <w:rPr>
          <w:rFonts w:cs="Arial"/>
          <w:sz w:val="22"/>
          <w:szCs w:val="22"/>
        </w:rPr>
        <w:t xml:space="preserve">  </w:t>
      </w:r>
      <w:r>
        <w:rPr>
          <w:rFonts w:cs="Arial"/>
          <w:sz w:val="22"/>
          <w:szCs w:val="22"/>
        </w:rPr>
        <w:t xml:space="preserve">Memory B cells and SARS-CoV-2 specific B cells responses in human blood and BAL. </w:t>
      </w:r>
      <w:r w:rsidRPr="00573F47">
        <w:rPr>
          <w:rFonts w:cs="Arial"/>
          <w:b/>
          <w:bCs/>
          <w:sz w:val="22"/>
          <w:szCs w:val="22"/>
        </w:rPr>
        <w:t>A)</w:t>
      </w:r>
      <w:r>
        <w:rPr>
          <w:rFonts w:cs="Arial"/>
          <w:sz w:val="22"/>
          <w:szCs w:val="22"/>
        </w:rPr>
        <w:t xml:space="preserve"> Gating strategy of B cells in human PBMC or BAL sample, with representative flow cytometry plots of SARS-CoV-2 specific B cells from </w:t>
      </w:r>
      <w:r w:rsidRPr="00743019">
        <w:rPr>
          <w:rFonts w:cs="Arial"/>
          <w:sz w:val="22"/>
          <w:szCs w:val="22"/>
        </w:rPr>
        <w:t>controls</w:t>
      </w:r>
      <w:r>
        <w:rPr>
          <w:rFonts w:cs="Arial"/>
          <w:sz w:val="22"/>
          <w:szCs w:val="22"/>
        </w:rPr>
        <w:t xml:space="preserve"> and infected, vaccinated donors. </w:t>
      </w:r>
      <w:r w:rsidRPr="005D4A1D">
        <w:rPr>
          <w:rFonts w:cs="Arial"/>
          <w:b/>
          <w:bCs/>
          <w:sz w:val="22"/>
          <w:szCs w:val="22"/>
        </w:rPr>
        <w:t>B</w:t>
      </w:r>
      <w:r w:rsidRPr="00684600">
        <w:rPr>
          <w:rFonts w:cs="Arial"/>
          <w:b/>
          <w:bCs/>
          <w:sz w:val="22"/>
          <w:szCs w:val="22"/>
        </w:rPr>
        <w:t>)</w:t>
      </w:r>
      <w:r>
        <w:rPr>
          <w:rFonts w:cs="Arial"/>
          <w:sz w:val="22"/>
          <w:szCs w:val="22"/>
        </w:rPr>
        <w:t xml:space="preserve"> Frequency of circulating SARS-CoV-2 MBCs in mRNA (n=10) or ChAdOxAd1_S vaccine (n=5) recipients with prior infection. </w:t>
      </w:r>
      <w:r>
        <w:rPr>
          <w:rFonts w:cs="Arial"/>
          <w:b/>
          <w:bCs/>
          <w:sz w:val="22"/>
          <w:szCs w:val="22"/>
        </w:rPr>
        <w:t>C</w:t>
      </w:r>
      <w:r w:rsidRPr="00B644C8">
        <w:rPr>
          <w:rFonts w:cs="Arial"/>
          <w:b/>
          <w:bCs/>
          <w:sz w:val="22"/>
          <w:szCs w:val="22"/>
        </w:rPr>
        <w:t>)</w:t>
      </w:r>
      <w:r>
        <w:rPr>
          <w:rFonts w:cs="Arial"/>
          <w:sz w:val="22"/>
          <w:szCs w:val="22"/>
        </w:rPr>
        <w:t xml:space="preserve"> Frequency of lower airway Spike MBCs in mRNA (close circles, n=6) or ChAdOxAd1_S vaccine (open circles, n=3) recipients with prior infection. </w:t>
      </w:r>
      <w:r w:rsidRPr="00BE571C">
        <w:rPr>
          <w:rFonts w:cs="Arial"/>
          <w:sz w:val="22"/>
          <w:szCs w:val="22"/>
        </w:rPr>
        <w:t>Data shown are in median and interquartile range (IQR).</w:t>
      </w:r>
      <w:r>
        <w:rPr>
          <w:rFonts w:cs="Arial"/>
          <w:sz w:val="22"/>
          <w:szCs w:val="22"/>
        </w:rPr>
        <w:t xml:space="preserve"> </w:t>
      </w:r>
      <w:r w:rsidRPr="00BE571C">
        <w:rPr>
          <w:rFonts w:cs="Arial"/>
          <w:sz w:val="22"/>
          <w:szCs w:val="22"/>
        </w:rPr>
        <w:t xml:space="preserve">Statistical differences were determined by </w:t>
      </w:r>
      <w:r>
        <w:rPr>
          <w:rFonts w:cs="Arial"/>
          <w:sz w:val="22"/>
          <w:szCs w:val="22"/>
        </w:rPr>
        <w:t>Mann-Whitney U test</w:t>
      </w:r>
      <w:r>
        <w:rPr>
          <w:rFonts w:cs="Arial"/>
          <w:b/>
          <w:bCs/>
          <w:sz w:val="22"/>
          <w:szCs w:val="22"/>
        </w:rPr>
        <w:t xml:space="preserve">. </w:t>
      </w:r>
      <w:r>
        <w:rPr>
          <w:rFonts w:cs="Arial"/>
          <w:sz w:val="22"/>
          <w:szCs w:val="22"/>
        </w:rPr>
        <w:t xml:space="preserve">P values </w:t>
      </w:r>
      <w:r w:rsidRPr="00BE571C">
        <w:rPr>
          <w:rFonts w:cs="Arial"/>
          <w:sz w:val="22"/>
          <w:szCs w:val="22"/>
        </w:rPr>
        <w:t>are indicated by *(p &lt; 0.05), **(p &lt; 0.01) and ****(p &lt; 0.00</w:t>
      </w:r>
      <w:r>
        <w:rPr>
          <w:rFonts w:cs="Arial"/>
          <w:sz w:val="22"/>
          <w:szCs w:val="22"/>
        </w:rPr>
        <w:t>0</w:t>
      </w:r>
      <w:r w:rsidRPr="00BE571C">
        <w:rPr>
          <w:rFonts w:cs="Arial"/>
          <w:sz w:val="22"/>
          <w:szCs w:val="22"/>
        </w:rPr>
        <w:t xml:space="preserve">1). </w:t>
      </w:r>
    </w:p>
    <w:p w14:paraId="3441AF01" w14:textId="77777777" w:rsidR="00A42DCF" w:rsidRDefault="00A42DCF" w:rsidP="00A42DCF">
      <w:pPr>
        <w:suppressLineNumbers/>
        <w:spacing w:line="276" w:lineRule="auto"/>
        <w:jc w:val="both"/>
        <w:rPr>
          <w:rFonts w:cs="Arial"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61E48004" wp14:editId="16101337">
            <wp:extent cx="5245100" cy="8863330"/>
            <wp:effectExtent l="0" t="0" r="0" b="0"/>
            <wp:docPr id="7" name="Picture 7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Diagram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4510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E39BE5" w14:textId="77777777" w:rsidR="00A42DCF" w:rsidRDefault="00A42DCF" w:rsidP="00A42DCF">
      <w:pPr>
        <w:suppressLineNumbers/>
        <w:spacing w:line="276" w:lineRule="auto"/>
        <w:jc w:val="both"/>
        <w:rPr>
          <w:rFonts w:cs="Arial"/>
          <w:sz w:val="22"/>
          <w:szCs w:val="22"/>
        </w:rPr>
      </w:pPr>
    </w:p>
    <w:p w14:paraId="74E0748F" w14:textId="77777777" w:rsidR="00A42DCF" w:rsidRDefault="00A42DCF" w:rsidP="00A42DCF">
      <w:pPr>
        <w:suppressLineNumbers/>
        <w:spacing w:line="276" w:lineRule="auto"/>
        <w:jc w:val="both"/>
        <w:rPr>
          <w:rFonts w:cs="Arial"/>
          <w:sz w:val="22"/>
          <w:szCs w:val="22"/>
        </w:rPr>
      </w:pPr>
      <w:r>
        <w:rPr>
          <w:rFonts w:cs="Arial"/>
          <w:b/>
          <w:bCs/>
          <w:sz w:val="22"/>
          <w:szCs w:val="22"/>
        </w:rPr>
        <w:t xml:space="preserve">Extended Data </w:t>
      </w:r>
      <w:r w:rsidRPr="00D018B9">
        <w:rPr>
          <w:rFonts w:cs="Arial"/>
          <w:b/>
          <w:bCs/>
          <w:sz w:val="22"/>
          <w:szCs w:val="22"/>
        </w:rPr>
        <w:t xml:space="preserve">Figure </w:t>
      </w:r>
      <w:r>
        <w:rPr>
          <w:rFonts w:cs="Arial"/>
          <w:b/>
          <w:bCs/>
          <w:sz w:val="22"/>
          <w:szCs w:val="22"/>
        </w:rPr>
        <w:t>3</w:t>
      </w:r>
      <w:r w:rsidRPr="00D018B9">
        <w:rPr>
          <w:rFonts w:cs="Arial"/>
          <w:b/>
          <w:bCs/>
          <w:sz w:val="22"/>
          <w:szCs w:val="22"/>
        </w:rPr>
        <w:t>.</w:t>
      </w:r>
      <w:r w:rsidRPr="00D018B9">
        <w:rPr>
          <w:rFonts w:cs="Arial"/>
          <w:sz w:val="22"/>
          <w:szCs w:val="22"/>
        </w:rPr>
        <w:t xml:space="preserve">  </w:t>
      </w:r>
      <w:r w:rsidRPr="000E6689">
        <w:rPr>
          <w:rFonts w:cs="Arial"/>
          <w:b/>
          <w:bCs/>
          <w:sz w:val="22"/>
          <w:szCs w:val="22"/>
        </w:rPr>
        <w:t>A)</w:t>
      </w:r>
      <w:r>
        <w:rPr>
          <w:rFonts w:cs="Arial"/>
          <w:sz w:val="22"/>
          <w:szCs w:val="22"/>
        </w:rPr>
        <w:t xml:space="preserve"> Example gating of T cell staining after overnight stimulation with SARS-CoV-2 peptide pools. </w:t>
      </w:r>
      <w:r w:rsidRPr="00D84544">
        <w:rPr>
          <w:sz w:val="22"/>
          <w:szCs w:val="22"/>
        </w:rPr>
        <w:t>Lymphocytes (SSC-H vs. FSC-H), single cells (FSC-H vs. FSC-A), Live cells (fixable live/dead), CD3</w:t>
      </w:r>
      <w:r w:rsidRPr="00D84544">
        <w:rPr>
          <w:sz w:val="22"/>
          <w:szCs w:val="22"/>
          <w:vertAlign w:val="superscript"/>
        </w:rPr>
        <w:t>+</w:t>
      </w:r>
      <w:r w:rsidRPr="00D84544">
        <w:rPr>
          <w:sz w:val="22"/>
          <w:szCs w:val="22"/>
        </w:rPr>
        <w:t>, CD4</w:t>
      </w:r>
      <w:r w:rsidRPr="00D84544">
        <w:rPr>
          <w:sz w:val="22"/>
          <w:szCs w:val="22"/>
          <w:vertAlign w:val="superscript"/>
        </w:rPr>
        <w:t>+</w:t>
      </w:r>
      <w:r w:rsidRPr="00D84544">
        <w:rPr>
          <w:sz w:val="22"/>
          <w:szCs w:val="22"/>
        </w:rPr>
        <w:t xml:space="preserve"> or CD8</w:t>
      </w:r>
      <w:r w:rsidRPr="00D84544">
        <w:rPr>
          <w:sz w:val="22"/>
          <w:szCs w:val="22"/>
          <w:vertAlign w:val="superscript"/>
        </w:rPr>
        <w:t>+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or MAIT cells. Tissue resident memory (TRM) CD4</w:t>
      </w:r>
      <w:r w:rsidRPr="00875157"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 xml:space="preserve"> and CD8</w:t>
      </w:r>
      <w:r w:rsidRPr="00875157"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 xml:space="preserve"> T cells were defined as CD4</w:t>
      </w:r>
      <w:r w:rsidRPr="00875157"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>CD69</w:t>
      </w:r>
      <w:r w:rsidRPr="00C8603E"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>CD49a</w:t>
      </w:r>
      <w:r w:rsidRPr="00C8603E">
        <w:rPr>
          <w:sz w:val="22"/>
          <w:szCs w:val="22"/>
          <w:vertAlign w:val="superscript"/>
        </w:rPr>
        <w:t>+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and CD8</w:t>
      </w:r>
      <w:r w:rsidRPr="00875157"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>CD69</w:t>
      </w:r>
      <w:r w:rsidRPr="00875157"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>CD103</w:t>
      </w:r>
      <w:r w:rsidRPr="00875157"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 xml:space="preserve">, respectively. </w:t>
      </w:r>
      <w:r w:rsidRPr="00A640A9">
        <w:rPr>
          <w:b/>
          <w:bCs/>
          <w:sz w:val="22"/>
          <w:szCs w:val="22"/>
        </w:rPr>
        <w:t>B)</w:t>
      </w:r>
      <w:r>
        <w:rPr>
          <w:sz w:val="22"/>
          <w:szCs w:val="22"/>
        </w:rPr>
        <w:t xml:space="preserve"> Representative plots of SARS-CoV-2 specific CD4</w:t>
      </w:r>
      <w:r w:rsidRPr="006F4290"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 xml:space="preserve"> and CD8</w:t>
      </w:r>
      <w:r w:rsidRPr="006F4290">
        <w:rPr>
          <w:sz w:val="22"/>
          <w:szCs w:val="22"/>
          <w:vertAlign w:val="superscript"/>
        </w:rPr>
        <w:t>+</w:t>
      </w:r>
      <w:r>
        <w:rPr>
          <w:sz w:val="22"/>
          <w:szCs w:val="22"/>
        </w:rPr>
        <w:t xml:space="preserve"> T cells in PBMC and BAL of an infected, vaccinated donor after overnight stimulation with </w:t>
      </w:r>
      <w:r>
        <w:rPr>
          <w:rFonts w:cs="Arial"/>
          <w:sz w:val="22"/>
          <w:szCs w:val="22"/>
        </w:rPr>
        <w:t xml:space="preserve">SARS-CoV-2 peptide pools. DMSO was used as a negative control. </w:t>
      </w:r>
      <w:r w:rsidRPr="00F059AA">
        <w:rPr>
          <w:rFonts w:cs="Arial"/>
          <w:b/>
          <w:bCs/>
          <w:sz w:val="22"/>
          <w:szCs w:val="22"/>
        </w:rPr>
        <w:t>B-C</w:t>
      </w:r>
      <w:r w:rsidRPr="00830886">
        <w:rPr>
          <w:rFonts w:cs="Arial"/>
          <w:b/>
          <w:bCs/>
          <w:sz w:val="22"/>
          <w:szCs w:val="22"/>
        </w:rPr>
        <w:t xml:space="preserve">) </w:t>
      </w:r>
      <w:r>
        <w:rPr>
          <w:rFonts w:cs="Arial"/>
          <w:sz w:val="22"/>
          <w:szCs w:val="22"/>
        </w:rPr>
        <w:t>Frequency of circulating and lower-airway S-specific CD4</w:t>
      </w:r>
      <w:r w:rsidRPr="00D0224F">
        <w:rPr>
          <w:rFonts w:cs="Arial"/>
          <w:sz w:val="22"/>
          <w:szCs w:val="22"/>
          <w:vertAlign w:val="superscript"/>
        </w:rPr>
        <w:t>+</w:t>
      </w:r>
      <w:r>
        <w:rPr>
          <w:rFonts w:cs="Arial"/>
          <w:sz w:val="22"/>
          <w:szCs w:val="22"/>
        </w:rPr>
        <w:t xml:space="preserve"> and CD8</w:t>
      </w:r>
      <w:r w:rsidRPr="00D0224F">
        <w:rPr>
          <w:rFonts w:cs="Arial"/>
          <w:sz w:val="22"/>
          <w:szCs w:val="22"/>
          <w:vertAlign w:val="superscript"/>
        </w:rPr>
        <w:t>+</w:t>
      </w:r>
      <w:r>
        <w:rPr>
          <w:rFonts w:cs="Arial"/>
          <w:sz w:val="22"/>
          <w:szCs w:val="22"/>
        </w:rPr>
        <w:t xml:space="preserve"> T cells in mRNA (n=9) or ChAdOxAd1_S vaccine (n=5) recipients with prior infection. </w:t>
      </w:r>
      <w:r w:rsidRPr="00205AF9">
        <w:rPr>
          <w:rFonts w:cs="Arial"/>
          <w:b/>
          <w:bCs/>
          <w:sz w:val="22"/>
          <w:szCs w:val="22"/>
        </w:rPr>
        <w:t>D-E)</w:t>
      </w:r>
      <w:r>
        <w:rPr>
          <w:rFonts w:cs="Arial"/>
          <w:b/>
          <w:bCs/>
          <w:sz w:val="22"/>
          <w:szCs w:val="22"/>
        </w:rPr>
        <w:t xml:space="preserve"> </w:t>
      </w:r>
      <w:r>
        <w:rPr>
          <w:rFonts w:cs="Arial"/>
          <w:sz w:val="22"/>
          <w:szCs w:val="22"/>
        </w:rPr>
        <w:t>Paired analysis of proportions of CD4</w:t>
      </w:r>
      <w:r w:rsidRPr="00A6541B">
        <w:rPr>
          <w:rFonts w:cs="Arial"/>
          <w:sz w:val="22"/>
          <w:szCs w:val="22"/>
          <w:vertAlign w:val="superscript"/>
        </w:rPr>
        <w:t>+</w:t>
      </w:r>
      <w:r>
        <w:rPr>
          <w:rFonts w:cs="Arial"/>
          <w:sz w:val="22"/>
          <w:szCs w:val="22"/>
        </w:rPr>
        <w:t xml:space="preserve"> and CD8</w:t>
      </w:r>
      <w:r w:rsidRPr="00A6541B">
        <w:rPr>
          <w:rFonts w:cs="Arial"/>
          <w:sz w:val="22"/>
          <w:szCs w:val="22"/>
          <w:vertAlign w:val="superscript"/>
        </w:rPr>
        <w:t>+</w:t>
      </w:r>
      <w:r>
        <w:rPr>
          <w:rFonts w:cs="Arial"/>
          <w:sz w:val="22"/>
          <w:szCs w:val="22"/>
        </w:rPr>
        <w:t xml:space="preserve"> T cells which recognise SARS-CoV-2 antigens in BAL and paired blood. </w:t>
      </w:r>
      <w:r w:rsidRPr="00BE571C">
        <w:rPr>
          <w:rFonts w:cs="Arial"/>
          <w:sz w:val="22"/>
          <w:szCs w:val="22"/>
        </w:rPr>
        <w:t xml:space="preserve">Statistical differences were determined by </w:t>
      </w:r>
      <w:r>
        <w:rPr>
          <w:rFonts w:cs="Arial"/>
          <w:sz w:val="22"/>
          <w:szCs w:val="22"/>
        </w:rPr>
        <w:t>Mann-Whitney U test</w:t>
      </w:r>
      <w:r>
        <w:rPr>
          <w:rFonts w:cs="Arial"/>
          <w:b/>
          <w:bCs/>
          <w:sz w:val="22"/>
          <w:szCs w:val="22"/>
        </w:rPr>
        <w:t xml:space="preserve">. </w:t>
      </w:r>
      <w:r w:rsidRPr="00BE571C">
        <w:rPr>
          <w:rFonts w:cs="Arial"/>
          <w:sz w:val="22"/>
          <w:szCs w:val="22"/>
        </w:rPr>
        <w:t>*(p &lt; 0.05)</w:t>
      </w:r>
      <w:r>
        <w:rPr>
          <w:rFonts w:cs="Arial"/>
          <w:sz w:val="22"/>
          <w:szCs w:val="22"/>
        </w:rPr>
        <w:t>.</w:t>
      </w:r>
      <w:r w:rsidRPr="00BE571C">
        <w:rPr>
          <w:rFonts w:cs="Arial"/>
          <w:sz w:val="22"/>
          <w:szCs w:val="22"/>
        </w:rPr>
        <w:t xml:space="preserve"> </w:t>
      </w:r>
    </w:p>
    <w:p w14:paraId="7832144C" w14:textId="77777777" w:rsidR="00A42DCF" w:rsidRDefault="00A42DCF"/>
    <w:sectPr w:rsidR="00A42D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DCF"/>
    <w:rsid w:val="008545B0"/>
    <w:rsid w:val="00A42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E2A2C"/>
  <w15:chartTrackingRefBased/>
  <w15:docId w15:val="{467FD9C8-8BF7-4883-AA83-D119D6FF7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2DCF"/>
    <w:pPr>
      <w:spacing w:after="0" w:line="240" w:lineRule="auto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336</Words>
  <Characters>1919</Characters>
  <Application>Microsoft Office Word</Application>
  <DocSecurity>0</DocSecurity>
  <Lines>15</Lines>
  <Paragraphs>4</Paragraphs>
  <ScaleCrop>false</ScaleCrop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2023-01-26T15:36:00Z</dcterms:created>
  <dcterms:modified xsi:type="dcterms:W3CDTF">2023-01-26T15:37:00Z</dcterms:modified>
</cp:coreProperties>
</file>