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3CCDF" w14:textId="77777777" w:rsidR="00EB4B28" w:rsidRPr="00C252F7" w:rsidRDefault="00EB4B28" w:rsidP="00EB4B28">
      <w:pPr>
        <w:jc w:val="both"/>
        <w:rPr>
          <w:rFonts w:ascii="Calibri Light" w:hAnsi="Calibri Light"/>
          <w:b/>
          <w:bCs/>
        </w:rPr>
      </w:pPr>
      <w:r w:rsidRPr="00C252F7">
        <w:rPr>
          <w:rFonts w:ascii="Calibri Light" w:hAnsi="Calibri Light"/>
          <w:b/>
          <w:bCs/>
        </w:rPr>
        <w:t>Supplementary materials:</w:t>
      </w:r>
    </w:p>
    <w:p w14:paraId="7BA77321" w14:textId="77777777" w:rsidR="00EB4B28" w:rsidRDefault="00EB4B28" w:rsidP="00EB4B28">
      <w:pPr>
        <w:jc w:val="both"/>
        <w:rPr>
          <w:rFonts w:ascii="Calibri Light" w:hAnsi="Calibri Light"/>
          <w:i/>
          <w:iCs/>
        </w:rPr>
      </w:pPr>
    </w:p>
    <w:p w14:paraId="61F8BD63" w14:textId="77777777" w:rsidR="00EB4B28" w:rsidRDefault="00EB4B28" w:rsidP="00EB4B28">
      <w:pPr>
        <w:jc w:val="both"/>
      </w:pPr>
      <w:r w:rsidRPr="005051C4">
        <w:rPr>
          <w:rFonts w:ascii="Calibri Light" w:hAnsi="Calibri Light"/>
          <w:i/>
          <w:iCs/>
        </w:rPr>
        <w:t xml:space="preserve">Supplementary </w:t>
      </w:r>
      <w:r>
        <w:rPr>
          <w:rFonts w:ascii="Calibri Light" w:hAnsi="Calibri Light"/>
          <w:i/>
          <w:iCs/>
        </w:rPr>
        <w:t>Table 1.1: Demographic and clinical characteristics of breast cancer patients</w:t>
      </w:r>
      <w:r>
        <w:t xml:space="preserve"> </w:t>
      </w:r>
    </w:p>
    <w:tbl>
      <w:tblPr>
        <w:tblStyle w:val="TableGrid"/>
        <w:tblpPr w:leftFromText="180" w:rightFromText="180" w:vertAnchor="page" w:horzAnchor="margin" w:tblpY="273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35"/>
        <w:gridCol w:w="1694"/>
        <w:gridCol w:w="1101"/>
        <w:gridCol w:w="1460"/>
      </w:tblGrid>
      <w:tr w:rsidR="00EB4B28" w14:paraId="65ECDD7F" w14:textId="77777777" w:rsidTr="00072694">
        <w:trPr>
          <w:trHeight w:val="427"/>
        </w:trPr>
        <w:tc>
          <w:tcPr>
            <w:tcW w:w="443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E86574F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Characteristics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2D02B19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Total sample</w:t>
            </w:r>
          </w:p>
          <w:p w14:paraId="271216CE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1058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C01A391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*P-value</w:t>
            </w:r>
          </w:p>
        </w:tc>
      </w:tr>
      <w:tr w:rsidR="00EB4B28" w14:paraId="691ECA4C" w14:textId="77777777" w:rsidTr="00072694">
        <w:trPr>
          <w:trHeight w:val="5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FA39A9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C82F124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256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669EFBC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Overall survival</w:t>
            </w:r>
          </w:p>
        </w:tc>
      </w:tr>
      <w:tr w:rsidR="00EB4B28" w14:paraId="395A1636" w14:textId="77777777" w:rsidTr="00072694">
        <w:trPr>
          <w:trHeight w:val="308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43BEFE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Age at diagnosis, mean </w:t>
            </w:r>
            <w:r>
              <w:rPr>
                <w:rFonts w:ascii="Calibri Light" w:eastAsiaTheme="minorHAnsi" w:hAnsi="Calibri Light"/>
              </w:rPr>
              <w:t>±</w:t>
            </w:r>
            <w:r>
              <w:rPr>
                <w:rFonts w:ascii="Calibri Light" w:hAnsi="Calibri Light"/>
              </w:rPr>
              <w:t xml:space="preserve"> SD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02FA02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57.48 </w:t>
            </w:r>
            <w:r>
              <w:rPr>
                <w:rFonts w:ascii="Calibri Light" w:eastAsiaTheme="minorHAnsi" w:hAnsi="Calibri Light"/>
              </w:rPr>
              <w:t>±</w:t>
            </w:r>
            <w:r>
              <w:rPr>
                <w:rFonts w:ascii="Calibri Light" w:hAnsi="Calibri Light"/>
              </w:rPr>
              <w:t xml:space="preserve"> 13.03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C3DC924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&lt; 0.0001</w:t>
            </w:r>
          </w:p>
        </w:tc>
      </w:tr>
      <w:tr w:rsidR="00EB4B28" w14:paraId="73F81F77" w14:textId="77777777" w:rsidTr="00072694">
        <w:trPr>
          <w:trHeight w:val="293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12EEEE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Race, N (%)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</w:tcPr>
          <w:p w14:paraId="01650E16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256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CDA0B81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0.398</w:t>
            </w:r>
          </w:p>
        </w:tc>
      </w:tr>
      <w:tr w:rsidR="00EB4B28" w14:paraId="3F3817AA" w14:textId="77777777" w:rsidTr="00072694">
        <w:trPr>
          <w:trHeight w:val="308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DC0824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    American Indian or Alaska Resident or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30F829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59 (5.58%)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45AD27BE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1EDA7E9D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</w:tr>
      <w:tr w:rsidR="00EB4B28" w14:paraId="040D6460" w14:textId="77777777" w:rsidTr="00072694">
        <w:trPr>
          <w:trHeight w:val="293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F0AB4C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    Asian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E87AF1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5DC164D0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5F4563AA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</w:tr>
      <w:tr w:rsidR="00EB4B28" w14:paraId="36DA4877" w14:textId="77777777" w:rsidTr="00072694">
        <w:trPr>
          <w:trHeight w:val="308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D074C5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    Black or African American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1C5E65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178 (16.82%)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635DFE57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27F32B8B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</w:tr>
      <w:tr w:rsidR="00EB4B28" w14:paraId="7AC09892" w14:textId="77777777" w:rsidTr="00072694">
        <w:trPr>
          <w:trHeight w:val="308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1AD651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    White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9CE080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821 (77.60%)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645D9119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74945CFF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</w:tr>
      <w:tr w:rsidR="00EB4B28" w14:paraId="304989F8" w14:textId="77777777" w:rsidTr="00072694">
        <w:trPr>
          <w:trHeight w:val="308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AA15A5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Disease stage, N (%)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</w:tcPr>
          <w:p w14:paraId="1D0D377B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256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F1629AD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&lt;0.0001</w:t>
            </w:r>
          </w:p>
        </w:tc>
      </w:tr>
      <w:tr w:rsidR="00EB4B28" w14:paraId="49838B0B" w14:textId="77777777" w:rsidTr="00072694">
        <w:trPr>
          <w:trHeight w:val="293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3ECACF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    Stage I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F72743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193 (18.24%)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4BAA1ACB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57D2B556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</w:tr>
      <w:tr w:rsidR="00EB4B28" w14:paraId="71105142" w14:textId="77777777" w:rsidTr="00072694">
        <w:trPr>
          <w:trHeight w:val="308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7A06ED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    Stage II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689B73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608 (57.47%)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22204D17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4C3A3BAE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</w:tr>
      <w:tr w:rsidR="00EB4B28" w14:paraId="3803B6FE" w14:textId="77777777" w:rsidTr="00072694">
        <w:trPr>
          <w:trHeight w:val="293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0A4305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    Stage III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B9DBFA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240 (22.68%)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7338D265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65EC5EF4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</w:tr>
      <w:tr w:rsidR="00EB4B28" w14:paraId="24689CF0" w14:textId="77777777" w:rsidTr="00072694">
        <w:trPr>
          <w:trHeight w:val="308"/>
        </w:trPr>
        <w:tc>
          <w:tcPr>
            <w:tcW w:w="44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1900DE3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    Stage IV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E716841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17 (1.61%)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B92E3A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2F3747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</w:tr>
    </w:tbl>
    <w:p w14:paraId="5C5961E7" w14:textId="77777777" w:rsidR="00EB4B28" w:rsidRDefault="00EB4B28" w:rsidP="00EB4B28">
      <w:pPr>
        <w:jc w:val="both"/>
      </w:pPr>
    </w:p>
    <w:p w14:paraId="6C0DB607" w14:textId="77777777" w:rsidR="00EB4B28" w:rsidRDefault="00EB4B28" w:rsidP="00EB4B28">
      <w:pPr>
        <w:jc w:val="both"/>
      </w:pPr>
    </w:p>
    <w:p w14:paraId="650D25F3" w14:textId="77777777" w:rsidR="00EB4B28" w:rsidRDefault="00EB4B28" w:rsidP="00EB4B28">
      <w:pPr>
        <w:jc w:val="both"/>
      </w:pPr>
    </w:p>
    <w:p w14:paraId="4475BB69" w14:textId="77777777" w:rsidR="00EB4B28" w:rsidRDefault="00EB4B28" w:rsidP="00EB4B28">
      <w:pPr>
        <w:jc w:val="both"/>
      </w:pPr>
    </w:p>
    <w:p w14:paraId="73A386B4" w14:textId="77777777" w:rsidR="00EB4B28" w:rsidRDefault="00EB4B28" w:rsidP="00EB4B28">
      <w:pPr>
        <w:jc w:val="both"/>
      </w:pPr>
    </w:p>
    <w:p w14:paraId="6373A63E" w14:textId="77777777" w:rsidR="00EB4B28" w:rsidRDefault="00EB4B28" w:rsidP="00EB4B28">
      <w:pPr>
        <w:jc w:val="both"/>
      </w:pPr>
    </w:p>
    <w:p w14:paraId="66BD864B" w14:textId="77777777" w:rsidR="00EB4B28" w:rsidRDefault="00EB4B28" w:rsidP="00EB4B28">
      <w:pPr>
        <w:jc w:val="both"/>
      </w:pPr>
    </w:p>
    <w:p w14:paraId="0FD5C90F" w14:textId="77777777" w:rsidR="00EB4B28" w:rsidRDefault="00EB4B28" w:rsidP="00EB4B28">
      <w:pPr>
        <w:jc w:val="both"/>
      </w:pPr>
    </w:p>
    <w:p w14:paraId="178F07D0" w14:textId="77777777" w:rsidR="00EB4B28" w:rsidRDefault="00EB4B28" w:rsidP="00EB4B28">
      <w:pPr>
        <w:jc w:val="both"/>
      </w:pPr>
    </w:p>
    <w:p w14:paraId="652B755A" w14:textId="77777777" w:rsidR="00EB4B28" w:rsidRDefault="00EB4B28" w:rsidP="00EB4B28">
      <w:pPr>
        <w:jc w:val="both"/>
      </w:pPr>
    </w:p>
    <w:p w14:paraId="4F41DFC7" w14:textId="77777777" w:rsidR="00EB4B28" w:rsidRDefault="00EB4B28" w:rsidP="00EB4B28">
      <w:pPr>
        <w:jc w:val="both"/>
        <w:rPr>
          <w:rFonts w:ascii="Calibri Light" w:hAnsi="Calibri Light"/>
          <w:i/>
          <w:iCs/>
        </w:rPr>
      </w:pPr>
      <w:r>
        <w:rPr>
          <w:rFonts w:ascii="Calibri Light" w:hAnsi="Calibri Light"/>
          <w:i/>
          <w:iCs/>
        </w:rPr>
        <w:t xml:space="preserve">*Analysis conducted by fitting </w:t>
      </w:r>
      <w:proofErr w:type="spellStart"/>
      <w:r>
        <w:rPr>
          <w:rFonts w:ascii="Calibri Light" w:hAnsi="Calibri Light"/>
          <w:i/>
          <w:iCs/>
        </w:rPr>
        <w:t>CoxPH</w:t>
      </w:r>
      <w:proofErr w:type="spellEnd"/>
      <w:r>
        <w:rPr>
          <w:rFonts w:ascii="Calibri Light" w:hAnsi="Calibri Light"/>
          <w:i/>
          <w:iCs/>
        </w:rPr>
        <w:t xml:space="preserve"> model using each of the variables respectively. P-values computed via likelihood ratio test. During model fitting, patients were categorized into “white” and “other races” based on their race status; they were categorized into “stage I”, “stage II”, and “stage III or higher” based on their clinical stage.</w:t>
      </w:r>
    </w:p>
    <w:p w14:paraId="2D32A638" w14:textId="77777777" w:rsidR="00EB4B28" w:rsidRDefault="00EB4B28" w:rsidP="00EB4B28">
      <w:pPr>
        <w:jc w:val="both"/>
        <w:rPr>
          <w:rFonts w:ascii="Calibri Light" w:hAnsi="Calibri Light"/>
          <w:i/>
          <w:iCs/>
        </w:rPr>
      </w:pPr>
    </w:p>
    <w:p w14:paraId="0B1F6C6B" w14:textId="77777777" w:rsidR="00EB4B28" w:rsidRDefault="00EB4B28" w:rsidP="00EB4B28">
      <w:pPr>
        <w:jc w:val="both"/>
        <w:rPr>
          <w:rFonts w:ascii="Calibri" w:hAnsi="Calibri" w:cs="Calibri"/>
        </w:rPr>
      </w:pPr>
    </w:p>
    <w:p w14:paraId="4F8EEF94" w14:textId="77777777" w:rsidR="00EB4B28" w:rsidRDefault="00EB4B28" w:rsidP="00EB4B28">
      <w:pPr>
        <w:jc w:val="both"/>
        <w:rPr>
          <w:rFonts w:ascii="Calibri" w:hAnsi="Calibri" w:cs="Calibri"/>
        </w:rPr>
      </w:pPr>
    </w:p>
    <w:p w14:paraId="3989EF23" w14:textId="77777777" w:rsidR="00EB4B28" w:rsidRDefault="00EB4B28" w:rsidP="00EB4B28">
      <w:pPr>
        <w:jc w:val="both"/>
        <w:rPr>
          <w:rFonts w:ascii="Calibri" w:hAnsi="Calibri" w:cs="Calibri"/>
        </w:rPr>
      </w:pPr>
    </w:p>
    <w:p w14:paraId="7BA7DA8B" w14:textId="77777777" w:rsidR="00EB4B28" w:rsidRDefault="00EB4B28" w:rsidP="00EB4B28">
      <w:pPr>
        <w:jc w:val="both"/>
        <w:rPr>
          <w:rFonts w:ascii="Calibri" w:hAnsi="Calibri" w:cs="Calibri"/>
        </w:rPr>
      </w:pPr>
    </w:p>
    <w:p w14:paraId="7177F59D" w14:textId="77777777" w:rsidR="00EB4B28" w:rsidRDefault="00EB4B28" w:rsidP="00EB4B28">
      <w:pPr>
        <w:jc w:val="both"/>
        <w:rPr>
          <w:rFonts w:ascii="Calibri" w:hAnsi="Calibri" w:cs="Calibri"/>
        </w:rPr>
      </w:pPr>
    </w:p>
    <w:p w14:paraId="22167043" w14:textId="77777777" w:rsidR="00EB4B28" w:rsidRDefault="00EB4B28" w:rsidP="00EB4B28">
      <w:pPr>
        <w:jc w:val="both"/>
        <w:rPr>
          <w:rFonts w:ascii="Calibri" w:hAnsi="Calibri" w:cs="Calibri"/>
        </w:rPr>
      </w:pPr>
    </w:p>
    <w:p w14:paraId="51DD874A" w14:textId="77777777" w:rsidR="00EB4B28" w:rsidRDefault="00EB4B28" w:rsidP="00EB4B28">
      <w:pPr>
        <w:jc w:val="both"/>
        <w:rPr>
          <w:rFonts w:ascii="Calibri" w:hAnsi="Calibri" w:cs="Calibri"/>
        </w:rPr>
      </w:pPr>
    </w:p>
    <w:p w14:paraId="3A9C10A1" w14:textId="77777777" w:rsidR="00EB4B28" w:rsidRDefault="00EB4B28" w:rsidP="00EB4B28">
      <w:pPr>
        <w:jc w:val="both"/>
        <w:rPr>
          <w:rFonts w:ascii="Calibri" w:hAnsi="Calibri" w:cs="Calibri"/>
        </w:rPr>
      </w:pPr>
    </w:p>
    <w:p w14:paraId="1036B5CD" w14:textId="77777777" w:rsidR="00EB4B28" w:rsidRDefault="00EB4B28" w:rsidP="00EB4B28">
      <w:pPr>
        <w:jc w:val="both"/>
        <w:rPr>
          <w:rFonts w:ascii="Calibri" w:hAnsi="Calibri" w:cs="Calibri"/>
        </w:rPr>
      </w:pPr>
    </w:p>
    <w:p w14:paraId="1DE92DA0" w14:textId="77777777" w:rsidR="00EB4B28" w:rsidRDefault="00EB4B28" w:rsidP="00EB4B28">
      <w:pPr>
        <w:jc w:val="both"/>
        <w:rPr>
          <w:rFonts w:ascii="Calibri" w:hAnsi="Calibri" w:cs="Calibri"/>
        </w:rPr>
      </w:pPr>
    </w:p>
    <w:p w14:paraId="158816CA" w14:textId="77777777" w:rsidR="00EB4B28" w:rsidRDefault="00EB4B28" w:rsidP="00EB4B28">
      <w:pPr>
        <w:jc w:val="both"/>
        <w:rPr>
          <w:rFonts w:ascii="Calibri" w:hAnsi="Calibri" w:cs="Calibri"/>
        </w:rPr>
      </w:pPr>
    </w:p>
    <w:p w14:paraId="20DEF7AF" w14:textId="77777777" w:rsidR="00EB4B28" w:rsidRDefault="00EB4B28" w:rsidP="00EB4B28">
      <w:pPr>
        <w:jc w:val="both"/>
        <w:rPr>
          <w:rFonts w:ascii="Calibri" w:hAnsi="Calibri" w:cs="Calibri"/>
        </w:rPr>
      </w:pPr>
    </w:p>
    <w:p w14:paraId="24D0C62C" w14:textId="77777777" w:rsidR="00EB4B28" w:rsidRDefault="00EB4B28" w:rsidP="00EB4B28">
      <w:pPr>
        <w:pStyle w:val="EndNoteBibliography"/>
        <w:ind w:left="720" w:hanging="720"/>
        <w:jc w:val="both"/>
        <w:rPr>
          <w:rFonts w:asciiTheme="majorHAnsi" w:hAnsiTheme="majorHAnsi" w:cstheme="majorHAnsi"/>
          <w:i/>
          <w:iCs/>
        </w:rPr>
      </w:pPr>
      <w:r w:rsidRPr="005051C4">
        <w:rPr>
          <w:rFonts w:ascii="Calibri Light" w:hAnsi="Calibri Light" w:cs="Calibri Light"/>
          <w:i/>
          <w:iCs/>
        </w:rPr>
        <w:lastRenderedPageBreak/>
        <w:t>Supplementary</w:t>
      </w:r>
      <w:r w:rsidRPr="001C779D">
        <w:rPr>
          <w:rFonts w:asciiTheme="majorHAnsi" w:hAnsiTheme="majorHAnsi" w:cstheme="majorHAnsi"/>
          <w:i/>
          <w:iCs/>
        </w:rPr>
        <w:t xml:space="preserve"> Table </w:t>
      </w:r>
      <w:r>
        <w:rPr>
          <w:rFonts w:asciiTheme="majorHAnsi" w:hAnsiTheme="majorHAnsi" w:cstheme="majorHAnsi"/>
          <w:i/>
          <w:iCs/>
        </w:rPr>
        <w:t>1.2:</w:t>
      </w:r>
      <w:r w:rsidRPr="001C779D">
        <w:rPr>
          <w:rFonts w:asciiTheme="majorHAnsi" w:hAnsiTheme="majorHAnsi" w:cstheme="majorHAnsi"/>
          <w:i/>
          <w:iCs/>
        </w:rPr>
        <w:t xml:space="preserve"> Demographic and clinical characteristics of ovarian cancer patients</w:t>
      </w:r>
    </w:p>
    <w:tbl>
      <w:tblPr>
        <w:tblStyle w:val="TableGrid"/>
        <w:tblpPr w:leftFromText="180" w:rightFromText="180" w:vertAnchor="page" w:horzAnchor="margin" w:tblpY="205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35"/>
        <w:gridCol w:w="1694"/>
        <w:gridCol w:w="1101"/>
        <w:gridCol w:w="1460"/>
      </w:tblGrid>
      <w:tr w:rsidR="00EB4B28" w14:paraId="52A28F52" w14:textId="77777777" w:rsidTr="00072694">
        <w:trPr>
          <w:trHeight w:val="427"/>
        </w:trPr>
        <w:tc>
          <w:tcPr>
            <w:tcW w:w="443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84F5867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Characteristics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6FF6021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Total sample</w:t>
            </w:r>
          </w:p>
          <w:p w14:paraId="5E179D71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355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AFFCE85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*P-value</w:t>
            </w:r>
          </w:p>
        </w:tc>
      </w:tr>
      <w:tr w:rsidR="00EB4B28" w14:paraId="7D52F24A" w14:textId="77777777" w:rsidTr="00072694">
        <w:trPr>
          <w:trHeight w:val="5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1610FCF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3A85BEE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256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CDB8A3C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Overall survival</w:t>
            </w:r>
          </w:p>
        </w:tc>
      </w:tr>
      <w:tr w:rsidR="00EB4B28" w14:paraId="17D31F7C" w14:textId="77777777" w:rsidTr="00072694">
        <w:trPr>
          <w:trHeight w:val="308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26008F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Age at diagnosis, mean </w:t>
            </w:r>
            <w:r>
              <w:rPr>
                <w:rFonts w:ascii="Calibri Light" w:eastAsiaTheme="minorHAnsi" w:hAnsi="Calibri Light"/>
              </w:rPr>
              <w:t>±</w:t>
            </w:r>
            <w:r>
              <w:rPr>
                <w:rFonts w:ascii="Calibri Light" w:hAnsi="Calibri Light"/>
              </w:rPr>
              <w:t xml:space="preserve"> SD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F05B92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59.61 </w:t>
            </w:r>
            <w:r>
              <w:rPr>
                <w:rFonts w:ascii="Calibri Light" w:eastAsiaTheme="minorHAnsi" w:hAnsi="Calibri Light"/>
              </w:rPr>
              <w:t>±</w:t>
            </w:r>
            <w:r>
              <w:rPr>
                <w:rFonts w:ascii="Calibri Light" w:hAnsi="Calibri Light"/>
              </w:rPr>
              <w:t xml:space="preserve"> 11.29</w:t>
            </w:r>
          </w:p>
        </w:tc>
        <w:tc>
          <w:tcPr>
            <w:tcW w:w="256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DF5BFFD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0.0003</w:t>
            </w:r>
          </w:p>
        </w:tc>
      </w:tr>
      <w:tr w:rsidR="00EB4B28" w14:paraId="3D5C96A8" w14:textId="77777777" w:rsidTr="00072694">
        <w:trPr>
          <w:trHeight w:val="293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6B91F8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Race, N (%)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</w:tcPr>
          <w:p w14:paraId="4ECB9A3B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256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3E899AE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0.018</w:t>
            </w:r>
          </w:p>
        </w:tc>
      </w:tr>
      <w:tr w:rsidR="00EB4B28" w14:paraId="2073750E" w14:textId="77777777" w:rsidTr="00072694">
        <w:trPr>
          <w:trHeight w:val="308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0C7AFB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    American Indian or Alaska native or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D6C1C2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15 (4.23%)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02D3E966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16ADB131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</w:tr>
      <w:tr w:rsidR="00EB4B28" w14:paraId="7175CEC4" w14:textId="77777777" w:rsidTr="00072694">
        <w:trPr>
          <w:trHeight w:val="293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5E52CF" w14:textId="77777777" w:rsidR="00EB4B28" w:rsidRDefault="00EB4B28" w:rsidP="00072694">
            <w:pPr>
              <w:ind w:firstLine="195"/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Asian or native Hawaiian or other </w:t>
            </w:r>
          </w:p>
          <w:p w14:paraId="259B95EF" w14:textId="77777777" w:rsidR="00EB4B28" w:rsidRDefault="00EB4B28" w:rsidP="00072694">
            <w:pPr>
              <w:ind w:firstLine="195"/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Pacific    Islander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D3B748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412B2D9B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30817517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</w:tr>
      <w:tr w:rsidR="00EB4B28" w14:paraId="07C7888A" w14:textId="77777777" w:rsidTr="00072694">
        <w:trPr>
          <w:trHeight w:val="308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8A261F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    Black or African American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E542EA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24 (6.76%)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5344C1B4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0FC8072A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</w:tr>
      <w:tr w:rsidR="00EB4B28" w14:paraId="6DA0598C" w14:textId="77777777" w:rsidTr="00072694">
        <w:trPr>
          <w:trHeight w:val="308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CDC50B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    White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0CDF3B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316 (89.01%)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01DCC908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0E18EF48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</w:tr>
      <w:tr w:rsidR="00EB4B28" w14:paraId="3F2F9C1E" w14:textId="77777777" w:rsidTr="00072694">
        <w:trPr>
          <w:trHeight w:val="308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985023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Disease stage, N (%)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</w:tcPr>
          <w:p w14:paraId="5D47275B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256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DBDA355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0.040</w:t>
            </w:r>
          </w:p>
        </w:tc>
      </w:tr>
      <w:tr w:rsidR="00EB4B28" w14:paraId="4A4F8449" w14:textId="77777777" w:rsidTr="00072694">
        <w:trPr>
          <w:trHeight w:val="293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84F322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    Stage I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7016BA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1 (0.28%)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122499F7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21335BA5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</w:tr>
      <w:tr w:rsidR="00EB4B28" w14:paraId="75FC403D" w14:textId="77777777" w:rsidTr="00072694">
        <w:trPr>
          <w:trHeight w:val="308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92B8F6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    Stage II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CEAA69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22 (6.2%)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4D6C26FB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492044CD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</w:tr>
      <w:tr w:rsidR="00EB4B28" w14:paraId="10DCF1DA" w14:textId="77777777" w:rsidTr="00072694">
        <w:trPr>
          <w:trHeight w:val="293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396735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    Stage III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39509E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278 (78.31%)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63D69A9B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3AF62B03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</w:tr>
      <w:tr w:rsidR="00EB4B28" w14:paraId="5877CDF3" w14:textId="77777777" w:rsidTr="00072694">
        <w:trPr>
          <w:trHeight w:val="308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36F0EB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    Stage IV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C52E1A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54 (15.21%)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64868744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18002428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</w:tr>
      <w:tr w:rsidR="00EB4B28" w14:paraId="4B5B70F0" w14:textId="77777777" w:rsidTr="00072694">
        <w:trPr>
          <w:trHeight w:val="308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</w:tcPr>
          <w:p w14:paraId="0724BEB2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Histological grade, N (%)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</w:tcPr>
          <w:p w14:paraId="27B456DB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4C74DF22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0.429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3AA0F172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</w:tr>
      <w:tr w:rsidR="00EB4B28" w14:paraId="112D222F" w14:textId="77777777" w:rsidTr="00072694">
        <w:trPr>
          <w:trHeight w:val="308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</w:tcPr>
          <w:p w14:paraId="0E088ED1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    G1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</w:tcPr>
          <w:p w14:paraId="795BA36A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1 (0.28%)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4B992240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4CC3DE1F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</w:tr>
      <w:tr w:rsidR="00EB4B28" w14:paraId="357E34BA" w14:textId="77777777" w:rsidTr="00072694">
        <w:trPr>
          <w:trHeight w:val="308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</w:tcPr>
          <w:p w14:paraId="0B850D2A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    G2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</w:tcPr>
          <w:p w14:paraId="0A56BE8E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44 (12.39%)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3CD90D33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6DDC3F88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</w:tr>
      <w:tr w:rsidR="00EB4B28" w14:paraId="6DA05880" w14:textId="77777777" w:rsidTr="00072694">
        <w:trPr>
          <w:trHeight w:val="308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</w:tcPr>
          <w:p w14:paraId="45B981D6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    GB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</w:tcPr>
          <w:p w14:paraId="78B6C668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2 (0.56%)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16E6718E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219F0C1C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</w:tr>
      <w:tr w:rsidR="00EB4B28" w14:paraId="14E4AA6E" w14:textId="77777777" w:rsidTr="00072694">
        <w:trPr>
          <w:trHeight w:val="308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</w:tcPr>
          <w:p w14:paraId="3B700788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    G3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</w:tcPr>
          <w:p w14:paraId="53DDCEF0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307 (86.48%)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7F58A18E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063AB2A9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</w:tr>
      <w:tr w:rsidR="00EB4B28" w14:paraId="2B2EFD80" w14:textId="77777777" w:rsidTr="00072694">
        <w:trPr>
          <w:trHeight w:val="308"/>
        </w:trPr>
        <w:tc>
          <w:tcPr>
            <w:tcW w:w="44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6AF7CF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    G4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B17C5E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1 (0.28%)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FCF685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8A1405" w14:textId="77777777" w:rsidR="00EB4B28" w:rsidRDefault="00EB4B28" w:rsidP="00072694">
            <w:pPr>
              <w:jc w:val="both"/>
              <w:rPr>
                <w:rFonts w:ascii="Calibri Light" w:hAnsi="Calibri Light"/>
              </w:rPr>
            </w:pPr>
          </w:p>
        </w:tc>
      </w:tr>
    </w:tbl>
    <w:p w14:paraId="44BFF0BD" w14:textId="77777777" w:rsidR="00EB4B28" w:rsidRDefault="00EB4B28" w:rsidP="00EB4B28">
      <w:pPr>
        <w:pStyle w:val="EndNoteBibliography"/>
        <w:ind w:left="720" w:hanging="720"/>
        <w:jc w:val="both"/>
        <w:rPr>
          <w:rFonts w:asciiTheme="majorHAnsi" w:hAnsiTheme="majorHAnsi" w:cstheme="majorHAnsi"/>
          <w:i/>
          <w:iCs/>
        </w:rPr>
      </w:pPr>
    </w:p>
    <w:p w14:paraId="12836951" w14:textId="77777777" w:rsidR="00EB4B28" w:rsidRDefault="00EB4B28" w:rsidP="00EB4B28">
      <w:pPr>
        <w:pStyle w:val="EndNoteBibliography"/>
        <w:ind w:left="720" w:hanging="720"/>
        <w:jc w:val="both"/>
        <w:rPr>
          <w:rFonts w:asciiTheme="majorHAnsi" w:hAnsiTheme="majorHAnsi" w:cstheme="majorHAnsi"/>
          <w:i/>
          <w:iCs/>
        </w:rPr>
      </w:pPr>
    </w:p>
    <w:p w14:paraId="566BF60E" w14:textId="77777777" w:rsidR="00EB4B28" w:rsidRDefault="00EB4B28" w:rsidP="00EB4B28">
      <w:pPr>
        <w:pStyle w:val="EndNoteBibliography"/>
        <w:ind w:left="720" w:hanging="720"/>
        <w:jc w:val="both"/>
        <w:rPr>
          <w:rFonts w:asciiTheme="majorHAnsi" w:hAnsiTheme="majorHAnsi" w:cstheme="majorHAnsi"/>
          <w:i/>
          <w:iCs/>
        </w:rPr>
      </w:pPr>
    </w:p>
    <w:p w14:paraId="06CB68AE" w14:textId="77777777" w:rsidR="00EB4B28" w:rsidRDefault="00EB4B28" w:rsidP="00EB4B28">
      <w:pPr>
        <w:pStyle w:val="EndNoteBibliography"/>
        <w:ind w:left="720" w:hanging="720"/>
        <w:jc w:val="both"/>
        <w:rPr>
          <w:rFonts w:asciiTheme="majorHAnsi" w:hAnsiTheme="majorHAnsi" w:cstheme="majorHAnsi"/>
          <w:i/>
          <w:iCs/>
        </w:rPr>
      </w:pPr>
    </w:p>
    <w:p w14:paraId="447B9CC6" w14:textId="77777777" w:rsidR="00EB4B28" w:rsidRDefault="00EB4B28" w:rsidP="00EB4B28">
      <w:pPr>
        <w:pStyle w:val="EndNoteBibliography"/>
        <w:ind w:left="720" w:hanging="720"/>
        <w:jc w:val="both"/>
        <w:rPr>
          <w:rFonts w:asciiTheme="majorHAnsi" w:hAnsiTheme="majorHAnsi" w:cstheme="majorHAnsi"/>
          <w:i/>
          <w:iCs/>
        </w:rPr>
      </w:pPr>
    </w:p>
    <w:p w14:paraId="553A2F4C" w14:textId="77777777" w:rsidR="00EB4B28" w:rsidRDefault="00EB4B28" w:rsidP="00EB4B28">
      <w:pPr>
        <w:pStyle w:val="EndNoteBibliography"/>
        <w:ind w:left="720" w:hanging="720"/>
        <w:jc w:val="both"/>
        <w:rPr>
          <w:rFonts w:asciiTheme="majorHAnsi" w:hAnsiTheme="majorHAnsi" w:cstheme="majorHAnsi"/>
          <w:i/>
          <w:iCs/>
        </w:rPr>
      </w:pPr>
    </w:p>
    <w:p w14:paraId="34354882" w14:textId="77777777" w:rsidR="00EB4B28" w:rsidRDefault="00EB4B28" w:rsidP="00EB4B28">
      <w:pPr>
        <w:pStyle w:val="EndNoteBibliography"/>
        <w:ind w:left="720" w:hanging="720"/>
        <w:jc w:val="both"/>
        <w:rPr>
          <w:rFonts w:asciiTheme="majorHAnsi" w:hAnsiTheme="majorHAnsi" w:cstheme="majorHAnsi"/>
          <w:i/>
          <w:iCs/>
        </w:rPr>
      </w:pPr>
    </w:p>
    <w:p w14:paraId="7B2B6B28" w14:textId="77777777" w:rsidR="00EB4B28" w:rsidRDefault="00EB4B28" w:rsidP="00EB4B28">
      <w:pPr>
        <w:pStyle w:val="EndNoteBibliography"/>
        <w:ind w:left="720" w:hanging="720"/>
        <w:jc w:val="both"/>
        <w:rPr>
          <w:rFonts w:asciiTheme="majorHAnsi" w:hAnsiTheme="majorHAnsi" w:cstheme="majorHAnsi"/>
          <w:i/>
          <w:iCs/>
        </w:rPr>
      </w:pPr>
    </w:p>
    <w:p w14:paraId="4BBAC5C2" w14:textId="77777777" w:rsidR="00EB4B28" w:rsidRDefault="00EB4B28" w:rsidP="00EB4B28">
      <w:pPr>
        <w:pStyle w:val="EndNoteBibliography"/>
        <w:ind w:left="720" w:hanging="720"/>
        <w:jc w:val="both"/>
        <w:rPr>
          <w:rFonts w:asciiTheme="majorHAnsi" w:hAnsiTheme="majorHAnsi" w:cstheme="majorHAnsi"/>
          <w:i/>
          <w:iCs/>
        </w:rPr>
      </w:pPr>
    </w:p>
    <w:p w14:paraId="5741706D" w14:textId="77777777" w:rsidR="00EB4B28" w:rsidRDefault="00EB4B28" w:rsidP="00EB4B28">
      <w:pPr>
        <w:pStyle w:val="EndNoteBibliography"/>
        <w:ind w:left="720" w:hanging="720"/>
        <w:jc w:val="both"/>
        <w:rPr>
          <w:rFonts w:asciiTheme="majorHAnsi" w:hAnsiTheme="majorHAnsi" w:cstheme="majorHAnsi"/>
          <w:i/>
          <w:iCs/>
        </w:rPr>
      </w:pPr>
    </w:p>
    <w:p w14:paraId="0482F458" w14:textId="77777777" w:rsidR="00EB4B28" w:rsidRDefault="00EB4B28" w:rsidP="00EB4B28">
      <w:pPr>
        <w:pStyle w:val="EndNoteBibliography"/>
        <w:ind w:left="720" w:hanging="720"/>
        <w:jc w:val="both"/>
        <w:rPr>
          <w:rFonts w:asciiTheme="majorHAnsi" w:hAnsiTheme="majorHAnsi" w:cstheme="majorHAnsi"/>
          <w:i/>
          <w:iCs/>
        </w:rPr>
      </w:pPr>
    </w:p>
    <w:p w14:paraId="2EE49947" w14:textId="77777777" w:rsidR="00EB4B28" w:rsidRDefault="00EB4B28" w:rsidP="00EB4B28">
      <w:pPr>
        <w:pStyle w:val="EndNoteBibliography"/>
        <w:ind w:left="720" w:hanging="720"/>
        <w:jc w:val="both"/>
        <w:rPr>
          <w:rFonts w:asciiTheme="majorHAnsi" w:hAnsiTheme="majorHAnsi" w:cstheme="majorHAnsi"/>
          <w:i/>
          <w:iCs/>
        </w:rPr>
      </w:pPr>
    </w:p>
    <w:p w14:paraId="12D9134F" w14:textId="77777777" w:rsidR="00EB4B28" w:rsidRDefault="00EB4B28" w:rsidP="00EB4B28">
      <w:pPr>
        <w:pStyle w:val="EndNoteBibliography"/>
        <w:ind w:left="720" w:hanging="720"/>
        <w:jc w:val="both"/>
        <w:rPr>
          <w:rFonts w:asciiTheme="majorHAnsi" w:hAnsiTheme="majorHAnsi" w:cstheme="majorHAnsi"/>
          <w:i/>
          <w:iCs/>
        </w:rPr>
      </w:pPr>
    </w:p>
    <w:p w14:paraId="2CC6815C" w14:textId="77777777" w:rsidR="00EB4B28" w:rsidRDefault="00EB4B28" w:rsidP="00EB4B28">
      <w:pPr>
        <w:pStyle w:val="EndNoteBibliography"/>
        <w:ind w:left="720" w:hanging="720"/>
        <w:jc w:val="both"/>
        <w:rPr>
          <w:rFonts w:asciiTheme="majorHAnsi" w:hAnsiTheme="majorHAnsi" w:cstheme="majorHAnsi"/>
          <w:i/>
          <w:iCs/>
        </w:rPr>
      </w:pPr>
    </w:p>
    <w:p w14:paraId="565D8116" w14:textId="77777777" w:rsidR="00EB4B28" w:rsidRDefault="00EB4B28" w:rsidP="00EB4B28">
      <w:pPr>
        <w:pStyle w:val="EndNoteBibliography"/>
        <w:ind w:left="720" w:hanging="720"/>
        <w:jc w:val="both"/>
        <w:rPr>
          <w:rFonts w:asciiTheme="majorHAnsi" w:hAnsiTheme="majorHAnsi" w:cstheme="majorHAnsi"/>
          <w:i/>
          <w:iCs/>
        </w:rPr>
      </w:pPr>
    </w:p>
    <w:p w14:paraId="5C2DFA96" w14:textId="77777777" w:rsidR="00EB4B28" w:rsidRDefault="00EB4B28" w:rsidP="00EB4B28">
      <w:pPr>
        <w:pStyle w:val="EndNoteBibliography"/>
        <w:ind w:left="720" w:hanging="720"/>
        <w:jc w:val="both"/>
      </w:pPr>
    </w:p>
    <w:p w14:paraId="6AF34546" w14:textId="77777777" w:rsidR="00EB4B28" w:rsidRDefault="00EB4B28" w:rsidP="00EB4B28">
      <w:pPr>
        <w:jc w:val="both"/>
        <w:rPr>
          <w:rFonts w:ascii="Calibri Light" w:hAnsi="Calibri Light"/>
          <w:i/>
          <w:iCs/>
        </w:rPr>
      </w:pPr>
      <w:r>
        <w:rPr>
          <w:rFonts w:ascii="Calibri Light" w:hAnsi="Calibri Light"/>
          <w:i/>
          <w:iCs/>
        </w:rPr>
        <w:t xml:space="preserve">*Analysis conducted by fitting </w:t>
      </w:r>
      <w:proofErr w:type="spellStart"/>
      <w:r>
        <w:rPr>
          <w:rFonts w:ascii="Calibri Light" w:hAnsi="Calibri Light"/>
          <w:i/>
          <w:iCs/>
        </w:rPr>
        <w:t>CoxPH</w:t>
      </w:r>
      <w:proofErr w:type="spellEnd"/>
      <w:r>
        <w:rPr>
          <w:rFonts w:ascii="Calibri Light" w:hAnsi="Calibri Light"/>
          <w:i/>
          <w:iCs/>
        </w:rPr>
        <w:t xml:space="preserve"> model using each of the variables respectively. P-values computed via likelihood ratio test. During model fitting, patients were categorized into “white” and “other races”; “stage III or higher” and “lower stages”; “G3 or higher” and “lower grades”.</w:t>
      </w:r>
    </w:p>
    <w:p w14:paraId="11B58724" w14:textId="77777777" w:rsidR="00EB4B28" w:rsidRPr="00C85B9F" w:rsidRDefault="00EB4B28" w:rsidP="00EB4B28">
      <w:pPr>
        <w:jc w:val="both"/>
        <w:rPr>
          <w:rFonts w:ascii="Calibri Light" w:hAnsi="Calibri Light"/>
        </w:rPr>
      </w:pPr>
    </w:p>
    <w:p w14:paraId="7C0E3B87" w14:textId="77777777" w:rsidR="00EB4B28" w:rsidRDefault="00EB4B28" w:rsidP="00EB4B28">
      <w:pPr>
        <w:jc w:val="both"/>
        <w:rPr>
          <w:rFonts w:ascii="Calibri Light" w:hAnsi="Calibri Light"/>
          <w:i/>
          <w:iCs/>
        </w:rPr>
      </w:pPr>
    </w:p>
    <w:p w14:paraId="490EA6E0" w14:textId="77777777" w:rsidR="00EB4B28" w:rsidRDefault="00EB4B28" w:rsidP="00EB4B28">
      <w:pPr>
        <w:jc w:val="both"/>
        <w:rPr>
          <w:rFonts w:ascii="Calibri Light" w:hAnsi="Calibri Light"/>
          <w:i/>
          <w:iCs/>
        </w:rPr>
      </w:pPr>
    </w:p>
    <w:p w14:paraId="5224AA87" w14:textId="77777777" w:rsidR="00EB4B28" w:rsidRDefault="00EB4B28" w:rsidP="00EB4B28">
      <w:pPr>
        <w:jc w:val="both"/>
        <w:rPr>
          <w:rFonts w:ascii="Calibri Light" w:hAnsi="Calibri Light"/>
          <w:i/>
          <w:iCs/>
        </w:rPr>
      </w:pPr>
    </w:p>
    <w:p w14:paraId="63AEDE00" w14:textId="77777777" w:rsidR="00EB4B28" w:rsidRDefault="00EB4B28" w:rsidP="00EB4B28">
      <w:pPr>
        <w:jc w:val="both"/>
        <w:rPr>
          <w:rFonts w:ascii="Calibri Light" w:hAnsi="Calibri Light"/>
          <w:i/>
          <w:iCs/>
        </w:rPr>
      </w:pPr>
    </w:p>
    <w:p w14:paraId="4687817D" w14:textId="77777777" w:rsidR="00EB4B28" w:rsidRDefault="00EB4B28" w:rsidP="00EB4B28">
      <w:pPr>
        <w:jc w:val="both"/>
        <w:rPr>
          <w:rFonts w:ascii="Calibri Light" w:hAnsi="Calibri Light"/>
          <w:i/>
          <w:iCs/>
        </w:rPr>
      </w:pPr>
    </w:p>
    <w:p w14:paraId="577F69EE" w14:textId="77777777" w:rsidR="00EB4B28" w:rsidRDefault="00EB4B28" w:rsidP="00EB4B28">
      <w:pPr>
        <w:jc w:val="both"/>
        <w:rPr>
          <w:rFonts w:ascii="Calibri Light" w:hAnsi="Calibri Light"/>
          <w:i/>
          <w:iCs/>
        </w:rPr>
      </w:pPr>
    </w:p>
    <w:p w14:paraId="4E0FC147" w14:textId="77777777" w:rsidR="00EB4B28" w:rsidRDefault="00EB4B28" w:rsidP="00EB4B28">
      <w:pPr>
        <w:jc w:val="both"/>
        <w:rPr>
          <w:rFonts w:ascii="Calibri Light" w:hAnsi="Calibri Light"/>
          <w:i/>
          <w:iCs/>
        </w:rPr>
      </w:pPr>
    </w:p>
    <w:p w14:paraId="4D769742" w14:textId="77777777" w:rsidR="00EB4B28" w:rsidRDefault="00EB4B28" w:rsidP="00EB4B28">
      <w:pPr>
        <w:jc w:val="both"/>
        <w:rPr>
          <w:rFonts w:ascii="Calibri Light" w:hAnsi="Calibri Light"/>
          <w:i/>
          <w:iCs/>
        </w:rPr>
      </w:pPr>
    </w:p>
    <w:p w14:paraId="5995B058" w14:textId="77777777" w:rsidR="00EB4B28" w:rsidRDefault="00EB4B28" w:rsidP="00EB4B28">
      <w:pPr>
        <w:jc w:val="both"/>
        <w:rPr>
          <w:rFonts w:ascii="Calibri Light" w:hAnsi="Calibri Light"/>
          <w:i/>
          <w:iCs/>
        </w:rPr>
      </w:pPr>
    </w:p>
    <w:p w14:paraId="5E9AF2FD" w14:textId="77777777" w:rsidR="00EB4B28" w:rsidRPr="00EC75D1" w:rsidRDefault="00EB4B28" w:rsidP="00EB4B28">
      <w:pPr>
        <w:jc w:val="both"/>
        <w:rPr>
          <w:rFonts w:cstheme="minorHAnsi"/>
        </w:rPr>
      </w:pPr>
      <w:r w:rsidRPr="00EC75D1">
        <w:rPr>
          <w:rFonts w:cstheme="minorHAnsi"/>
        </w:rPr>
        <w:lastRenderedPageBreak/>
        <w:t>Detailed information about the GDC pipeline</w:t>
      </w:r>
      <w:r>
        <w:rPr>
          <w:rFonts w:cstheme="minorHAnsi"/>
        </w:rPr>
        <w:t>s</w:t>
      </w:r>
      <w:r w:rsidRPr="00EC75D1">
        <w:rPr>
          <w:rFonts w:cstheme="minorHAnsi"/>
        </w:rPr>
        <w:t xml:space="preserve"> applied to generate the gene and miRNA expression data on UCSC </w:t>
      </w:r>
      <w:proofErr w:type="spellStart"/>
      <w:r w:rsidRPr="00EC75D1">
        <w:rPr>
          <w:rFonts w:cstheme="minorHAnsi"/>
        </w:rPr>
        <w:t>Xena</w:t>
      </w:r>
      <w:proofErr w:type="spellEnd"/>
      <w:r w:rsidRPr="00EC75D1">
        <w:rPr>
          <w:rFonts w:cstheme="minorHAnsi"/>
        </w:rPr>
        <w:t xml:space="preserve"> portal can be found on the following websites: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34"/>
        <w:gridCol w:w="7416"/>
      </w:tblGrid>
      <w:tr w:rsidR="00EB4B28" w:rsidRPr="00EC75D1" w14:paraId="2FDA5258" w14:textId="77777777" w:rsidTr="00072694">
        <w:tc>
          <w:tcPr>
            <w:tcW w:w="2049" w:type="dxa"/>
          </w:tcPr>
          <w:p w14:paraId="7968B7A3" w14:textId="77777777" w:rsidR="00EB4B28" w:rsidRPr="00EC75D1" w:rsidRDefault="00EB4B28" w:rsidP="00072694">
            <w:pPr>
              <w:jc w:val="both"/>
              <w:rPr>
                <w:rFonts w:cstheme="minorHAnsi"/>
              </w:rPr>
            </w:pPr>
            <w:r w:rsidRPr="00EC75D1">
              <w:rPr>
                <w:rFonts w:cstheme="minorHAnsi"/>
              </w:rPr>
              <w:t xml:space="preserve">Gene expression </w:t>
            </w:r>
            <w:proofErr w:type="spellStart"/>
            <w:r w:rsidRPr="00EC75D1">
              <w:rPr>
                <w:rFonts w:cstheme="minorHAnsi"/>
              </w:rPr>
              <w:t>RNAseq</w:t>
            </w:r>
            <w:proofErr w:type="spellEnd"/>
          </w:p>
        </w:tc>
        <w:tc>
          <w:tcPr>
            <w:tcW w:w="7301" w:type="dxa"/>
          </w:tcPr>
          <w:p w14:paraId="4159DF5A" w14:textId="77777777" w:rsidR="00EB4B28" w:rsidRPr="00EC75D1" w:rsidRDefault="00EB4B28" w:rsidP="00072694">
            <w:pPr>
              <w:jc w:val="both"/>
              <w:rPr>
                <w:rFonts w:cstheme="minorHAnsi"/>
                <w:sz w:val="20"/>
                <w:szCs w:val="20"/>
              </w:rPr>
            </w:pPr>
            <w:r w:rsidRPr="00EC75D1">
              <w:rPr>
                <w:rFonts w:cstheme="minorHAnsi"/>
                <w:sz w:val="20"/>
                <w:szCs w:val="20"/>
              </w:rPr>
              <w:t>https://docs.gdc.cancer.gov/Data/Bioinformatics_Pipelines/Expression_mRNA_Pipeline/</w:t>
            </w:r>
          </w:p>
        </w:tc>
      </w:tr>
      <w:tr w:rsidR="00EB4B28" w:rsidRPr="00EC75D1" w14:paraId="56B0EFCF" w14:textId="77777777" w:rsidTr="00072694">
        <w:tc>
          <w:tcPr>
            <w:tcW w:w="2049" w:type="dxa"/>
          </w:tcPr>
          <w:p w14:paraId="6595BADB" w14:textId="77777777" w:rsidR="00EB4B28" w:rsidRPr="00EC75D1" w:rsidRDefault="00EB4B28" w:rsidP="00072694">
            <w:pPr>
              <w:jc w:val="both"/>
              <w:rPr>
                <w:rFonts w:cstheme="minorHAnsi"/>
              </w:rPr>
            </w:pPr>
            <w:r w:rsidRPr="00EC75D1">
              <w:rPr>
                <w:rFonts w:cstheme="minorHAnsi"/>
              </w:rPr>
              <w:t>MiRNA expression quantification</w:t>
            </w:r>
          </w:p>
        </w:tc>
        <w:tc>
          <w:tcPr>
            <w:tcW w:w="7301" w:type="dxa"/>
          </w:tcPr>
          <w:p w14:paraId="3C2E48F0" w14:textId="77777777" w:rsidR="00EB4B28" w:rsidRPr="00EC75D1" w:rsidRDefault="00EB4B28" w:rsidP="00072694">
            <w:pPr>
              <w:jc w:val="both"/>
              <w:rPr>
                <w:rFonts w:cstheme="minorHAnsi"/>
                <w:sz w:val="20"/>
                <w:szCs w:val="20"/>
              </w:rPr>
            </w:pPr>
            <w:r w:rsidRPr="00EC75D1">
              <w:rPr>
                <w:rFonts w:cstheme="minorHAnsi"/>
                <w:sz w:val="20"/>
                <w:szCs w:val="20"/>
              </w:rPr>
              <w:t>https://docs.gdc.cancer.gov/Data/Bioinformatics_Pipelines/miRNA_Pipeline/</w:t>
            </w:r>
          </w:p>
        </w:tc>
      </w:tr>
    </w:tbl>
    <w:p w14:paraId="5CECC31F" w14:textId="77777777" w:rsidR="00EB4B28" w:rsidRPr="00EC75D1" w:rsidRDefault="00EB4B28" w:rsidP="00EB4B28">
      <w:pPr>
        <w:jc w:val="both"/>
        <w:rPr>
          <w:rFonts w:cstheme="minorHAnsi"/>
        </w:rPr>
      </w:pPr>
    </w:p>
    <w:p w14:paraId="02065DD3" w14:textId="77777777" w:rsidR="00EB4B28" w:rsidRPr="00EC75D1" w:rsidRDefault="00EB4B28" w:rsidP="00EB4B28">
      <w:pPr>
        <w:jc w:val="both"/>
        <w:rPr>
          <w:rFonts w:cstheme="minorHAnsi"/>
        </w:rPr>
      </w:pPr>
      <w:r w:rsidRPr="00EC75D1">
        <w:rPr>
          <w:rFonts w:cstheme="minorHAnsi"/>
        </w:rPr>
        <w:t xml:space="preserve">We obtained chromosome information for the genes using R package </w:t>
      </w:r>
      <w:proofErr w:type="spellStart"/>
      <w:r w:rsidRPr="00EC75D1">
        <w:rPr>
          <w:rFonts w:cstheme="minorHAnsi"/>
          <w:i/>
          <w:iCs/>
        </w:rPr>
        <w:t>biomaRt</w:t>
      </w:r>
      <w:proofErr w:type="spellEnd"/>
      <w:r w:rsidRPr="00EC75D1">
        <w:rPr>
          <w:rFonts w:cstheme="minorHAnsi"/>
        </w:rPr>
        <w:t xml:space="preserve">. </w:t>
      </w:r>
      <w:proofErr w:type="spellStart"/>
      <w:r w:rsidRPr="00EC75D1">
        <w:rPr>
          <w:rFonts w:cstheme="minorHAnsi"/>
        </w:rPr>
        <w:t>Xena</w:t>
      </w:r>
      <w:proofErr w:type="spellEnd"/>
      <w:r w:rsidRPr="00EC75D1">
        <w:rPr>
          <w:rFonts w:cstheme="minorHAnsi"/>
        </w:rPr>
        <w:t xml:space="preserve"> portal provides </w:t>
      </w:r>
      <w:r>
        <w:rPr>
          <w:rFonts w:cstheme="minorHAnsi"/>
        </w:rPr>
        <w:t>E</w:t>
      </w:r>
      <w:r w:rsidRPr="00EC75D1">
        <w:rPr>
          <w:rFonts w:cstheme="minorHAnsi"/>
        </w:rPr>
        <w:t>nsemble IDs for the genes. During preprocessing, a gene was removed if its ID cannot get a matched chromosome.</w:t>
      </w:r>
    </w:p>
    <w:p w14:paraId="494A07CC" w14:textId="77777777" w:rsidR="00EB4B28" w:rsidRPr="007D27B5" w:rsidRDefault="00EB4B28" w:rsidP="00EB4B28">
      <w:pPr>
        <w:jc w:val="both"/>
        <w:rPr>
          <w:rFonts w:asciiTheme="majorHAnsi" w:hAnsiTheme="majorHAnsi" w:cstheme="majorHAnsi"/>
          <w:i/>
          <w:iCs/>
        </w:rPr>
      </w:pPr>
      <w:r w:rsidRPr="005051C4">
        <w:rPr>
          <w:rFonts w:asciiTheme="majorHAnsi" w:hAnsiTheme="majorHAnsi" w:cstheme="majorHAnsi"/>
          <w:i/>
          <w:iCs/>
        </w:rPr>
        <w:t xml:space="preserve">Supplementary </w:t>
      </w:r>
      <w:r w:rsidRPr="007D27B5">
        <w:rPr>
          <w:rFonts w:asciiTheme="majorHAnsi" w:hAnsiTheme="majorHAnsi" w:cstheme="majorHAnsi"/>
          <w:i/>
          <w:iCs/>
        </w:rPr>
        <w:t>Table 2: Summary of the gene/miRNA expression data</w:t>
      </w:r>
    </w:p>
    <w:tbl>
      <w:tblPr>
        <w:tblStyle w:val="TableGrid"/>
        <w:tblpPr w:leftFromText="180" w:rightFromText="180" w:vertAnchor="text" w:horzAnchor="margin" w:tblpY="1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0"/>
        <w:gridCol w:w="4045"/>
        <w:gridCol w:w="3865"/>
      </w:tblGrid>
      <w:tr w:rsidR="00EB4B28" w:rsidRPr="007D27B5" w14:paraId="71C60EF1" w14:textId="77777777" w:rsidTr="00072694">
        <w:tc>
          <w:tcPr>
            <w:tcW w:w="1440" w:type="dxa"/>
          </w:tcPr>
          <w:p w14:paraId="3819F408" w14:textId="77777777" w:rsidR="00EB4B28" w:rsidRPr="007D27B5" w:rsidRDefault="00EB4B28" w:rsidP="00072694">
            <w:pPr>
              <w:jc w:val="both"/>
              <w:rPr>
                <w:rFonts w:asciiTheme="majorHAnsi" w:hAnsiTheme="majorHAnsi" w:cstheme="majorHAnsi"/>
              </w:rPr>
            </w:pPr>
            <w:r w:rsidRPr="007D27B5">
              <w:rPr>
                <w:rFonts w:asciiTheme="majorHAnsi" w:hAnsiTheme="majorHAnsi" w:cstheme="majorHAnsi"/>
              </w:rPr>
              <w:t>Dataset</w:t>
            </w:r>
          </w:p>
        </w:tc>
        <w:tc>
          <w:tcPr>
            <w:tcW w:w="4045" w:type="dxa"/>
          </w:tcPr>
          <w:p w14:paraId="56B395FF" w14:textId="77777777" w:rsidR="00EB4B28" w:rsidRPr="007D27B5" w:rsidRDefault="00EB4B28" w:rsidP="00072694">
            <w:pPr>
              <w:jc w:val="both"/>
              <w:rPr>
                <w:rFonts w:asciiTheme="majorHAnsi" w:hAnsiTheme="majorHAnsi" w:cstheme="majorHAnsi"/>
              </w:rPr>
            </w:pPr>
            <w:r w:rsidRPr="007D27B5">
              <w:rPr>
                <w:rFonts w:asciiTheme="majorHAnsi" w:hAnsiTheme="majorHAnsi" w:cstheme="majorHAnsi"/>
              </w:rPr>
              <w:t>Number of features before filtering process and adaptation for pathway-masking design: genes / miRNAs</w:t>
            </w:r>
          </w:p>
        </w:tc>
        <w:tc>
          <w:tcPr>
            <w:tcW w:w="3865" w:type="dxa"/>
          </w:tcPr>
          <w:p w14:paraId="428E2F3A" w14:textId="77777777" w:rsidR="00EB4B28" w:rsidRPr="007D27B5" w:rsidRDefault="00EB4B28" w:rsidP="00072694">
            <w:pPr>
              <w:jc w:val="both"/>
              <w:rPr>
                <w:rFonts w:asciiTheme="majorHAnsi" w:hAnsiTheme="majorHAnsi" w:cstheme="majorHAnsi"/>
              </w:rPr>
            </w:pPr>
            <w:r w:rsidRPr="007D27B5">
              <w:rPr>
                <w:rFonts w:asciiTheme="majorHAnsi" w:hAnsiTheme="majorHAnsi" w:cstheme="majorHAnsi"/>
              </w:rPr>
              <w:t>Number of features after filtering process and adaptation for pathway-masking design: genes / miRNAs</w:t>
            </w:r>
          </w:p>
          <w:p w14:paraId="63B6AADF" w14:textId="77777777" w:rsidR="00EB4B28" w:rsidRPr="007D27B5" w:rsidRDefault="00EB4B28" w:rsidP="00072694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EB4B28" w:rsidRPr="007D27B5" w14:paraId="10694C4F" w14:textId="77777777" w:rsidTr="00072694">
        <w:tc>
          <w:tcPr>
            <w:tcW w:w="1440" w:type="dxa"/>
          </w:tcPr>
          <w:p w14:paraId="56381CE6" w14:textId="77777777" w:rsidR="00EB4B28" w:rsidRPr="007D27B5" w:rsidRDefault="00EB4B28" w:rsidP="00072694">
            <w:pPr>
              <w:jc w:val="both"/>
              <w:rPr>
                <w:rFonts w:asciiTheme="majorHAnsi" w:hAnsiTheme="majorHAnsi" w:cstheme="majorHAnsi"/>
              </w:rPr>
            </w:pPr>
            <w:r w:rsidRPr="007D27B5">
              <w:rPr>
                <w:rFonts w:asciiTheme="majorHAnsi" w:hAnsiTheme="majorHAnsi" w:cstheme="majorHAnsi"/>
              </w:rPr>
              <w:t>TCGA-BRCA</w:t>
            </w:r>
          </w:p>
        </w:tc>
        <w:tc>
          <w:tcPr>
            <w:tcW w:w="4045" w:type="dxa"/>
          </w:tcPr>
          <w:p w14:paraId="41B98C61" w14:textId="77777777" w:rsidR="00EB4B28" w:rsidRPr="007D27B5" w:rsidRDefault="00EB4B28" w:rsidP="00072694">
            <w:pPr>
              <w:jc w:val="both"/>
              <w:rPr>
                <w:rFonts w:asciiTheme="majorHAnsi" w:hAnsiTheme="majorHAnsi" w:cstheme="majorHAnsi"/>
              </w:rPr>
            </w:pPr>
            <w:r w:rsidRPr="007D27B5">
              <w:rPr>
                <w:rFonts w:asciiTheme="majorHAnsi" w:hAnsiTheme="majorHAnsi" w:cstheme="majorHAnsi"/>
              </w:rPr>
              <w:t>60,483 / 1,881</w:t>
            </w:r>
          </w:p>
        </w:tc>
        <w:tc>
          <w:tcPr>
            <w:tcW w:w="3865" w:type="dxa"/>
          </w:tcPr>
          <w:p w14:paraId="064B4380" w14:textId="77777777" w:rsidR="00EB4B28" w:rsidRPr="007D27B5" w:rsidRDefault="00EB4B28" w:rsidP="00072694">
            <w:pPr>
              <w:jc w:val="both"/>
              <w:rPr>
                <w:rFonts w:asciiTheme="majorHAnsi" w:hAnsiTheme="majorHAnsi" w:cstheme="majorHAnsi"/>
              </w:rPr>
            </w:pPr>
            <w:r w:rsidRPr="007D27B5">
              <w:rPr>
                <w:rFonts w:asciiTheme="majorHAnsi" w:hAnsiTheme="majorHAnsi" w:cstheme="majorHAnsi"/>
              </w:rPr>
              <w:t>2,699 / 516</w:t>
            </w:r>
          </w:p>
        </w:tc>
      </w:tr>
      <w:tr w:rsidR="00EB4B28" w:rsidRPr="007D27B5" w14:paraId="16817627" w14:textId="77777777" w:rsidTr="00072694">
        <w:tc>
          <w:tcPr>
            <w:tcW w:w="1440" w:type="dxa"/>
          </w:tcPr>
          <w:p w14:paraId="32A13F21" w14:textId="77777777" w:rsidR="00EB4B28" w:rsidRPr="007D27B5" w:rsidRDefault="00EB4B28" w:rsidP="00072694">
            <w:pPr>
              <w:jc w:val="both"/>
              <w:rPr>
                <w:rFonts w:asciiTheme="majorHAnsi" w:hAnsiTheme="majorHAnsi" w:cstheme="majorHAnsi"/>
              </w:rPr>
            </w:pPr>
            <w:r w:rsidRPr="007D27B5">
              <w:rPr>
                <w:rFonts w:asciiTheme="majorHAnsi" w:hAnsiTheme="majorHAnsi" w:cstheme="majorHAnsi"/>
              </w:rPr>
              <w:t>TCGA-OV</w:t>
            </w:r>
          </w:p>
        </w:tc>
        <w:tc>
          <w:tcPr>
            <w:tcW w:w="4045" w:type="dxa"/>
          </w:tcPr>
          <w:p w14:paraId="6EFF92F4" w14:textId="77777777" w:rsidR="00EB4B28" w:rsidRPr="007D27B5" w:rsidRDefault="00EB4B28" w:rsidP="00072694">
            <w:pPr>
              <w:jc w:val="both"/>
              <w:rPr>
                <w:rFonts w:asciiTheme="majorHAnsi" w:hAnsiTheme="majorHAnsi" w:cstheme="majorHAnsi"/>
              </w:rPr>
            </w:pPr>
            <w:r w:rsidRPr="007D27B5">
              <w:rPr>
                <w:rFonts w:asciiTheme="majorHAnsi" w:hAnsiTheme="majorHAnsi" w:cstheme="majorHAnsi"/>
              </w:rPr>
              <w:t>60,483 / 1,881</w:t>
            </w:r>
          </w:p>
        </w:tc>
        <w:tc>
          <w:tcPr>
            <w:tcW w:w="3865" w:type="dxa"/>
          </w:tcPr>
          <w:p w14:paraId="5DB57CCC" w14:textId="77777777" w:rsidR="00EB4B28" w:rsidRPr="007D27B5" w:rsidRDefault="00EB4B28" w:rsidP="00072694">
            <w:pPr>
              <w:jc w:val="both"/>
              <w:rPr>
                <w:rFonts w:asciiTheme="majorHAnsi" w:hAnsiTheme="majorHAnsi" w:cstheme="majorHAnsi"/>
              </w:rPr>
            </w:pPr>
            <w:r w:rsidRPr="007D27B5">
              <w:rPr>
                <w:rFonts w:asciiTheme="majorHAnsi" w:hAnsiTheme="majorHAnsi" w:cstheme="majorHAnsi"/>
              </w:rPr>
              <w:t>5,147 / 865</w:t>
            </w:r>
          </w:p>
        </w:tc>
      </w:tr>
    </w:tbl>
    <w:p w14:paraId="7F9E7A0D" w14:textId="77777777" w:rsidR="00EB4B28" w:rsidRPr="007D27B5" w:rsidRDefault="00EB4B28" w:rsidP="00EB4B28">
      <w:pPr>
        <w:jc w:val="both"/>
        <w:rPr>
          <w:rFonts w:asciiTheme="majorHAnsi" w:hAnsiTheme="majorHAnsi" w:cstheme="majorHAnsi"/>
          <w:i/>
          <w:iCs/>
        </w:rPr>
      </w:pPr>
      <w:r w:rsidRPr="007D27B5">
        <w:rPr>
          <w:rFonts w:asciiTheme="majorHAnsi" w:hAnsiTheme="majorHAnsi" w:cstheme="majorHAnsi"/>
          <w:i/>
          <w:iCs/>
        </w:rPr>
        <w:t xml:space="preserve">For the filtering process, we first filtered out genes that are not on the autosomes or X chromosome, then the original expression data were min-max normalized across all patients in the tuning set and genes/miRNAs with variance of &lt; 0.02 were excluded. </w:t>
      </w:r>
      <w:r w:rsidRPr="007D27B5">
        <w:rPr>
          <w:rFonts w:asciiTheme="majorHAnsi" w:hAnsiTheme="majorHAnsi" w:cstheme="majorHAnsi"/>
        </w:rPr>
        <w:t>Adaptation for pathway-masking design:</w:t>
      </w:r>
      <w:r w:rsidRPr="007D27B5">
        <w:rPr>
          <w:rFonts w:asciiTheme="majorHAnsi" w:hAnsiTheme="majorHAnsi" w:cstheme="majorHAnsi"/>
          <w:i/>
          <w:iCs/>
        </w:rPr>
        <w:t xml:space="preserve"> Genes that do not belong to any of the </w:t>
      </w:r>
      <w:proofErr w:type="spellStart"/>
      <w:r w:rsidRPr="007D27B5">
        <w:rPr>
          <w:rFonts w:asciiTheme="majorHAnsi" w:hAnsiTheme="majorHAnsi" w:cstheme="majorHAnsi"/>
          <w:i/>
          <w:iCs/>
        </w:rPr>
        <w:t>Reactome</w:t>
      </w:r>
      <w:proofErr w:type="spellEnd"/>
      <w:r w:rsidRPr="007D27B5">
        <w:rPr>
          <w:rFonts w:asciiTheme="majorHAnsi" w:hAnsiTheme="majorHAnsi" w:cstheme="majorHAnsi"/>
          <w:i/>
          <w:iCs/>
        </w:rPr>
        <w:t xml:space="preserve"> pathways were excluded. TCGA-BRCA: GDC TCGA Breast Cancer cohort; TCGA-OV: GDC TCGA Ovarian Cancer cohort.</w:t>
      </w:r>
    </w:p>
    <w:p w14:paraId="7DBD344A" w14:textId="77777777" w:rsidR="00EB4B28" w:rsidRDefault="00EB4B28" w:rsidP="00EB4B28">
      <w:pPr>
        <w:jc w:val="both"/>
        <w:rPr>
          <w:rFonts w:asciiTheme="majorHAnsi" w:hAnsiTheme="majorHAnsi" w:cstheme="majorHAnsi"/>
          <w:i/>
          <w:iCs/>
        </w:rPr>
      </w:pPr>
    </w:p>
    <w:p w14:paraId="5E8BE68E" w14:textId="77777777" w:rsidR="00EB4B28" w:rsidRDefault="00EB4B28" w:rsidP="00EB4B28">
      <w:pPr>
        <w:jc w:val="both"/>
        <w:rPr>
          <w:rFonts w:asciiTheme="majorHAnsi" w:hAnsiTheme="majorHAnsi" w:cstheme="majorHAnsi"/>
          <w:i/>
          <w:iCs/>
        </w:rPr>
      </w:pPr>
    </w:p>
    <w:p w14:paraId="3818B02D" w14:textId="77777777" w:rsidR="00EB4B28" w:rsidRDefault="00EB4B28" w:rsidP="00EB4B28">
      <w:pPr>
        <w:jc w:val="both"/>
        <w:rPr>
          <w:rFonts w:asciiTheme="majorHAnsi" w:hAnsiTheme="majorHAnsi" w:cstheme="majorHAnsi"/>
          <w:i/>
          <w:iCs/>
        </w:rPr>
      </w:pPr>
    </w:p>
    <w:p w14:paraId="262B78FA" w14:textId="77777777" w:rsidR="00EB4B28" w:rsidRDefault="00EB4B28" w:rsidP="00EB4B28">
      <w:pPr>
        <w:jc w:val="both"/>
        <w:rPr>
          <w:rFonts w:asciiTheme="majorHAnsi" w:hAnsiTheme="majorHAnsi" w:cstheme="majorHAnsi"/>
          <w:i/>
          <w:iCs/>
        </w:rPr>
      </w:pPr>
    </w:p>
    <w:p w14:paraId="6CCCE55C" w14:textId="77777777" w:rsidR="00EB4B28" w:rsidRDefault="00EB4B28" w:rsidP="00EB4B28">
      <w:pPr>
        <w:jc w:val="both"/>
        <w:rPr>
          <w:rFonts w:asciiTheme="majorHAnsi" w:hAnsiTheme="majorHAnsi" w:cstheme="majorHAnsi"/>
          <w:i/>
          <w:iCs/>
        </w:rPr>
      </w:pPr>
    </w:p>
    <w:p w14:paraId="0B87F2C3" w14:textId="77777777" w:rsidR="00EB4B28" w:rsidRDefault="00EB4B28" w:rsidP="00EB4B28">
      <w:pPr>
        <w:jc w:val="both"/>
        <w:rPr>
          <w:rFonts w:asciiTheme="majorHAnsi" w:hAnsiTheme="majorHAnsi" w:cstheme="majorHAnsi"/>
          <w:i/>
          <w:iCs/>
        </w:rPr>
      </w:pPr>
    </w:p>
    <w:p w14:paraId="7978CB86" w14:textId="77777777" w:rsidR="00EB4B28" w:rsidRDefault="00EB4B28" w:rsidP="00EB4B28">
      <w:pPr>
        <w:jc w:val="both"/>
        <w:rPr>
          <w:rFonts w:asciiTheme="majorHAnsi" w:hAnsiTheme="majorHAnsi" w:cstheme="majorHAnsi"/>
          <w:i/>
          <w:iCs/>
        </w:rPr>
      </w:pPr>
    </w:p>
    <w:p w14:paraId="2A24C5B9" w14:textId="77777777" w:rsidR="00EB4B28" w:rsidRDefault="00EB4B28" w:rsidP="00EB4B28">
      <w:pPr>
        <w:jc w:val="both"/>
        <w:rPr>
          <w:rFonts w:asciiTheme="majorHAnsi" w:hAnsiTheme="majorHAnsi" w:cstheme="majorHAnsi"/>
          <w:i/>
          <w:iCs/>
        </w:rPr>
      </w:pPr>
    </w:p>
    <w:p w14:paraId="5FC20F5D" w14:textId="77777777" w:rsidR="00EB4B28" w:rsidRDefault="00EB4B28" w:rsidP="00EB4B28">
      <w:pPr>
        <w:jc w:val="both"/>
        <w:rPr>
          <w:rFonts w:asciiTheme="majorHAnsi" w:hAnsiTheme="majorHAnsi" w:cstheme="majorHAnsi"/>
          <w:i/>
          <w:iCs/>
        </w:rPr>
      </w:pPr>
    </w:p>
    <w:p w14:paraId="32D455BA" w14:textId="77777777" w:rsidR="00EB4B28" w:rsidRDefault="00EB4B28" w:rsidP="00EB4B28">
      <w:pPr>
        <w:jc w:val="both"/>
        <w:rPr>
          <w:rFonts w:asciiTheme="majorHAnsi" w:hAnsiTheme="majorHAnsi" w:cstheme="majorHAnsi"/>
          <w:i/>
          <w:iCs/>
        </w:rPr>
      </w:pPr>
    </w:p>
    <w:p w14:paraId="16E98C7A" w14:textId="77777777" w:rsidR="00EB4B28" w:rsidRDefault="00EB4B28" w:rsidP="00EB4B28">
      <w:pPr>
        <w:jc w:val="both"/>
        <w:rPr>
          <w:rFonts w:asciiTheme="majorHAnsi" w:hAnsiTheme="majorHAnsi" w:cstheme="majorHAnsi"/>
          <w:i/>
          <w:iCs/>
        </w:rPr>
      </w:pPr>
    </w:p>
    <w:p w14:paraId="18BED7E0" w14:textId="77777777" w:rsidR="00EB4B28" w:rsidRDefault="00EB4B28" w:rsidP="00EB4B28">
      <w:pPr>
        <w:jc w:val="both"/>
        <w:rPr>
          <w:rFonts w:asciiTheme="majorHAnsi" w:hAnsiTheme="majorHAnsi" w:cstheme="majorHAnsi"/>
          <w:i/>
          <w:iCs/>
        </w:rPr>
      </w:pPr>
    </w:p>
    <w:p w14:paraId="6C6C5EA6" w14:textId="77777777" w:rsidR="00EB4B28" w:rsidRDefault="00EB4B28" w:rsidP="00EB4B28">
      <w:pPr>
        <w:jc w:val="both"/>
        <w:rPr>
          <w:rFonts w:asciiTheme="majorHAnsi" w:hAnsiTheme="majorHAnsi" w:cstheme="majorHAnsi"/>
          <w:i/>
          <w:iCs/>
        </w:rPr>
      </w:pPr>
    </w:p>
    <w:p w14:paraId="147801F0" w14:textId="77777777" w:rsidR="00EB4B28" w:rsidRPr="004D5146" w:rsidRDefault="00EB4B28" w:rsidP="00EB4B28">
      <w:pPr>
        <w:rPr>
          <w:rFonts w:asciiTheme="majorHAnsi" w:hAnsiTheme="majorHAnsi" w:cstheme="majorHAnsi"/>
          <w:i/>
          <w:iCs/>
        </w:rPr>
      </w:pPr>
      <w:r w:rsidRPr="005051C4">
        <w:rPr>
          <w:rFonts w:ascii="Calibri" w:hAnsi="Calibri" w:cs="Calibri"/>
          <w:i/>
          <w:iCs/>
        </w:rPr>
        <w:lastRenderedPageBreak/>
        <w:t>Supplementary</w:t>
      </w:r>
      <w:r w:rsidRPr="004D5146">
        <w:rPr>
          <w:rFonts w:ascii="Calibri" w:hAnsi="Calibri" w:cs="Calibri"/>
          <w:i/>
          <w:iCs/>
        </w:rPr>
        <w:t xml:space="preserve"> Table 3.1 – Hyperparameters for KL-PMVAE</w:t>
      </w:r>
    </w:p>
    <w:tbl>
      <w:tblPr>
        <w:tblStyle w:val="TableGrid"/>
        <w:tblpPr w:leftFromText="180" w:rightFromText="180" w:vertAnchor="page" w:horzAnchor="margin" w:tblpY="1831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B4B28" w14:paraId="0A1EA38E" w14:textId="77777777" w:rsidTr="00072694">
        <w:tc>
          <w:tcPr>
            <w:tcW w:w="4675" w:type="dxa"/>
          </w:tcPr>
          <w:p w14:paraId="5AEF22F0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b/>
                <w:bCs/>
                <w:i/>
                <w:iCs/>
              </w:rPr>
            </w:pPr>
            <w:r w:rsidRPr="0008506D">
              <w:rPr>
                <w:rFonts w:ascii="Calibri" w:hAnsi="Calibri" w:cs="Calibri"/>
                <w:b/>
                <w:bCs/>
                <w:i/>
                <w:iCs/>
              </w:rPr>
              <w:t>Hyperparameter</w:t>
            </w:r>
          </w:p>
        </w:tc>
        <w:tc>
          <w:tcPr>
            <w:tcW w:w="4675" w:type="dxa"/>
          </w:tcPr>
          <w:p w14:paraId="231C275B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b/>
                <w:bCs/>
                <w:i/>
                <w:iCs/>
              </w:rPr>
            </w:pPr>
            <w:r w:rsidRPr="0008506D">
              <w:rPr>
                <w:rFonts w:ascii="Calibri" w:hAnsi="Calibri" w:cs="Calibri"/>
                <w:b/>
                <w:bCs/>
                <w:i/>
                <w:iCs/>
              </w:rPr>
              <w:t>Values tuned</w:t>
            </w:r>
          </w:p>
        </w:tc>
      </w:tr>
      <w:tr w:rsidR="00EB4B28" w14:paraId="673A0754" w14:textId="77777777" w:rsidTr="00072694">
        <w:tc>
          <w:tcPr>
            <w:tcW w:w="4675" w:type="dxa"/>
          </w:tcPr>
          <w:p w14:paraId="54753BBA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i/>
                <w:iCs/>
              </w:rPr>
            </w:pPr>
            <w:r w:rsidRPr="0008506D">
              <w:rPr>
                <w:rFonts w:ascii="Calibri" w:hAnsi="Calibri" w:cs="Calibri"/>
                <w:i/>
                <w:iCs/>
              </w:rPr>
              <w:t>Number of latent features in bottleneck layer</w:t>
            </w:r>
          </w:p>
        </w:tc>
        <w:tc>
          <w:tcPr>
            <w:tcW w:w="4675" w:type="dxa"/>
          </w:tcPr>
          <w:p w14:paraId="308130CD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i/>
                <w:iCs/>
              </w:rPr>
            </w:pPr>
            <w:r w:rsidRPr="0008506D">
              <w:rPr>
                <w:rFonts w:ascii="Calibri" w:hAnsi="Calibri" w:cs="Calibri"/>
                <w:i/>
                <w:iCs/>
              </w:rPr>
              <w:t>8, 16, 32, 64</w:t>
            </w:r>
          </w:p>
        </w:tc>
      </w:tr>
      <w:tr w:rsidR="00EB4B28" w14:paraId="3106C4C0" w14:textId="77777777" w:rsidTr="00072694">
        <w:tc>
          <w:tcPr>
            <w:tcW w:w="4675" w:type="dxa"/>
          </w:tcPr>
          <w:p w14:paraId="38382012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i/>
                <w:iCs/>
              </w:rPr>
            </w:pPr>
            <w:r w:rsidRPr="0008506D">
              <w:rPr>
                <w:rFonts w:ascii="Calibri" w:hAnsi="Calibri" w:cs="Calibri"/>
                <w:i/>
                <w:iCs/>
              </w:rPr>
              <w:t>Learning rate</w:t>
            </w:r>
          </w:p>
        </w:tc>
        <w:tc>
          <w:tcPr>
            <w:tcW w:w="4675" w:type="dxa"/>
          </w:tcPr>
          <w:p w14:paraId="5C33245C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i/>
                <w:iCs/>
              </w:rPr>
            </w:pPr>
            <w:r w:rsidRPr="0008506D">
              <w:rPr>
                <w:rFonts w:ascii="Calibri" w:hAnsi="Calibri" w:cs="Calibri"/>
                <w:i/>
                <w:iCs/>
              </w:rPr>
              <w:t>0.1, 0.05, 0.005, 0.001</w:t>
            </w:r>
          </w:p>
        </w:tc>
      </w:tr>
      <w:tr w:rsidR="00EB4B28" w14:paraId="0C5C8C7C" w14:textId="77777777" w:rsidTr="00072694">
        <w:tc>
          <w:tcPr>
            <w:tcW w:w="4675" w:type="dxa"/>
          </w:tcPr>
          <w:p w14:paraId="6BB6BFBB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i/>
                <w:iCs/>
              </w:rPr>
            </w:pPr>
            <w:r w:rsidRPr="0008506D">
              <w:rPr>
                <w:rFonts w:ascii="Calibri" w:hAnsi="Calibri" w:cs="Calibri"/>
                <w:i/>
                <w:iCs/>
              </w:rPr>
              <w:t xml:space="preserve">Weight decay (i.e., regularization parameter </w:t>
            </w:r>
            <m:oMath>
              <m:sSub>
                <m:sSubPr>
                  <m:ctrlPr>
                    <w:rPr>
                      <w:rFonts w:ascii="Cambria Math" w:hAnsi="Cambria Math" w:cs="Calibri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 w:cs="Calibri"/>
                    </w:rPr>
                    <m:t>λ</m:t>
                  </m:r>
                </m:e>
                <m:sub>
                  <m:r>
                    <w:rPr>
                      <w:rFonts w:ascii="Cambria Math" w:hAnsi="Cambria Math" w:cs="Calibri"/>
                    </w:rPr>
                    <m:t>1</m:t>
                  </m:r>
                </m:sub>
              </m:sSub>
            </m:oMath>
            <w:r w:rsidRPr="0008506D">
              <w:rPr>
                <w:rFonts w:ascii="Calibri" w:hAnsi="Calibri" w:cs="Calibri"/>
                <w:i/>
                <w:iCs/>
              </w:rPr>
              <w:t>)</w:t>
            </w:r>
          </w:p>
        </w:tc>
        <w:tc>
          <w:tcPr>
            <w:tcW w:w="4675" w:type="dxa"/>
          </w:tcPr>
          <w:p w14:paraId="5CE65BCC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i/>
                <w:iCs/>
              </w:rPr>
            </w:pPr>
            <w:r w:rsidRPr="00024B3F">
              <w:rPr>
                <w:rFonts w:ascii="Calibri" w:hAnsi="Calibri" w:cs="Calibri"/>
                <w:i/>
                <w:iCs/>
              </w:rPr>
              <w:t>0.1, 0.05, 0.005, 0.0005</w:t>
            </w:r>
          </w:p>
        </w:tc>
      </w:tr>
      <w:tr w:rsidR="00EB4B28" w14:paraId="1213C9CC" w14:textId="77777777" w:rsidTr="00072694">
        <w:tc>
          <w:tcPr>
            <w:tcW w:w="4675" w:type="dxa"/>
          </w:tcPr>
          <w:p w14:paraId="55862FB0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i/>
                <w:iCs/>
              </w:rPr>
            </w:pPr>
            <w:r w:rsidRPr="0008506D">
              <w:rPr>
                <w:rFonts w:ascii="Calibri" w:hAnsi="Calibri" w:cs="Calibri"/>
                <w:i/>
                <w:iCs/>
              </w:rPr>
              <w:t>Number of epochs</w:t>
            </w:r>
          </w:p>
        </w:tc>
        <w:tc>
          <w:tcPr>
            <w:tcW w:w="4675" w:type="dxa"/>
          </w:tcPr>
          <w:p w14:paraId="17E04716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i/>
                <w:iCs/>
              </w:rPr>
            </w:pPr>
            <w:r w:rsidRPr="0008506D">
              <w:rPr>
                <w:rFonts w:ascii="Calibri" w:hAnsi="Calibri" w:cs="Calibri"/>
                <w:i/>
                <w:iCs/>
              </w:rPr>
              <w:t>800, 1200, 1600, 2000, 2400</w:t>
            </w:r>
          </w:p>
        </w:tc>
      </w:tr>
      <w:tr w:rsidR="00EB4B28" w14:paraId="09F71E1F" w14:textId="77777777" w:rsidTr="00072694">
        <w:tc>
          <w:tcPr>
            <w:tcW w:w="4675" w:type="dxa"/>
          </w:tcPr>
          <w:p w14:paraId="1C31506F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i/>
                <w:iCs/>
              </w:rPr>
            </w:pPr>
            <w:r w:rsidRPr="0008506D">
              <w:rPr>
                <w:rFonts w:ascii="Calibri" w:hAnsi="Calibri" w:cs="Calibri"/>
                <w:i/>
                <w:iCs/>
              </w:rPr>
              <w:t>Number of cycles</w:t>
            </w:r>
          </w:p>
        </w:tc>
        <w:tc>
          <w:tcPr>
            <w:tcW w:w="4675" w:type="dxa"/>
          </w:tcPr>
          <w:p w14:paraId="2AE76414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i/>
                <w:iCs/>
              </w:rPr>
            </w:pPr>
            <w:r w:rsidRPr="0008506D">
              <w:rPr>
                <w:rFonts w:ascii="Calibri" w:hAnsi="Calibri" w:cs="Calibri"/>
                <w:i/>
                <w:iCs/>
              </w:rPr>
              <w:t>2, 4, 5, 10</w:t>
            </w:r>
          </w:p>
        </w:tc>
      </w:tr>
      <w:tr w:rsidR="00EB4B28" w14:paraId="00E08C94" w14:textId="77777777" w:rsidTr="00072694">
        <w:tc>
          <w:tcPr>
            <w:tcW w:w="4675" w:type="dxa"/>
          </w:tcPr>
          <w:p w14:paraId="684B5058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i/>
                <w:iCs/>
              </w:rPr>
            </w:pPr>
            <w:r w:rsidRPr="0008506D">
              <w:rPr>
                <w:rFonts w:ascii="Calibri" w:hAnsi="Calibri" w:cs="Calibri"/>
                <w:i/>
                <w:iCs/>
              </w:rPr>
              <w:t>Cutting ratio</w:t>
            </w:r>
          </w:p>
        </w:tc>
        <w:tc>
          <w:tcPr>
            <w:tcW w:w="4675" w:type="dxa"/>
          </w:tcPr>
          <w:p w14:paraId="2C562BF1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i/>
                <w:iCs/>
              </w:rPr>
            </w:pPr>
            <w:r w:rsidRPr="0008506D">
              <w:rPr>
                <w:rFonts w:ascii="Calibri" w:hAnsi="Calibri" w:cs="Calibri"/>
                <w:i/>
                <w:iCs/>
              </w:rPr>
              <w:t>0.3, 0.5, 0.7, 0.9</w:t>
            </w:r>
          </w:p>
        </w:tc>
      </w:tr>
    </w:tbl>
    <w:p w14:paraId="417DBCF1" w14:textId="77777777" w:rsidR="00EB4B28" w:rsidRPr="004D5146" w:rsidRDefault="00EB4B28" w:rsidP="00EB4B28">
      <w:pPr>
        <w:rPr>
          <w:rFonts w:ascii="Calibri" w:hAnsi="Calibri" w:cs="Calibri"/>
          <w:i/>
          <w:iCs/>
        </w:rPr>
      </w:pPr>
      <w:r w:rsidRPr="004D5146">
        <w:rPr>
          <w:rFonts w:ascii="Calibri" w:hAnsi="Calibri" w:cs="Calibri"/>
          <w:i/>
          <w:iCs/>
        </w:rPr>
        <w:t>The set of hyperparameters that yielded the lowest reconstruction loss were selected as the best set of hyperparameters.</w:t>
      </w:r>
    </w:p>
    <w:p w14:paraId="0FC645B8" w14:textId="77777777" w:rsidR="00EB4B28" w:rsidRDefault="00EB4B28" w:rsidP="00EB4B28">
      <w:pPr>
        <w:rPr>
          <w:rFonts w:ascii="Calibri" w:hAnsi="Calibri" w:cs="Calibri"/>
        </w:rPr>
      </w:pPr>
    </w:p>
    <w:p w14:paraId="446D4C74" w14:textId="77777777" w:rsidR="00EB4B28" w:rsidRPr="004D5146" w:rsidRDefault="00EB4B28" w:rsidP="00EB4B28">
      <w:pPr>
        <w:rPr>
          <w:rFonts w:asciiTheme="majorHAnsi" w:hAnsiTheme="majorHAnsi" w:cstheme="majorHAnsi"/>
          <w:i/>
          <w:iCs/>
        </w:rPr>
      </w:pPr>
      <w:r w:rsidRPr="005051C4">
        <w:rPr>
          <w:rFonts w:ascii="Calibri" w:hAnsi="Calibri" w:cs="Calibri"/>
          <w:i/>
          <w:iCs/>
        </w:rPr>
        <w:t>Supplementary</w:t>
      </w:r>
      <w:r w:rsidRPr="004D5146">
        <w:rPr>
          <w:rFonts w:ascii="Calibri" w:hAnsi="Calibri" w:cs="Calibri"/>
          <w:i/>
          <w:iCs/>
        </w:rPr>
        <w:t xml:space="preserve"> Table 3.2 – Hyperparameters for </w:t>
      </w:r>
      <w:proofErr w:type="spellStart"/>
      <w:r w:rsidRPr="004D5146">
        <w:rPr>
          <w:rFonts w:ascii="Calibri" w:hAnsi="Calibri" w:cs="Calibri"/>
          <w:i/>
          <w:iCs/>
        </w:rPr>
        <w:t>LFSurv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B4B28" w14:paraId="0AE492CE" w14:textId="77777777" w:rsidTr="00072694">
        <w:tc>
          <w:tcPr>
            <w:tcW w:w="4675" w:type="dxa"/>
          </w:tcPr>
          <w:p w14:paraId="301AE937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b/>
                <w:bCs/>
                <w:i/>
                <w:iCs/>
              </w:rPr>
            </w:pPr>
            <w:r w:rsidRPr="0008506D">
              <w:rPr>
                <w:rFonts w:ascii="Calibri" w:hAnsi="Calibri" w:cs="Calibri"/>
                <w:b/>
                <w:bCs/>
                <w:i/>
                <w:iCs/>
              </w:rPr>
              <w:t>Hyperparameters</w:t>
            </w:r>
          </w:p>
        </w:tc>
        <w:tc>
          <w:tcPr>
            <w:tcW w:w="4675" w:type="dxa"/>
          </w:tcPr>
          <w:p w14:paraId="1371AC1D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b/>
                <w:bCs/>
                <w:i/>
                <w:iCs/>
              </w:rPr>
            </w:pPr>
            <w:r w:rsidRPr="0008506D">
              <w:rPr>
                <w:rFonts w:ascii="Calibri" w:hAnsi="Calibri" w:cs="Calibri"/>
                <w:b/>
                <w:bCs/>
                <w:i/>
                <w:iCs/>
              </w:rPr>
              <w:t>Values tuned</w:t>
            </w:r>
          </w:p>
        </w:tc>
      </w:tr>
      <w:tr w:rsidR="00EB4B28" w14:paraId="304C58EF" w14:textId="77777777" w:rsidTr="00072694">
        <w:tc>
          <w:tcPr>
            <w:tcW w:w="4675" w:type="dxa"/>
          </w:tcPr>
          <w:p w14:paraId="7DE09A23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i/>
                <w:iCs/>
              </w:rPr>
            </w:pPr>
            <w:r w:rsidRPr="0008506D">
              <w:rPr>
                <w:rFonts w:ascii="Calibri" w:hAnsi="Calibri" w:cs="Calibri"/>
                <w:i/>
                <w:iCs/>
              </w:rPr>
              <w:t>Number of nodes in the hidden layer</w:t>
            </w:r>
          </w:p>
        </w:tc>
        <w:tc>
          <w:tcPr>
            <w:tcW w:w="4675" w:type="dxa"/>
          </w:tcPr>
          <w:p w14:paraId="2C861E7C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i/>
                <w:iCs/>
              </w:rPr>
            </w:pPr>
            <w:r w:rsidRPr="0008506D">
              <w:rPr>
                <w:rFonts w:ascii="Calibri" w:hAnsi="Calibri" w:cs="Calibri"/>
                <w:i/>
                <w:iCs/>
              </w:rPr>
              <w:t>4, 8, 16, 32</w:t>
            </w:r>
          </w:p>
        </w:tc>
      </w:tr>
      <w:tr w:rsidR="00EB4B28" w14:paraId="372E270F" w14:textId="77777777" w:rsidTr="00072694">
        <w:tc>
          <w:tcPr>
            <w:tcW w:w="4675" w:type="dxa"/>
          </w:tcPr>
          <w:p w14:paraId="7BFC9326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i/>
                <w:iCs/>
              </w:rPr>
            </w:pPr>
            <w:r w:rsidRPr="0008506D">
              <w:rPr>
                <w:rFonts w:ascii="Calibri" w:hAnsi="Calibri" w:cs="Calibri"/>
                <w:i/>
                <w:iCs/>
              </w:rPr>
              <w:t>Learning rate</w:t>
            </w:r>
          </w:p>
        </w:tc>
        <w:tc>
          <w:tcPr>
            <w:tcW w:w="4675" w:type="dxa"/>
          </w:tcPr>
          <w:p w14:paraId="23A62034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i/>
                <w:iCs/>
              </w:rPr>
            </w:pPr>
            <w:r w:rsidRPr="0008506D">
              <w:rPr>
                <w:rFonts w:ascii="Calibri" w:hAnsi="Calibri" w:cs="Calibri"/>
                <w:i/>
                <w:iCs/>
              </w:rPr>
              <w:t>0.3, 0.1, 0.05, 0.01, 0.0075</w:t>
            </w:r>
          </w:p>
        </w:tc>
      </w:tr>
      <w:tr w:rsidR="00EB4B28" w14:paraId="5FDB9AF5" w14:textId="77777777" w:rsidTr="00072694">
        <w:tc>
          <w:tcPr>
            <w:tcW w:w="4675" w:type="dxa"/>
          </w:tcPr>
          <w:p w14:paraId="009D3ED3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i/>
                <w:iCs/>
              </w:rPr>
            </w:pPr>
            <w:r w:rsidRPr="0008506D">
              <w:rPr>
                <w:rFonts w:ascii="Calibri" w:hAnsi="Calibri" w:cs="Calibri"/>
                <w:i/>
                <w:iCs/>
              </w:rPr>
              <w:t xml:space="preserve">Weight decay (i.e., regularization parameter </w:t>
            </w:r>
            <m:oMath>
              <m:sSub>
                <m:sSubPr>
                  <m:ctrlPr>
                    <w:rPr>
                      <w:rFonts w:ascii="Cambria Math" w:hAnsi="Cambria Math" w:cs="Calibri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 w:cs="Calibri"/>
                    </w:rPr>
                    <m:t>λ</m:t>
                  </m:r>
                </m:e>
                <m:sub>
                  <m:r>
                    <w:rPr>
                      <w:rFonts w:ascii="Cambria Math" w:hAnsi="Cambria Math" w:cs="Calibri"/>
                    </w:rPr>
                    <m:t>2</m:t>
                  </m:r>
                </m:sub>
              </m:sSub>
            </m:oMath>
            <w:r w:rsidRPr="0008506D">
              <w:rPr>
                <w:rFonts w:ascii="Calibri" w:hAnsi="Calibri" w:cs="Calibri"/>
                <w:i/>
                <w:iCs/>
              </w:rPr>
              <w:t>)</w:t>
            </w:r>
          </w:p>
        </w:tc>
        <w:tc>
          <w:tcPr>
            <w:tcW w:w="4675" w:type="dxa"/>
          </w:tcPr>
          <w:p w14:paraId="2B7FC5FF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i/>
                <w:iCs/>
              </w:rPr>
            </w:pPr>
            <w:r w:rsidRPr="0008506D">
              <w:rPr>
                <w:rFonts w:ascii="Calibri" w:hAnsi="Calibri" w:cs="Calibri"/>
                <w:i/>
                <w:iCs/>
              </w:rPr>
              <w:t>0.001, 0.00075, 0.0005, 0.00025, 0.0001</w:t>
            </w:r>
          </w:p>
        </w:tc>
      </w:tr>
      <w:tr w:rsidR="00EB4B28" w14:paraId="1B775F7F" w14:textId="77777777" w:rsidTr="00072694">
        <w:tc>
          <w:tcPr>
            <w:tcW w:w="4675" w:type="dxa"/>
          </w:tcPr>
          <w:p w14:paraId="06D48DC0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i/>
                <w:iCs/>
              </w:rPr>
            </w:pPr>
            <w:r w:rsidRPr="0008506D">
              <w:rPr>
                <w:rFonts w:ascii="Calibri" w:hAnsi="Calibri" w:cs="Calibri"/>
                <w:i/>
                <w:iCs/>
              </w:rPr>
              <w:t>Dropout rate for input layer</w:t>
            </w:r>
          </w:p>
        </w:tc>
        <w:tc>
          <w:tcPr>
            <w:tcW w:w="4675" w:type="dxa"/>
          </w:tcPr>
          <w:p w14:paraId="234EA75D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i/>
                <w:iCs/>
              </w:rPr>
            </w:pPr>
            <w:r w:rsidRPr="0008506D">
              <w:rPr>
                <w:rFonts w:ascii="Calibri" w:hAnsi="Calibri" w:cs="Calibri"/>
                <w:i/>
                <w:iCs/>
              </w:rPr>
              <w:t>0.1, 0.3, 0.5</w:t>
            </w:r>
          </w:p>
        </w:tc>
      </w:tr>
      <w:tr w:rsidR="00EB4B28" w14:paraId="306F298C" w14:textId="77777777" w:rsidTr="00072694">
        <w:tc>
          <w:tcPr>
            <w:tcW w:w="4675" w:type="dxa"/>
          </w:tcPr>
          <w:p w14:paraId="4D975444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i/>
                <w:iCs/>
              </w:rPr>
            </w:pPr>
            <w:r w:rsidRPr="0008506D">
              <w:rPr>
                <w:rFonts w:ascii="Calibri" w:hAnsi="Calibri" w:cs="Calibri"/>
                <w:i/>
                <w:iCs/>
              </w:rPr>
              <w:t>Dropout rate for hidden layer</w:t>
            </w:r>
          </w:p>
        </w:tc>
        <w:tc>
          <w:tcPr>
            <w:tcW w:w="4675" w:type="dxa"/>
          </w:tcPr>
          <w:p w14:paraId="41889955" w14:textId="77777777" w:rsidR="00EB4B28" w:rsidRPr="0008506D" w:rsidRDefault="00EB4B28" w:rsidP="00072694">
            <w:pPr>
              <w:jc w:val="both"/>
              <w:rPr>
                <w:rFonts w:ascii="Calibri" w:hAnsi="Calibri" w:cs="Calibri"/>
                <w:i/>
                <w:iCs/>
              </w:rPr>
            </w:pPr>
            <w:r w:rsidRPr="0008506D">
              <w:rPr>
                <w:rFonts w:ascii="Calibri" w:hAnsi="Calibri" w:cs="Calibri"/>
                <w:i/>
                <w:iCs/>
              </w:rPr>
              <w:t>0.1, 0.3, 0.5</w:t>
            </w:r>
          </w:p>
        </w:tc>
      </w:tr>
    </w:tbl>
    <w:p w14:paraId="3399A744" w14:textId="77777777" w:rsidR="00EB4B28" w:rsidRPr="004D5146" w:rsidRDefault="00EB4B28" w:rsidP="00EB4B28">
      <w:pPr>
        <w:rPr>
          <w:rFonts w:asciiTheme="majorHAnsi" w:hAnsiTheme="majorHAnsi" w:cstheme="majorHAnsi"/>
          <w:i/>
          <w:iCs/>
        </w:rPr>
      </w:pPr>
      <w:r w:rsidRPr="004D5146">
        <w:rPr>
          <w:rFonts w:ascii="Calibri" w:hAnsi="Calibri" w:cs="Calibri"/>
          <w:i/>
          <w:iCs/>
        </w:rPr>
        <w:t>The set of hyperparameters that yielded the highest C-index were selected as the best set of hyperparameters.</w:t>
      </w:r>
      <w:r w:rsidRPr="004D5146">
        <w:rPr>
          <w:rFonts w:asciiTheme="majorHAnsi" w:hAnsiTheme="majorHAnsi" w:cstheme="majorHAnsi"/>
          <w:i/>
          <w:iCs/>
        </w:rPr>
        <w:br w:type="page"/>
      </w:r>
    </w:p>
    <w:p w14:paraId="28B2B984" w14:textId="77777777" w:rsidR="00EB4B28" w:rsidRDefault="00EB4B28" w:rsidP="00EB4B28">
      <w:pPr>
        <w:jc w:val="both"/>
        <w:rPr>
          <w:rFonts w:asciiTheme="majorHAnsi" w:hAnsiTheme="majorHAnsi" w:cstheme="majorHAnsi"/>
          <w:i/>
          <w:iCs/>
        </w:rPr>
      </w:pPr>
    </w:p>
    <w:p w14:paraId="6B83C050" w14:textId="77777777" w:rsidR="00EB4B28" w:rsidRDefault="00EB4B28" w:rsidP="00EB4B28">
      <w:pPr>
        <w:jc w:val="center"/>
        <w:rPr>
          <w:rFonts w:ascii="Calibri Light" w:hAnsi="Calibri Light"/>
        </w:rPr>
      </w:pPr>
      <w:r>
        <w:rPr>
          <w:noProof/>
        </w:rPr>
        <w:drawing>
          <wp:inline distT="0" distB="0" distL="0" distR="0" wp14:anchorId="2F71CCF4" wp14:editId="3BD08608">
            <wp:extent cx="4381500" cy="2637155"/>
            <wp:effectExtent l="0" t="0" r="0" b="0"/>
            <wp:docPr id="1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line 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5A237" w14:textId="77777777" w:rsidR="00EB4B28" w:rsidRPr="00C642C4" w:rsidRDefault="00EB4B28" w:rsidP="00EB4B28">
      <w:pPr>
        <w:jc w:val="both"/>
        <w:rPr>
          <w:rFonts w:ascii="Calibri Light" w:hAnsi="Calibri Light"/>
        </w:rPr>
      </w:pPr>
      <w:r w:rsidRPr="005051C4">
        <w:rPr>
          <w:rFonts w:ascii="Calibri" w:hAnsi="Calibri" w:cs="Calibri"/>
          <w:i/>
          <w:iCs/>
        </w:rPr>
        <w:t>Supplementary</w:t>
      </w:r>
      <w:r w:rsidRPr="001E1ED3">
        <w:rPr>
          <w:i/>
          <w:iCs/>
        </w:rPr>
        <w:t xml:space="preserve"> Figure 1</w:t>
      </w:r>
      <w:r>
        <w:rPr>
          <w:i/>
          <w:iCs/>
        </w:rPr>
        <w:t>:</w:t>
      </w:r>
      <w:r w:rsidRPr="001E1ED3">
        <w:rPr>
          <w:i/>
          <w:iCs/>
        </w:rPr>
        <w:t xml:space="preserve"> Example of KL-annealing learning scheme. In this example the total number of epochs is 200, there are 2 cycles, each with 100 epochs, and the cutting ratio within each cycle is 50:50. In the first part of each cycle (i.e., 50 epochs), the value of </w:t>
      </w:r>
      <m:oMath>
        <m:r>
          <w:rPr>
            <w:rFonts w:ascii="Cambria Math" w:hAnsi="Cambria Math"/>
          </w:rPr>
          <m:t>β</m:t>
        </m:r>
      </m:oMath>
      <w:r w:rsidRPr="001E1ED3">
        <w:rPr>
          <w:i/>
          <w:iCs/>
        </w:rPr>
        <w:t xml:space="preserve"> gradually increases from 0 to 1, and in the second part of the cycle the value of </w:t>
      </w:r>
      <m:oMath>
        <m:r>
          <w:rPr>
            <w:rFonts w:ascii="Cambria Math" w:hAnsi="Cambria Math"/>
          </w:rPr>
          <m:t>β</m:t>
        </m:r>
      </m:oMath>
      <w:r w:rsidRPr="001E1ED3">
        <w:rPr>
          <w:i/>
          <w:iCs/>
        </w:rPr>
        <w:t xml:space="preserve"> is fixed at 1. </w:t>
      </w:r>
      <m:oMath>
        <m:r>
          <w:rPr>
            <w:rFonts w:ascii="Cambria Math" w:hAnsi="Cambria Math"/>
          </w:rPr>
          <m:t>β</m:t>
        </m:r>
      </m:oMath>
      <w:r w:rsidRPr="001E1ED3">
        <w:rPr>
          <w:i/>
          <w:iCs/>
        </w:rPr>
        <w:t xml:space="preserve"> value will change to 0 at the beginning of the next cycle and the process repeats.</w:t>
      </w:r>
    </w:p>
    <w:p w14:paraId="13DCFA37" w14:textId="77777777" w:rsidR="00EB4B28" w:rsidRDefault="00EB4B28" w:rsidP="00EB4B28">
      <w:pPr>
        <w:jc w:val="both"/>
        <w:rPr>
          <w:rFonts w:ascii="Calibri Light" w:hAnsi="Calibri Light"/>
          <w:i/>
          <w:iCs/>
        </w:rPr>
      </w:pPr>
    </w:p>
    <w:p w14:paraId="1F77C87B" w14:textId="77777777" w:rsidR="00EB4B28" w:rsidRDefault="00EB4B28" w:rsidP="00EB4B28">
      <w:pPr>
        <w:jc w:val="both"/>
        <w:rPr>
          <w:rFonts w:ascii="Calibri Light" w:hAnsi="Calibri Light"/>
          <w:i/>
          <w:iCs/>
        </w:rPr>
      </w:pPr>
    </w:p>
    <w:p w14:paraId="5152C883" w14:textId="77777777" w:rsidR="00EB4B28" w:rsidRDefault="00EB4B28" w:rsidP="00EB4B28">
      <w:pPr>
        <w:jc w:val="both"/>
        <w:rPr>
          <w:rFonts w:ascii="Calibri Light" w:hAnsi="Calibri Light"/>
          <w:i/>
          <w:iCs/>
        </w:rPr>
      </w:pPr>
    </w:p>
    <w:p w14:paraId="6FE31B69" w14:textId="77777777" w:rsidR="00EB4B28" w:rsidRDefault="00EB4B28" w:rsidP="00EB4B28">
      <w:pPr>
        <w:jc w:val="both"/>
        <w:rPr>
          <w:rFonts w:ascii="Calibri Light" w:hAnsi="Calibri Light"/>
          <w:i/>
          <w:iCs/>
        </w:rPr>
      </w:pPr>
    </w:p>
    <w:p w14:paraId="769F7278" w14:textId="77777777" w:rsidR="00EB4B28" w:rsidRDefault="00EB4B28" w:rsidP="00EB4B28">
      <w:pPr>
        <w:jc w:val="both"/>
        <w:rPr>
          <w:rFonts w:ascii="Calibri Light" w:hAnsi="Calibri Light"/>
          <w:i/>
          <w:iCs/>
        </w:rPr>
      </w:pPr>
    </w:p>
    <w:p w14:paraId="5DF75203" w14:textId="77777777" w:rsidR="00EB4B28" w:rsidRDefault="00EB4B28" w:rsidP="00EB4B28">
      <w:pPr>
        <w:jc w:val="both"/>
        <w:rPr>
          <w:rFonts w:ascii="Calibri Light" w:hAnsi="Calibri Light"/>
          <w:i/>
          <w:iCs/>
        </w:rPr>
      </w:pPr>
    </w:p>
    <w:p w14:paraId="741236FF" w14:textId="77777777" w:rsidR="00EB4B28" w:rsidRDefault="00EB4B28" w:rsidP="00EB4B28">
      <w:pPr>
        <w:jc w:val="both"/>
        <w:rPr>
          <w:rFonts w:ascii="Calibri" w:hAnsi="Calibri" w:cs="Calibri"/>
        </w:rPr>
      </w:pPr>
    </w:p>
    <w:p w14:paraId="79D4C2C7" w14:textId="77777777" w:rsidR="00EB4B28" w:rsidRDefault="00EB4B28" w:rsidP="00EB4B28">
      <w:pPr>
        <w:jc w:val="both"/>
        <w:rPr>
          <w:rFonts w:ascii="Calibri" w:hAnsi="Calibri" w:cs="Calibri"/>
        </w:rPr>
      </w:pPr>
    </w:p>
    <w:p w14:paraId="72414D18" w14:textId="77777777" w:rsidR="00EB4B28" w:rsidRDefault="00EB4B28" w:rsidP="00EB4B28">
      <w:pPr>
        <w:jc w:val="both"/>
        <w:rPr>
          <w:rFonts w:ascii="Calibri" w:hAnsi="Calibri" w:cs="Calibri"/>
        </w:rPr>
      </w:pPr>
    </w:p>
    <w:p w14:paraId="4E3774D9" w14:textId="77777777" w:rsidR="00EB4B28" w:rsidRDefault="00EB4B28" w:rsidP="00EB4B28">
      <w:pPr>
        <w:jc w:val="both"/>
        <w:rPr>
          <w:rFonts w:ascii="Calibri" w:hAnsi="Calibri" w:cs="Calibri"/>
        </w:rPr>
      </w:pPr>
    </w:p>
    <w:p w14:paraId="408A8EA9" w14:textId="77777777" w:rsidR="00EB4B28" w:rsidRDefault="00EB4B28" w:rsidP="00EB4B28">
      <w:pPr>
        <w:jc w:val="both"/>
        <w:rPr>
          <w:rFonts w:ascii="Calibri" w:hAnsi="Calibri" w:cs="Calibri"/>
        </w:rPr>
      </w:pPr>
    </w:p>
    <w:p w14:paraId="1E8FBD77" w14:textId="77777777" w:rsidR="00EB4B28" w:rsidRDefault="00EB4B28" w:rsidP="00EB4B28">
      <w:pPr>
        <w:jc w:val="both"/>
        <w:rPr>
          <w:rFonts w:ascii="Calibri" w:hAnsi="Calibri" w:cs="Calibri"/>
        </w:rPr>
      </w:pPr>
    </w:p>
    <w:p w14:paraId="0B64506E" w14:textId="77777777" w:rsidR="00EB4B28" w:rsidRDefault="00EB4B28" w:rsidP="00EB4B28">
      <w:pPr>
        <w:jc w:val="both"/>
        <w:rPr>
          <w:rFonts w:ascii="Calibri" w:hAnsi="Calibri" w:cs="Calibri"/>
        </w:rPr>
      </w:pPr>
    </w:p>
    <w:p w14:paraId="226E4967" w14:textId="77777777" w:rsidR="00EB4B28" w:rsidRDefault="00EB4B28" w:rsidP="00EB4B28">
      <w:pPr>
        <w:jc w:val="both"/>
        <w:rPr>
          <w:rFonts w:ascii="Calibri" w:hAnsi="Calibri" w:cs="Calibri"/>
        </w:rPr>
      </w:pPr>
    </w:p>
    <w:p w14:paraId="7C02CC28" w14:textId="77777777" w:rsidR="00EB4B28" w:rsidRDefault="00EB4B28" w:rsidP="00EB4B28">
      <w:pPr>
        <w:jc w:val="both"/>
        <w:rPr>
          <w:rFonts w:ascii="Calibri" w:hAnsi="Calibri" w:cs="Calibri"/>
        </w:rPr>
      </w:pPr>
    </w:p>
    <w:p w14:paraId="125F0F46" w14:textId="77777777" w:rsidR="00EB4B28" w:rsidRDefault="00EB4B28" w:rsidP="00EB4B28">
      <w:pPr>
        <w:jc w:val="both"/>
        <w:rPr>
          <w:rFonts w:ascii="Calibri" w:hAnsi="Calibri" w:cs="Calibri"/>
        </w:rPr>
      </w:pPr>
      <w:r>
        <w:rPr>
          <w:rFonts w:cstheme="minorHAnsi"/>
          <w:noProof/>
        </w:rPr>
        <w:lastRenderedPageBreak/>
        <w:drawing>
          <wp:inline distT="0" distB="0" distL="0" distR="0" wp14:anchorId="49B2AF22" wp14:editId="66F5771A">
            <wp:extent cx="5943600" cy="3427095"/>
            <wp:effectExtent l="0" t="0" r="0" b="0"/>
            <wp:docPr id="2" name="Picture 2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, schematic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27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3DF80F" w14:textId="63D9A3E7" w:rsidR="0058038E" w:rsidRDefault="00EB4B28" w:rsidP="00EB4B28">
      <w:r w:rsidRPr="005051C4">
        <w:rPr>
          <w:rFonts w:ascii="Calibri" w:hAnsi="Calibri" w:cs="Calibri"/>
          <w:i/>
          <w:iCs/>
        </w:rPr>
        <w:t>Supplementary</w:t>
      </w:r>
      <w:r w:rsidRPr="003F3A8B">
        <w:rPr>
          <w:rFonts w:ascii="Calibri" w:hAnsi="Calibri" w:cs="Calibri"/>
          <w:i/>
          <w:iCs/>
        </w:rPr>
        <w:t xml:space="preserve"> Figure 2: </w:t>
      </w:r>
      <w:proofErr w:type="spellStart"/>
      <w:r w:rsidRPr="003F3A8B">
        <w:rPr>
          <w:rFonts w:ascii="Calibri" w:hAnsi="Calibri" w:cs="Calibri"/>
          <w:i/>
          <w:iCs/>
        </w:rPr>
        <w:t>AUTOSurv</w:t>
      </w:r>
      <w:proofErr w:type="spellEnd"/>
      <w:r w:rsidRPr="003F3A8B">
        <w:rPr>
          <w:rFonts w:ascii="Calibri" w:hAnsi="Calibri" w:cs="Calibri"/>
          <w:i/>
          <w:iCs/>
        </w:rPr>
        <w:t xml:space="preserve"> components </w:t>
      </w:r>
      <w:r>
        <w:rPr>
          <w:rFonts w:ascii="Calibri" w:hAnsi="Calibri" w:cs="Calibri"/>
          <w:i/>
          <w:iCs/>
        </w:rPr>
        <w:t>in</w:t>
      </w:r>
      <w:r w:rsidRPr="003F3A8B">
        <w:rPr>
          <w:rFonts w:ascii="Calibri" w:hAnsi="Calibri" w:cs="Calibri"/>
          <w:i/>
          <w:iCs/>
        </w:rPr>
        <w:t xml:space="preserve"> different </w:t>
      </w:r>
      <w:r>
        <w:rPr>
          <w:rFonts w:ascii="Calibri" w:hAnsi="Calibri" w:cs="Calibri"/>
          <w:i/>
          <w:iCs/>
        </w:rPr>
        <w:t>cases</w:t>
      </w:r>
      <w:r w:rsidRPr="003F3A8B">
        <w:rPr>
          <w:rFonts w:ascii="Calibri" w:hAnsi="Calibri" w:cs="Calibri"/>
          <w:i/>
          <w:iCs/>
        </w:rPr>
        <w:t xml:space="preserve">. (a) Modified KL-PMVAE to extract latent features from gene expression data. (b) Modified KL-PMVAE to extract latent features from miRNA expression data. (c) </w:t>
      </w:r>
      <w:proofErr w:type="spellStart"/>
      <w:r w:rsidRPr="003F3A8B">
        <w:rPr>
          <w:rFonts w:ascii="Calibri" w:hAnsi="Calibri" w:cs="Calibri"/>
          <w:i/>
          <w:iCs/>
        </w:rPr>
        <w:t>LFSurv</w:t>
      </w:r>
      <w:proofErr w:type="spellEnd"/>
      <w:r w:rsidRPr="003F3A8B">
        <w:rPr>
          <w:rFonts w:ascii="Calibri" w:hAnsi="Calibri" w:cs="Calibri"/>
          <w:i/>
          <w:iCs/>
        </w:rPr>
        <w:t xml:space="preserve"> network taking different input data: in Case 2, latent features  </w:t>
      </w:r>
      <m:oMath>
        <m:sSub>
          <m:sSubPr>
            <m:ctrlPr>
              <w:rPr>
                <w:rFonts w:ascii="Cambria Math" w:hAnsi="Cambria Math" w:cs="Calibri"/>
                <w:i/>
                <w:iCs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Calibri"/>
              </w:rPr>
              <m:t>μ</m:t>
            </m:r>
          </m:e>
          <m:sub>
            <m:r>
              <w:rPr>
                <w:rFonts w:ascii="Cambria Math" w:hAnsi="Cambria Math" w:cs="Calibri"/>
              </w:rPr>
              <m:t>gene</m:t>
            </m:r>
          </m:sub>
        </m:sSub>
      </m:oMath>
      <w:r w:rsidRPr="003F3A8B">
        <w:rPr>
          <w:rFonts w:ascii="Calibri" w:hAnsi="Calibri" w:cs="Calibri"/>
          <w:i/>
          <w:iCs/>
        </w:rPr>
        <w:t xml:space="preserve"> and </w:t>
      </w:r>
      <w:r>
        <w:rPr>
          <w:rFonts w:ascii="Calibri" w:hAnsi="Calibri" w:cs="Calibri"/>
          <w:i/>
          <w:iCs/>
        </w:rPr>
        <w:t>demographic/</w:t>
      </w:r>
      <w:r w:rsidRPr="003F3A8B">
        <w:rPr>
          <w:rFonts w:ascii="Calibri" w:hAnsi="Calibri" w:cs="Calibri"/>
          <w:i/>
          <w:iCs/>
        </w:rPr>
        <w:t xml:space="preserve">clinical variables (e.g., age, disease stage, race) were taken as input; in Case 3, latent features </w:t>
      </w:r>
      <m:oMath>
        <m:sSub>
          <m:sSubPr>
            <m:ctrlPr>
              <w:rPr>
                <w:rFonts w:ascii="Cambria Math" w:hAnsi="Cambria Math" w:cs="Calibri"/>
                <w:i/>
                <w:iCs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Calibri"/>
              </w:rPr>
              <m:t>μ</m:t>
            </m:r>
          </m:e>
          <m:sub>
            <m:r>
              <w:rPr>
                <w:rFonts w:ascii="Cambria Math" w:hAnsi="Cambria Math" w:cs="Calibri"/>
              </w:rPr>
              <m:t>miRNA</m:t>
            </m:r>
          </m:sub>
        </m:sSub>
      </m:oMath>
      <w:r w:rsidRPr="003F3A8B">
        <w:rPr>
          <w:rFonts w:ascii="Calibri" w:hAnsi="Calibri" w:cs="Calibri"/>
          <w:i/>
          <w:iCs/>
        </w:rPr>
        <w:t xml:space="preserve"> and </w:t>
      </w:r>
      <w:r>
        <w:rPr>
          <w:rFonts w:ascii="Calibri" w:hAnsi="Calibri" w:cs="Calibri"/>
          <w:i/>
          <w:iCs/>
        </w:rPr>
        <w:t>demographic/</w:t>
      </w:r>
      <w:r w:rsidRPr="003F3A8B">
        <w:rPr>
          <w:rFonts w:ascii="Calibri" w:hAnsi="Calibri" w:cs="Calibri"/>
          <w:i/>
          <w:iCs/>
        </w:rPr>
        <w:t xml:space="preserve">clinical variables were taken as input; in Case 4, latent features </w:t>
      </w:r>
      <m:oMath>
        <m:sSub>
          <m:sSubPr>
            <m:ctrlPr>
              <w:rPr>
                <w:rFonts w:ascii="Cambria Math" w:hAnsi="Cambria Math" w:cs="Calibri"/>
                <w:i/>
                <w:iCs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Calibri"/>
              </w:rPr>
              <m:t>μ</m:t>
            </m:r>
          </m:e>
          <m:sub>
            <m:r>
              <w:rPr>
                <w:rFonts w:ascii="Cambria Math" w:hAnsi="Cambria Math" w:cs="Calibri"/>
              </w:rPr>
              <m:t>gene</m:t>
            </m:r>
          </m:sub>
        </m:sSub>
      </m:oMath>
      <w:r w:rsidRPr="003F3A8B">
        <w:rPr>
          <w:rFonts w:ascii="Calibri" w:hAnsi="Calibri" w:cs="Calibri"/>
          <w:i/>
          <w:iCs/>
        </w:rPr>
        <w:t xml:space="preserve"> and </w:t>
      </w:r>
      <m:oMath>
        <m:sSub>
          <m:sSubPr>
            <m:ctrlPr>
              <w:rPr>
                <w:rFonts w:ascii="Cambria Math" w:hAnsi="Cambria Math" w:cs="Calibri"/>
                <w:i/>
                <w:iCs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Calibri"/>
              </w:rPr>
              <m:t>μ</m:t>
            </m:r>
          </m:e>
          <m:sub>
            <m:r>
              <w:rPr>
                <w:rFonts w:ascii="Cambria Math" w:hAnsi="Cambria Math" w:cs="Calibri"/>
              </w:rPr>
              <m:t>miRNA</m:t>
            </m:r>
          </m:sub>
        </m:sSub>
      </m:oMath>
      <w:r w:rsidRPr="003F3A8B">
        <w:rPr>
          <w:rFonts w:ascii="Calibri" w:hAnsi="Calibri" w:cs="Calibri"/>
          <w:i/>
          <w:iCs/>
        </w:rPr>
        <w:t xml:space="preserve"> were concatenated directly and the concatenated features together with </w:t>
      </w:r>
      <w:r>
        <w:rPr>
          <w:rFonts w:ascii="Calibri" w:hAnsi="Calibri" w:cs="Calibri"/>
          <w:i/>
          <w:iCs/>
        </w:rPr>
        <w:t>demographic/</w:t>
      </w:r>
      <w:r w:rsidRPr="003F3A8B">
        <w:rPr>
          <w:rFonts w:ascii="Calibri" w:hAnsi="Calibri" w:cs="Calibri"/>
          <w:i/>
          <w:iCs/>
        </w:rPr>
        <w:t xml:space="preserve">clinical variables were fed into </w:t>
      </w:r>
      <w:proofErr w:type="spellStart"/>
      <w:r w:rsidRPr="003F3A8B">
        <w:rPr>
          <w:rFonts w:ascii="Calibri" w:hAnsi="Calibri" w:cs="Calibri"/>
          <w:i/>
          <w:iCs/>
        </w:rPr>
        <w:t>LFSurv</w:t>
      </w:r>
      <w:proofErr w:type="spellEnd"/>
      <w:r w:rsidRPr="003F3A8B">
        <w:rPr>
          <w:rFonts w:ascii="Calibri" w:hAnsi="Calibri" w:cs="Calibri"/>
          <w:i/>
          <w:iCs/>
        </w:rPr>
        <w:t xml:space="preserve"> as input.</w:t>
      </w:r>
    </w:p>
    <w:sectPr w:rsidR="005803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9EF"/>
    <w:rsid w:val="00417C68"/>
    <w:rsid w:val="005456AD"/>
    <w:rsid w:val="006109EF"/>
    <w:rsid w:val="00EB4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E46AAF-7EDA-497E-8A42-11A367609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B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4B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EB4B28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B4B28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812</Words>
  <Characters>4629</Characters>
  <Application>Microsoft Office Word</Application>
  <DocSecurity>0</DocSecurity>
  <Lines>38</Lines>
  <Paragraphs>10</Paragraphs>
  <ScaleCrop>false</ScaleCrop>
  <Company/>
  <LinksUpToDate>false</LinksUpToDate>
  <CharactersWithSpaces>5431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jld_cool@126.com</dc:creator>
  <cp:keywords/>
  <dc:description/>
  <cp:lastModifiedBy>jld_cool@126.com</cp:lastModifiedBy>
  <cp:revision>2</cp:revision>
  <dcterms:created xsi:type="dcterms:W3CDTF">2023-01-17T04:10:00Z</dcterms:created>
  <dcterms:modified xsi:type="dcterms:W3CDTF">2023-01-17T04:10:00Z</dcterms:modified>
</cp:coreProperties>
</file>