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2B" w:rsidRPr="0045332B" w:rsidRDefault="0006084B" w:rsidP="0045332B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</w:t>
      </w:r>
    </w:p>
    <w:p w:rsidR="00370B30" w:rsidRDefault="00370B30" w:rsidP="0045332B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370B30" w:rsidRPr="009C11AA" w:rsidRDefault="00370B30" w:rsidP="0045332B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11AA">
        <w:rPr>
          <w:rFonts w:ascii="Times New Roman" w:hAnsi="Times New Roman" w:cs="Times New Roman" w:hint="eastAsia"/>
          <w:b/>
          <w:sz w:val="24"/>
          <w:szCs w:val="24"/>
        </w:rPr>
        <w:t>MATERIALS AND METHODS</w:t>
      </w:r>
    </w:p>
    <w:p w:rsidR="000F0808" w:rsidRPr="0025547B" w:rsidRDefault="000F0808" w:rsidP="000F0808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5547B">
        <w:rPr>
          <w:rFonts w:ascii="Times New Roman" w:hAnsi="Times New Roman" w:cs="Times New Roman"/>
          <w:b/>
          <w:sz w:val="24"/>
          <w:szCs w:val="24"/>
        </w:rPr>
        <w:t xml:space="preserve">Breast MRI Examinations </w:t>
      </w:r>
    </w:p>
    <w:p w:rsidR="005C2BD4" w:rsidRDefault="0045332B" w:rsidP="00F81864">
      <w:pPr>
        <w:spacing w:after="0" w:line="480" w:lineRule="auto"/>
        <w:jc w:val="left"/>
      </w:pPr>
      <w:r w:rsidRPr="00E6545B">
        <w:rPr>
          <w:rFonts w:ascii="Times New Roman" w:hAnsi="Times New Roman" w:cs="Times New Roman"/>
          <w:sz w:val="24"/>
          <w:szCs w:val="24"/>
        </w:rPr>
        <w:t>The protocol for Achieva 3.0T TX consisted of a bilateral axial T2-weighted fat-suppressed fast spin-echo sequence (repetition time [TR] ms/echo time [TE], 5375/65 ms; flip angle, 90°, matrix, 620×303; field of view, 340×340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section gap, 0 mm), diffusion-weighted imaging using an echo-planar-imaging sequence with fat suppression in the axial plane (TR/TE, 5417/72; flip angle, 90°, matrix, 96×126; field of view, 320×320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no gap; b-values, 0 and 1000 s/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), one precontrast and five postcontrast dynamic series using a three-dimensional T1-weighted fast spoiled gradient-echo sequence with fat suppression (TR/TE, 5/2; matrix, 436×436; flip angle, 12°; field of view, 340×340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1 mm; no gap), and additional axillary protocol including the entire axillae and lower neck (TR/TE, 4/2; matrix, 352×342; flip angle, 12°; field of view, 380×380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no gap</w:t>
      </w:r>
      <w:r>
        <w:rPr>
          <w:rFonts w:ascii="Times New Roman" w:hAnsi="Times New Roman" w:cs="Times New Roman"/>
          <w:sz w:val="24"/>
          <w:szCs w:val="24"/>
        </w:rPr>
        <w:t>, scan time: 1:30 min</w:t>
      </w:r>
      <w:r w:rsidRPr="00E6545B">
        <w:rPr>
          <w:rFonts w:ascii="Times New Roman" w:hAnsi="Times New Roman" w:cs="Times New Roman"/>
          <w:sz w:val="24"/>
          <w:szCs w:val="24"/>
        </w:rPr>
        <w:t>). The protocol for MAGNETOM Skyra consisted of a bilateral axial T2-weighted fat-suppressed fast spin-echo sequence (TR/TE, 6000/81 ms; flip angle, 120°, matrix, 384×384; field of view, 360×360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no gap), diffusion-weighted imaging using an echo-planar-imaging sequence with fat suppression in the axial plane (TR/TE, 5000/60; flip angle, 90°, matrix, 160×80; field of view, 185×185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section gap, 0 mm; b-values, 0 and 1000 s/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), and one precontrast and five postcontrast dynamic series using a three-dimensional T1-weighted gradient-echo sequence with fat suppression (TR/TE, 6/2; matrix, 384×384; flip angle, 15°; field of view, 360×346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1 mm; no gap), and additional axillary protocol including the entire axillae and lower neck (TR/TE, 6/2; matrix, 384×384; flip angle, 12°; field of view, 380×380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 xml:space="preserve">; </w:t>
      </w:r>
      <w:r w:rsidRPr="00E6545B">
        <w:rPr>
          <w:rFonts w:ascii="Times New Roman" w:hAnsi="Times New Roman" w:cs="Times New Roman"/>
          <w:sz w:val="24"/>
          <w:szCs w:val="24"/>
        </w:rPr>
        <w:lastRenderedPageBreak/>
        <w:t>section thickness, 1.5 mm; no gap</w:t>
      </w:r>
      <w:r w:rsidRPr="00956211">
        <w:rPr>
          <w:rFonts w:ascii="Times New Roman" w:hAnsi="Times New Roman" w:cs="Times New Roman"/>
          <w:sz w:val="24"/>
          <w:szCs w:val="24"/>
        </w:rPr>
        <w:t>, scan time: 1:49 min</w:t>
      </w:r>
      <w:r w:rsidRPr="00E6545B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545B">
        <w:rPr>
          <w:rFonts w:ascii="Times New Roman" w:hAnsi="Times New Roman" w:cs="Times New Roman"/>
          <w:sz w:val="24"/>
          <w:szCs w:val="24"/>
        </w:rPr>
        <w:t>The protocol for MAGNETOM Skyra consisted of a bilateral axial T2-weighted fat-suppressed fast spin-echo sequence (TR/TE, 3900/110 ms; flip angle, 80°, matrix, 512×333; field of view, 360×360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no gap), diffusion-weighted imaging using an echo-planar-imaging sequence with fat suppression in the axial plane (TR/TE, 7300/60; flip angle, 180°, matrix, 196×88; field of view, 185×185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section gap, 0 mm; b-values, 0 and 1000 s/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), and one precontrast and five postcontrast dynamic series using a three-dimensional T1-weighted gradient-echo sequence with fat suppression (TR/TE, 4/2; matrix, 512×256; flip angle, 12°; field of view, 360×346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0.9 mm; no gap), and additional axillary protocol including the entire axillae and lower neck (TR/TE, 4/2; matrix, 384×384; flip angle, 9°; field of view, 320×221 mm</w:t>
      </w:r>
      <w:r w:rsidRPr="00E654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6545B">
        <w:rPr>
          <w:rFonts w:ascii="Times New Roman" w:hAnsi="Times New Roman" w:cs="Times New Roman"/>
          <w:sz w:val="24"/>
          <w:szCs w:val="24"/>
        </w:rPr>
        <w:t>; section thickness, 3 mm; no gap</w:t>
      </w:r>
      <w:r w:rsidRPr="00956211">
        <w:rPr>
          <w:rFonts w:ascii="Times New Roman" w:hAnsi="Times New Roman" w:cs="Times New Roman"/>
          <w:sz w:val="24"/>
          <w:szCs w:val="24"/>
        </w:rPr>
        <w:t xml:space="preserve">, scan time: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5621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Pr="00956211">
        <w:rPr>
          <w:rFonts w:ascii="Times New Roman" w:hAnsi="Times New Roman" w:cs="Times New Roman"/>
          <w:sz w:val="24"/>
          <w:szCs w:val="24"/>
        </w:rPr>
        <w:t>min</w:t>
      </w:r>
      <w:r w:rsidRPr="00E6545B">
        <w:rPr>
          <w:rFonts w:ascii="Times New Roman" w:hAnsi="Times New Roman" w:cs="Times New Roman"/>
          <w:sz w:val="24"/>
          <w:szCs w:val="24"/>
        </w:rPr>
        <w:t xml:space="preserve">). </w:t>
      </w:r>
      <w:r w:rsidRPr="00E6545B">
        <w:rPr>
          <w:rFonts w:ascii="Times New Roman" w:hAnsi="Times New Roman" w:cs="Times New Roman"/>
          <w:sz w:val="24"/>
          <w:szCs w:val="24"/>
          <w:lang w:val="en"/>
        </w:rPr>
        <w:t xml:space="preserve">In both hospitals, intravenous injection of a gadolinium-based contrast agent such as </w:t>
      </w:r>
      <w:r w:rsidRPr="00E6545B">
        <w:rPr>
          <w:rFonts w:ascii="Times New Roman" w:hAnsi="Times New Roman" w:cs="Times New Roman"/>
          <w:sz w:val="24"/>
          <w:szCs w:val="24"/>
        </w:rPr>
        <w:t>gadoterate dimeglumine (Dotarem, Guerbet), gadodiamide (Omniscan, GE Healthcare), and gadobutrol (Gadovist, Bayer Schering Pharma) was used for postcontrast dynamic series.</w:t>
      </w:r>
    </w:p>
    <w:p w:rsidR="00D600C3" w:rsidRDefault="00D600C3" w:rsidP="00176B03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</w:p>
    <w:p w:rsidR="00D600C3" w:rsidRDefault="00D600C3" w:rsidP="00176B03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</w:p>
    <w:p w:rsidR="00D600C3" w:rsidRDefault="00D600C3" w:rsidP="00176B03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</w:p>
    <w:p w:rsidR="00D600C3" w:rsidRDefault="00D600C3" w:rsidP="00176B03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</w:p>
    <w:p w:rsidR="00D600C3" w:rsidRDefault="00D600C3" w:rsidP="00A7696A">
      <w:pPr>
        <w:spacing w:line="480" w:lineRule="auto"/>
        <w:ind w:firstLineChars="50" w:firstLine="120"/>
        <w:rPr>
          <w:rFonts w:ascii="Times New Roman" w:hAnsi="Times New Roman" w:cs="Times New Roman"/>
          <w:sz w:val="24"/>
        </w:rPr>
      </w:pPr>
    </w:p>
    <w:p w:rsidR="002031D4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  <w:sectPr w:rsidR="002031D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2031D4" w:rsidRPr="00B34707" w:rsidRDefault="002031D4" w:rsidP="002031D4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b/>
          <w:bCs/>
          <w:sz w:val="22"/>
          <w:szCs w:val="20"/>
        </w:rPr>
        <w:lastRenderedPageBreak/>
        <w:t>SUPPLEMENTARY TABLE</w:t>
      </w:r>
    </w:p>
    <w:p w:rsidR="002031D4" w:rsidRPr="00B34707" w:rsidRDefault="002031D4" w:rsidP="002031D4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22"/>
          <w:szCs w:val="20"/>
        </w:rPr>
      </w:pPr>
    </w:p>
    <w:p w:rsidR="002031D4" w:rsidRPr="00B34707" w:rsidRDefault="002031D4" w:rsidP="002031D4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b/>
          <w:bCs/>
          <w:sz w:val="22"/>
          <w:szCs w:val="20"/>
        </w:rPr>
        <w:t xml:space="preserve">Table 1. Patient Characteristics and Imaging Features For Predicting High Nodal Burden in Patients with Pathologic LN Metastasis </w:t>
      </w:r>
    </w:p>
    <w:p w:rsidR="002031D4" w:rsidRPr="00B34707" w:rsidRDefault="002031D4" w:rsidP="002031D4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22"/>
          <w:szCs w:val="20"/>
        </w:rPr>
      </w:pPr>
    </w:p>
    <w:tbl>
      <w:tblPr>
        <w:tblW w:w="134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560"/>
        <w:gridCol w:w="1701"/>
        <w:gridCol w:w="1984"/>
        <w:gridCol w:w="992"/>
        <w:gridCol w:w="1560"/>
        <w:gridCol w:w="1134"/>
      </w:tblGrid>
      <w:tr w:rsidR="002031D4" w:rsidRPr="00B34707" w:rsidTr="00887E42">
        <w:trPr>
          <w:trHeight w:val="542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E138D" w:rsidP="002E138D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2E138D">
              <w:rPr>
                <w:rFonts w:ascii="Times New Roman" w:eastAsia="맑은 고딕" w:hAnsi="Times New Roman" w:cs="Times New Roman"/>
                <w:sz w:val="22"/>
                <w:szCs w:val="20"/>
              </w:rPr>
              <w:t>Patients in Both Development and Validation Sets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Univariable Analysis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Multivariable Analysis</w:t>
            </w:r>
          </w:p>
        </w:tc>
      </w:tr>
      <w:tr w:rsidR="002031D4" w:rsidRPr="00B34707" w:rsidTr="00887E42">
        <w:trPr>
          <w:trHeight w:val="542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Characteristics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Total</w:t>
            </w:r>
          </w:p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(n=186)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Low nodal burden</w:t>
            </w:r>
          </w:p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(n=169)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High nodal burden</w:t>
            </w:r>
          </w:p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 xml:space="preserve"> (n=17)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Odds Ratio</w:t>
            </w:r>
          </w:p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  <w:t>P</w:t>
            </w: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-value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Adjusted Odds Ratio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  <w:t>P-</w:t>
            </w: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value</w:t>
            </w: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/>
                <w:bCs/>
                <w:sz w:val="22"/>
                <w:szCs w:val="20"/>
              </w:rPr>
              <w:t>Patient Characteristics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Age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54.58 ± 10.35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54.53± 10.50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55.06± 9.02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1.0 (0.9-1.1)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0.824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Histologic Type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524F11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Others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21 (11.3)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20 (11.8)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 (5.9)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Ductal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165(88.2)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149 (88.2)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(94.1)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2.1 (0.3-17.0)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0.470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Histologic Grade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I or II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131 (70.4)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120 (71.0)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 (64.7)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III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55 (29.6)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49 (29.0)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 (35.3)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1.3 (0.5-3.8)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0.588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Estrogen Receptor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524F11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(8.6)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(9.5)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 (0)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170 (91.4)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153 (90.5)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17 (100)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179497198 (0-.)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0.998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Progesterone Receptor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524F11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22 (11.8)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21 (12.4)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 (5.9)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164 (88.2)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148 (87.6)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(94.1)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2.3 (0.3-8.0)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0.438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HER2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524F11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158 (84.9)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145 (85.8)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 (76.5)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28 (15.1)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24 (14.2)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 (23.5)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1.9 (0.6-6.2)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0.312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Molecular Subtype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Luminal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164 (88.2)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148 (87.6)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(94.1)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lastRenderedPageBreak/>
              <w:t xml:space="preserve">  HER2 Enriched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 (8.6)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15 (8.9)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 (5.9)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0.6 (0.1-4.9)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0.650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Triple-negative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 (3.2)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 (3.6)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 (0)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 (0-.)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0.999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Ki-67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Low (&lt;14%)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78 (41.9)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72 (42.6)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 (35.3)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High (≥ 14%)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108 (59.1)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97 (57.4)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 (64.7)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1.3 (0.5-3.9)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0.562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D64EC9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Pathologic </w:t>
            </w:r>
            <w:r w:rsidR="002031D4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T stage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T1a or T1b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15 (8.1)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 (8.3)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 (5.9)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T1c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98 (52.7)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91 (53.8)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 (41.2)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1.1 (0.1-9.4)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0.947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73 (39.2)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64 (37.9)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 (52.9)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2.0 (0.2-16.8)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0.536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Lymphovascular Invasion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524F11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121 (65.1)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115 (68.0)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 (35.3)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F11" w:rsidRPr="00B34707" w:rsidRDefault="00524F11" w:rsidP="00524F11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Yes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65 (34.9)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54 (32.0)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 (64.7)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3.9 (1.4-11.1)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0.011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3.4 (1.2-9.9)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0.023</w:t>
            </w: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/>
                <w:bCs/>
                <w:sz w:val="22"/>
                <w:szCs w:val="20"/>
              </w:rPr>
              <w:t xml:space="preserve">Imaging Features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BI-RADS category on US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C4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54 (29.0)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50 (29.6)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 (23.5)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C5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132 (71.0)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119 (70.4)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 (76.5)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1.4 (0.4-4.4)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0.601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Positive axilla on MRI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No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124 (66.7)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117 (69.2)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 (41.2)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2031D4" w:rsidRPr="00B34707" w:rsidTr="00887E42">
        <w:trPr>
          <w:trHeight w:val="341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Yes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62 (33.3)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52 (30.8)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10 (58.8)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3.2 (1.2-8.9)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0.025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2.7 (1.0-7.8)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031D4" w:rsidRPr="00B34707" w:rsidRDefault="002031D4" w:rsidP="002031D4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0.059</w:t>
            </w:r>
          </w:p>
        </w:tc>
      </w:tr>
    </w:tbl>
    <w:p w:rsidR="002031D4" w:rsidRPr="00B34707" w:rsidRDefault="002031D4" w:rsidP="002031D4">
      <w:pPr>
        <w:spacing w:after="0" w:line="240" w:lineRule="auto"/>
        <w:rPr>
          <w:rFonts w:ascii="Times New Roman" w:eastAsia="맑은 고딕" w:hAnsi="Times New Roman" w:cs="Times New Roman"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sz w:val="22"/>
          <w:szCs w:val="20"/>
        </w:rPr>
        <w:t xml:space="preserve">Note. Data are numbers of patients, with percentages in parentheses. HER2, human epidermal growth factor receptor 2; </w:t>
      </w:r>
      <w:r w:rsidRPr="00B34707">
        <w:rPr>
          <w:rFonts w:ascii="Times New Roman" w:eastAsia="맑은 고딕" w:hAnsi="Times New Roman" w:cs="Times New Roman"/>
          <w:bCs/>
          <w:sz w:val="22"/>
          <w:szCs w:val="20"/>
        </w:rPr>
        <w:t>BI-RADS, breast imaging reporting, and data system</w:t>
      </w:r>
    </w:p>
    <w:p w:rsidR="002031D4" w:rsidRPr="00B34707" w:rsidRDefault="002031D4" w:rsidP="002031D4">
      <w:pPr>
        <w:spacing w:after="0" w:line="240" w:lineRule="auto"/>
        <w:rPr>
          <w:rFonts w:ascii="Times New Roman" w:eastAsia="맑은 고딕" w:hAnsi="Times New Roman" w:cs="Times New Roman"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sz w:val="22"/>
          <w:szCs w:val="20"/>
          <w:vertAlign w:val="superscript"/>
        </w:rPr>
        <w:t>a</w:t>
      </w:r>
      <w:r w:rsidRPr="00B34707">
        <w:rPr>
          <w:rFonts w:ascii="Times New Roman" w:eastAsia="맑은 고딕" w:hAnsi="Times New Roman" w:cs="Times New Roman"/>
          <w:sz w:val="22"/>
          <w:szCs w:val="20"/>
        </w:rPr>
        <w:t xml:space="preserve"> Data are presented as the mean </w:t>
      </w:r>
      <w:r w:rsidRPr="00B34707">
        <w:rPr>
          <w:rFonts w:ascii="Times New Roman" w:eastAsia="맑은 고딕" w:hAnsi="Times New Roman" w:cs="Times New Roman"/>
          <w:bCs/>
          <w:sz w:val="22"/>
          <w:szCs w:val="20"/>
        </w:rPr>
        <w:t>±</w:t>
      </w:r>
      <w:r w:rsidRPr="00B34707">
        <w:rPr>
          <w:rFonts w:ascii="Times New Roman" w:eastAsia="맑은 고딕" w:hAnsi="Times New Roman" w:cs="Times New Roman"/>
          <w:sz w:val="22"/>
          <w:szCs w:val="20"/>
        </w:rPr>
        <w:t xml:space="preserve"> standard deviation.</w:t>
      </w:r>
    </w:p>
    <w:p w:rsidR="002031D4" w:rsidRPr="00B34707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p w:rsidR="000310A2" w:rsidRPr="00B34707" w:rsidRDefault="000310A2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p w:rsidR="002031D4" w:rsidRPr="00B34707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p w:rsidR="001B1B3B" w:rsidRPr="00B34707" w:rsidRDefault="001B1B3B" w:rsidP="001B1B3B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b/>
          <w:bCs/>
          <w:sz w:val="22"/>
          <w:szCs w:val="20"/>
        </w:rPr>
        <w:lastRenderedPageBreak/>
        <w:t>Table 2</w:t>
      </w:r>
      <w:r w:rsidR="00F044A9" w:rsidRPr="00B34707">
        <w:rPr>
          <w:rFonts w:ascii="Times New Roman" w:eastAsia="맑은 고딕" w:hAnsi="Times New Roman" w:cs="Times New Roman"/>
          <w:b/>
          <w:bCs/>
          <w:sz w:val="22"/>
          <w:szCs w:val="20"/>
        </w:rPr>
        <w:t>. Univariable and multivariable</w:t>
      </w:r>
      <w:r w:rsidRPr="00B34707">
        <w:rPr>
          <w:rFonts w:ascii="Times New Roman" w:eastAsia="맑은 고딕" w:hAnsi="Times New Roman" w:cs="Times New Roman"/>
          <w:b/>
          <w:bCs/>
          <w:sz w:val="22"/>
          <w:szCs w:val="20"/>
        </w:rPr>
        <w:t xml:space="preserve"> analysis of patient characteristics for differentiating BI-RADS category 5 from category 4 on US </w:t>
      </w:r>
    </w:p>
    <w:p w:rsidR="001B1B3B" w:rsidRPr="00B34707" w:rsidRDefault="001B1B3B" w:rsidP="001B1B3B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2"/>
          <w:szCs w:val="20"/>
        </w:rPr>
      </w:pPr>
    </w:p>
    <w:tbl>
      <w:tblPr>
        <w:tblW w:w="134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559"/>
        <w:gridCol w:w="1560"/>
        <w:gridCol w:w="1417"/>
        <w:gridCol w:w="1985"/>
        <w:gridCol w:w="992"/>
        <w:gridCol w:w="1701"/>
        <w:gridCol w:w="1276"/>
      </w:tblGrid>
      <w:tr w:rsidR="001B1B3B" w:rsidRPr="00B34707" w:rsidTr="00B34707">
        <w:trPr>
          <w:trHeight w:val="542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</w:p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B34707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 xml:space="preserve">Patients in Both </w:t>
            </w:r>
            <w:r w:rsid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Development and Validation Sets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Univariable Analysis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Multivariable Analysis</w:t>
            </w:r>
          </w:p>
        </w:tc>
      </w:tr>
      <w:tr w:rsidR="001B1B3B" w:rsidRPr="00B34707" w:rsidTr="00B34707">
        <w:trPr>
          <w:trHeight w:val="542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Characteristics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Total</w:t>
            </w:r>
          </w:p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(n=948)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3B" w:rsidRPr="00B34707" w:rsidRDefault="00B34707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sz w:val="22"/>
                <w:szCs w:val="20"/>
              </w:rPr>
              <w:t>BI-RADS Category</w:t>
            </w:r>
            <w:r w:rsidR="001B1B3B"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4</w:t>
            </w:r>
          </w:p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(n=538)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3B" w:rsidRPr="00B34707" w:rsidRDefault="00B34707" w:rsidP="00B34707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sz w:val="22"/>
                <w:szCs w:val="20"/>
              </w:rPr>
              <w:t>BI-RADS Category</w:t>
            </w:r>
            <w:r w:rsidR="001B1B3B"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5 (n=410)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Odds Ratio</w:t>
            </w:r>
          </w:p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(95% CI)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  <w:t>P</w:t>
            </w: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Adjusted Odds Ratio (95% 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i/>
                <w:sz w:val="22"/>
                <w:szCs w:val="20"/>
              </w:rPr>
              <w:t>P</w:t>
            </w:r>
            <w:r w:rsidRPr="00B34707">
              <w:rPr>
                <w:rFonts w:ascii="Times New Roman" w:eastAsia="맑은 고딕" w:hAnsi="Times New Roman" w:cs="Times New Roman"/>
                <w:sz w:val="22"/>
                <w:szCs w:val="20"/>
              </w:rPr>
              <w:t>-value</w:t>
            </w: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Patient Characteristics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Age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54.58 ± 10.35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55.51 ± 11.12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56.14 ± 10.65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1.0 (0.9-1.1)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0.372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Histologic Type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4E79F6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Others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141 (14.9)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99 (18.4)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42 (10.2)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Ductal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807 (85.1)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439 (81.6)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368 (89.8)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2.0 (1.3-2.9)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6342A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</w:t>
            </w:r>
            <w:r w:rsidR="0016342A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3 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(1.</w:t>
            </w:r>
            <w:r w:rsidR="0016342A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-3.</w:t>
            </w:r>
            <w:r w:rsidR="0016342A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&lt; 0.001</w:t>
            </w: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Histologic Grade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I or 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688 (72.6)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408 (75.8)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280 (68.3)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65647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65647B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III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260 (27.4)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130 (24.2)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130 (31.7)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1.5 (1.1-1.9)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65647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sz w:val="22"/>
                <w:szCs w:val="20"/>
              </w:rPr>
              <w:t>1.1 (0.7-1.4)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65647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Cs/>
                <w:sz w:val="22"/>
                <w:szCs w:val="20"/>
              </w:rPr>
              <w:t>0.920</w:t>
            </w: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Estrogen Receptor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4E79F6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138 (14.6)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86 (16.0)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52 (12.7)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810 (85.4)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452 (84.0)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358 (87.3)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1.3 (0.9-1.9)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0.154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Progesterone Receptor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4E79F6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192 (20.3)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115 (21.4)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77 (18.8)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756 (79.7)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423 (78.6)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333 (81.2)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1.2 (0.9-1.6)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0.325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HER2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4E79F6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Negative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794 (83.8)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459 (85.3)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335 (81.7)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Positive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154 (16.2)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79 (14.7)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75 (18.3)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1.3 (0.9-1.8)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0.136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Molecular Subtype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Luminal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785 (82.8)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441 (82.0)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344 (83.9)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HER2 Enriched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87 (9.2)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49 (9.1)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38 (9.3)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0.9 (0.6-1.6)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0.980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Triple-negative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76 (8.0)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48 (8.9)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28 (6.8)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0.7 (0.5-1.2)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0.242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lastRenderedPageBreak/>
              <w:t>Ki-67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Low (&lt;14%)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431 (45.5)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264 (49.1)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167 (40.7)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High (≥ 14%)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517 (54.5)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274 (50.9)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243 (59.3)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1.4 (1.1-1.8)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T stage</w:t>
            </w:r>
            <w:r w:rsidR="00AD3095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</w:t>
            </w:r>
            <w:r w:rsidR="00E022A8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measured </w:t>
            </w:r>
            <w:bookmarkStart w:id="0" w:name="_GoBack"/>
            <w:bookmarkEnd w:id="0"/>
            <w:r w:rsidR="00AD3095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on US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A22085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AB4BF0" w:rsidP="00AB4BF0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740</w:t>
            </w:r>
            <w:r w:rsidR="00D16E8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78.1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AB4BF0" w:rsidP="00AB4BF0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476</w:t>
            </w:r>
            <w:r w:rsidR="00D16E8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88.5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AB4BF0" w:rsidP="00AB4BF0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264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64.4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T2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D16E8B" w:rsidP="00D16E8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208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21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.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9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D16E8B" w:rsidP="00D16E8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62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11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.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D16E8B" w:rsidP="00D16E8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146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35.6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6B485C" w:rsidP="006B485C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4.2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3.0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5.9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)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6B485C" w:rsidP="0065647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4.2</w:t>
            </w:r>
            <w:r w:rsidR="0016342A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</w:t>
            </w:r>
            <w:r w:rsidR="0065647B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3.0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-</w:t>
            </w:r>
            <w:r w:rsidR="0065647B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6.0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&lt; 0.001</w:t>
            </w:r>
          </w:p>
        </w:tc>
      </w:tr>
      <w:tr w:rsidR="001B1B3B" w:rsidRPr="00B34707" w:rsidTr="00B34707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Lymphovascular Invasion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4E79F6" w:rsidRPr="00B34707" w:rsidTr="004E79F6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No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814 (85.9)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487 (90.5)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327 (79.8)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Reference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9F6" w:rsidRPr="00B34707" w:rsidRDefault="004E79F6" w:rsidP="004E79F6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</w:p>
        </w:tc>
      </w:tr>
      <w:tr w:rsidR="001B1B3B" w:rsidRPr="00B34707" w:rsidTr="004E79F6">
        <w:trPr>
          <w:trHeight w:val="34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 Yes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134 (14.1)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51 (9.5)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83 (20.2)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2.4 (1.7-3.5)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3B" w:rsidRPr="00B34707" w:rsidRDefault="001B1B3B" w:rsidP="001B1B3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0.028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B1B3B" w:rsidRPr="00B34707" w:rsidRDefault="0065647B" w:rsidP="0065647B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2.1</w:t>
            </w:r>
            <w:r w:rsidR="0016342A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 xml:space="preserve"> 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(1.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4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3.1</w:t>
            </w:r>
            <w:r w:rsidR="001B1B3B" w:rsidRPr="00B34707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B1B3B" w:rsidRPr="00B34707" w:rsidRDefault="0065647B" w:rsidP="0016342A">
            <w:pPr>
              <w:spacing w:after="0" w:line="240" w:lineRule="auto"/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</w:pPr>
            <w:r w:rsidRPr="0065647B">
              <w:rPr>
                <w:rFonts w:ascii="Times New Roman" w:eastAsia="맑은 고딕" w:hAnsi="Times New Roman" w:cs="Times New Roman"/>
                <w:bCs/>
                <w:sz w:val="22"/>
                <w:szCs w:val="20"/>
              </w:rPr>
              <w:t>&lt; 0.001</w:t>
            </w:r>
          </w:p>
        </w:tc>
      </w:tr>
    </w:tbl>
    <w:p w:rsidR="001B1B3B" w:rsidRPr="00B34707" w:rsidRDefault="001B1B3B" w:rsidP="001B1B3B">
      <w:pPr>
        <w:spacing w:after="0" w:line="240" w:lineRule="auto"/>
        <w:rPr>
          <w:rFonts w:ascii="Times New Roman" w:eastAsia="맑은 고딕" w:hAnsi="Times New Roman" w:cs="Times New Roman"/>
          <w:sz w:val="22"/>
          <w:szCs w:val="20"/>
        </w:rPr>
      </w:pPr>
      <w:r w:rsidRPr="00B34707">
        <w:rPr>
          <w:rFonts w:ascii="Times New Roman" w:eastAsia="맑은 고딕" w:hAnsi="Times New Roman" w:cs="Times New Roman"/>
          <w:sz w:val="22"/>
          <w:szCs w:val="20"/>
        </w:rPr>
        <w:t>Note. Data are numbers of patients, with percentages in parentheses. HER2: human epidermal growth factor receptor 2</w:t>
      </w:r>
    </w:p>
    <w:p w:rsidR="002031D4" w:rsidRPr="00B34707" w:rsidRDefault="001B1B3B" w:rsidP="001B1B3B">
      <w:pPr>
        <w:spacing w:line="480" w:lineRule="auto"/>
        <w:ind w:firstLineChars="50" w:firstLine="110"/>
        <w:rPr>
          <w:rFonts w:ascii="Times New Roman" w:hAnsi="Times New Roman" w:cs="Times New Roman"/>
        </w:rPr>
      </w:pPr>
      <w:r w:rsidRPr="00B34707">
        <w:rPr>
          <w:rFonts w:ascii="Times New Roman" w:eastAsia="맑은 고딕" w:hAnsi="Times New Roman" w:cs="Times New Roman"/>
          <w:sz w:val="22"/>
          <w:szCs w:val="20"/>
          <w:vertAlign w:val="superscript"/>
        </w:rPr>
        <w:t>a</w:t>
      </w:r>
      <w:r w:rsidRPr="00B34707">
        <w:rPr>
          <w:rFonts w:ascii="Times New Roman" w:eastAsia="맑은 고딕" w:hAnsi="Times New Roman" w:cs="Times New Roman"/>
          <w:sz w:val="22"/>
          <w:szCs w:val="20"/>
        </w:rPr>
        <w:t xml:space="preserve"> Data are presented as the mean </w:t>
      </w:r>
      <w:r w:rsidRPr="00B34707">
        <w:rPr>
          <w:rFonts w:ascii="Times New Roman" w:eastAsia="맑은 고딕" w:hAnsi="Times New Roman" w:cs="Times New Roman"/>
          <w:bCs/>
          <w:sz w:val="22"/>
          <w:szCs w:val="20"/>
        </w:rPr>
        <w:t>±</w:t>
      </w:r>
      <w:r w:rsidRPr="00B34707">
        <w:rPr>
          <w:rFonts w:ascii="Times New Roman" w:eastAsia="맑은 고딕" w:hAnsi="Times New Roman" w:cs="Times New Roman"/>
          <w:sz w:val="22"/>
          <w:szCs w:val="20"/>
        </w:rPr>
        <w:t xml:space="preserve"> standard deviation.</w:t>
      </w:r>
    </w:p>
    <w:p w:rsidR="002031D4" w:rsidRPr="00B34707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p w:rsidR="002031D4" w:rsidRPr="00B34707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p w:rsidR="002031D4" w:rsidRPr="00B34707" w:rsidRDefault="002031D4" w:rsidP="00A7696A">
      <w:pPr>
        <w:spacing w:line="480" w:lineRule="auto"/>
        <w:ind w:firstLineChars="50" w:firstLine="100"/>
        <w:rPr>
          <w:rFonts w:ascii="Times New Roman" w:hAnsi="Times New Roman" w:cs="Times New Roman"/>
        </w:rPr>
      </w:pPr>
    </w:p>
    <w:sectPr w:rsidR="002031D4" w:rsidRPr="00B34707" w:rsidSect="002031D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20C" w:rsidRDefault="00B7520C" w:rsidP="005C2BD4">
      <w:pPr>
        <w:spacing w:after="0" w:line="240" w:lineRule="auto"/>
      </w:pPr>
      <w:r>
        <w:separator/>
      </w:r>
    </w:p>
  </w:endnote>
  <w:endnote w:type="continuationSeparator" w:id="0">
    <w:p w:rsidR="00B7520C" w:rsidRDefault="00B7520C" w:rsidP="005C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20C" w:rsidRDefault="00B7520C" w:rsidP="005C2BD4">
      <w:pPr>
        <w:spacing w:after="0" w:line="240" w:lineRule="auto"/>
      </w:pPr>
      <w:r>
        <w:separator/>
      </w:r>
    </w:p>
  </w:footnote>
  <w:footnote w:type="continuationSeparator" w:id="0">
    <w:p w:rsidR="00B7520C" w:rsidRDefault="00B7520C" w:rsidP="005C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B"/>
    <w:rsid w:val="000310A2"/>
    <w:rsid w:val="0006084B"/>
    <w:rsid w:val="000A0DAE"/>
    <w:rsid w:val="000A32CF"/>
    <w:rsid w:val="000A67C5"/>
    <w:rsid w:val="000B28F9"/>
    <w:rsid w:val="000F0808"/>
    <w:rsid w:val="0011009E"/>
    <w:rsid w:val="001609D3"/>
    <w:rsid w:val="0016342A"/>
    <w:rsid w:val="00176B03"/>
    <w:rsid w:val="00185557"/>
    <w:rsid w:val="001B1B3B"/>
    <w:rsid w:val="002031D4"/>
    <w:rsid w:val="00223E37"/>
    <w:rsid w:val="002E138D"/>
    <w:rsid w:val="00312DB2"/>
    <w:rsid w:val="00370B30"/>
    <w:rsid w:val="0045332B"/>
    <w:rsid w:val="004E79F6"/>
    <w:rsid w:val="00524F11"/>
    <w:rsid w:val="00567B39"/>
    <w:rsid w:val="005C2BD4"/>
    <w:rsid w:val="0065647B"/>
    <w:rsid w:val="006B485C"/>
    <w:rsid w:val="006B6858"/>
    <w:rsid w:val="007230B7"/>
    <w:rsid w:val="00775A5C"/>
    <w:rsid w:val="00791F42"/>
    <w:rsid w:val="00831E3A"/>
    <w:rsid w:val="008559D4"/>
    <w:rsid w:val="00956992"/>
    <w:rsid w:val="009C11AA"/>
    <w:rsid w:val="00A22085"/>
    <w:rsid w:val="00A225C9"/>
    <w:rsid w:val="00A51BBE"/>
    <w:rsid w:val="00A7696A"/>
    <w:rsid w:val="00AB4BF0"/>
    <w:rsid w:val="00AD3095"/>
    <w:rsid w:val="00AD52DA"/>
    <w:rsid w:val="00B34707"/>
    <w:rsid w:val="00B46F63"/>
    <w:rsid w:val="00B7520C"/>
    <w:rsid w:val="00C1476F"/>
    <w:rsid w:val="00CD0B4C"/>
    <w:rsid w:val="00CD711C"/>
    <w:rsid w:val="00D16E8B"/>
    <w:rsid w:val="00D600C3"/>
    <w:rsid w:val="00D607EA"/>
    <w:rsid w:val="00D64EC9"/>
    <w:rsid w:val="00D7470A"/>
    <w:rsid w:val="00E022A8"/>
    <w:rsid w:val="00E15199"/>
    <w:rsid w:val="00E37F02"/>
    <w:rsid w:val="00EA1051"/>
    <w:rsid w:val="00ED6F20"/>
    <w:rsid w:val="00F044A9"/>
    <w:rsid w:val="00F26483"/>
    <w:rsid w:val="00F81864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E846D"/>
  <w15:chartTrackingRefBased/>
  <w15:docId w15:val="{6F002BB6-0AE4-4357-B8D5-9C67AA1F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2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2B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2BD4"/>
  </w:style>
  <w:style w:type="paragraph" w:styleId="a4">
    <w:name w:val="footer"/>
    <w:basedOn w:val="a"/>
    <w:link w:val="Char0"/>
    <w:uiPriority w:val="99"/>
    <w:unhideWhenUsed/>
    <w:rsid w:val="005C2B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C2BD4"/>
  </w:style>
  <w:style w:type="paragraph" w:styleId="a5">
    <w:name w:val="Balloon Text"/>
    <w:basedOn w:val="a"/>
    <w:link w:val="Char1"/>
    <w:uiPriority w:val="99"/>
    <w:semiHidden/>
    <w:unhideWhenUsed/>
    <w:rsid w:val="00D16E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16E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 Suk Choi</dc:creator>
  <cp:keywords/>
  <dc:description/>
  <cp:lastModifiedBy>Sungeun</cp:lastModifiedBy>
  <cp:revision>8</cp:revision>
  <dcterms:created xsi:type="dcterms:W3CDTF">2023-01-13T10:14:00Z</dcterms:created>
  <dcterms:modified xsi:type="dcterms:W3CDTF">2023-01-16T07:11:00Z</dcterms:modified>
</cp:coreProperties>
</file>