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D445A" w14:textId="77777777" w:rsidR="007B3BC8" w:rsidRDefault="007B3BC8" w:rsidP="007B3BC8">
      <w:pPr>
        <w:spacing w:line="240" w:lineRule="auto"/>
        <w:jc w:val="both"/>
        <w:rPr>
          <w:sz w:val="24"/>
          <w:szCs w:val="24"/>
        </w:rPr>
      </w:pPr>
    </w:p>
    <w:p w14:paraId="2784219D" w14:textId="77777777" w:rsidR="007B3BC8" w:rsidRDefault="007B3BC8" w:rsidP="007B3BC8">
      <w:pPr>
        <w:spacing w:after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" w:eastAsia="Times" w:hAnsi="Times" w:cs="Times"/>
          <w:b/>
          <w:sz w:val="24"/>
          <w:szCs w:val="24"/>
        </w:rPr>
        <w:t>SUPPORTING INFORMATION.</w:t>
      </w:r>
      <w:r>
        <w:rPr>
          <w:rFonts w:ascii="Times" w:eastAsia="Times" w:hAnsi="Times" w:cs="Times"/>
          <w:sz w:val="24"/>
          <w:szCs w:val="24"/>
        </w:rPr>
        <w:t xml:space="preserve"> </w:t>
      </w:r>
    </w:p>
    <w:p w14:paraId="130A539D" w14:textId="77777777" w:rsidR="007B3BC8" w:rsidRDefault="007B3BC8" w:rsidP="007B3BC8">
      <w:pPr>
        <w:spacing w:after="20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" w:eastAsia="Times" w:hAnsi="Times" w:cs="Times"/>
        </w:rPr>
        <w:t xml:space="preserve">METHODS: </w:t>
      </w:r>
      <w:r>
        <w:rPr>
          <w:rFonts w:ascii="Times New Roman" w:eastAsia="Times New Roman" w:hAnsi="Times New Roman" w:cs="Times New Roman"/>
        </w:rPr>
        <w:t>MD simulations and analysis for CHARMM36m parameter sets;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" w:eastAsia="Times" w:hAnsi="Times" w:cs="Times"/>
        </w:rPr>
        <w:t xml:space="preserve">Topology and parameter files corresponding to the </w:t>
      </w:r>
      <w:r>
        <w:rPr>
          <w:rFonts w:ascii="Times New Roman" w:eastAsia="Times New Roman" w:hAnsi="Times New Roman" w:cs="Times New Roman"/>
        </w:rPr>
        <w:t>FF99_</w:t>
      </w:r>
      <w:r>
        <w:rPr>
          <w:rFonts w:ascii="Cambria Math" w:eastAsia="Cambria Math" w:hAnsi="Cambria Math" w:cs="Cambria Math"/>
        </w:rPr>
        <w:t>𝛘</w:t>
      </w:r>
      <w:r>
        <w:rPr>
          <w:rFonts w:ascii="Cambria Math" w:eastAsia="Cambria Math" w:hAnsi="Cambria Math" w:cs="Cambria Math"/>
          <w:vertAlign w:val="subscript"/>
        </w:rPr>
        <w:t>KOL0</w:t>
      </w:r>
      <w:r>
        <w:rPr>
          <w:rFonts w:ascii="Times New Roman" w:eastAsia="Times New Roman" w:hAnsi="Times New Roman" w:cs="Times New Roman"/>
        </w:rPr>
        <w:t>_</w:t>
      </w:r>
      <w:r>
        <w:rPr>
          <w:rFonts w:ascii="Cambria Math" w:eastAsia="Cambria Math" w:hAnsi="Cambria Math" w:cs="Cambria Math"/>
        </w:rPr>
        <w:t>𝛄</w:t>
      </w:r>
      <w:r>
        <w:rPr>
          <w:rFonts w:ascii="Times New Roman" w:eastAsia="Times New Roman" w:hAnsi="Times New Roman" w:cs="Times New Roman"/>
          <w:vertAlign w:val="subscript"/>
        </w:rPr>
        <w:t xml:space="preserve">bsc0 </w:t>
      </w:r>
      <w:r>
        <w:rPr>
          <w:rFonts w:ascii="Times New Roman" w:eastAsia="Times New Roman" w:hAnsi="Times New Roman" w:cs="Times New Roman"/>
        </w:rPr>
        <w:t xml:space="preserve">force field for inosine (INO); 1-methylinosine (1MI); 2'-O-methylinosine (MRI) and 1,2'-O-dimethylinosine (MMI); </w:t>
      </w:r>
      <w:r>
        <w:rPr>
          <w:rFonts w:ascii="Times" w:eastAsia="Times" w:hAnsi="Times" w:cs="Times"/>
        </w:rPr>
        <w:t xml:space="preserve">Table S1. Frozen and restrained dihedrals during QM optimization in PES scan and MM energy minimizations. Table S2. </w:t>
      </w:r>
      <w:r>
        <w:rPr>
          <w:rFonts w:ascii="Times New Roman" w:eastAsia="Times New Roman" w:hAnsi="Times New Roman" w:cs="Times New Roman"/>
        </w:rPr>
        <w:t xml:space="preserve">Partial atomic charges for inosine and its methyl derivatives. </w:t>
      </w:r>
      <w:r>
        <w:rPr>
          <w:rFonts w:ascii="Times" w:eastAsia="Times" w:hAnsi="Times" w:cs="Times"/>
        </w:rPr>
        <w:t>Table S3.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" w:eastAsia="Times" w:hAnsi="Times" w:cs="Times"/>
        </w:rPr>
        <w:t xml:space="preserve">Distribution (in %) of conformational preferences of inosine. Table S4. Distribution (in %) of conformational preferences of the methyl derivatives of inosine in this study. Table S5 </w:t>
      </w:r>
      <w:r>
        <w:rPr>
          <w:rFonts w:ascii="Times New Roman" w:eastAsia="Times New Roman" w:hAnsi="Times New Roman" w:cs="Times New Roman"/>
        </w:rPr>
        <w:t xml:space="preserve">Population (in %) of inosine conformers with O5′-H5T---N3 and O2′-HO2′---N3 hydrogen bonding interactions. </w:t>
      </w:r>
      <w:r>
        <w:rPr>
          <w:rFonts w:ascii="Times" w:eastAsia="Times" w:hAnsi="Times" w:cs="Times"/>
        </w:rPr>
        <w:t xml:space="preserve">Table S6 </w:t>
      </w:r>
      <w:r>
        <w:rPr>
          <w:rFonts w:ascii="Times New Roman" w:eastAsia="Times New Roman" w:hAnsi="Times New Roman" w:cs="Times New Roman"/>
        </w:rPr>
        <w:t>Population (in %) of 1-methylinosine conformers with O5′-H5T---N3 and O2′-HO2′---N3 hydrogen bonding interactions and 2'-O-methylinosine and 1,2'-O-dimethylinosine conformers with O5′-H5T---N3 parameters. Table S7. Average values of the C3′-O3′ bond distance and C2′-C3′-O3′ and C4′-C3′-O3′ sugar valence angles of inosine.</w:t>
      </w:r>
      <w:r>
        <w:rPr>
          <w:rFonts w:ascii="Times" w:eastAsia="Times" w:hAnsi="Times" w:cs="Time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Table S8-9. Values of </w:t>
      </w:r>
      <w:r>
        <w:rPr>
          <w:rFonts w:ascii="Cambria Math" w:eastAsia="Cambria Math" w:hAnsi="Cambria Math" w:cs="Cambria Math"/>
        </w:rPr>
        <w:t>𝜿′</w:t>
      </w:r>
      <w:r>
        <w:rPr>
          <w:rFonts w:ascii="Gungsuh" w:eastAsia="Gungsuh" w:hAnsi="Gungsuh" w:cs="Gungsuh" w:hint="eastAsia"/>
        </w:rPr>
        <w:t xml:space="preserve"> </w:t>
      </w:r>
      <w:r>
        <w:rPr>
          <w:rFonts w:ascii="Times New Roman" w:eastAsia="Gungsuh" w:hAnsi="Times New Roman" w:cs="Times New Roman"/>
        </w:rPr>
        <w:t>(C4−N9−C1′−C8 − 180°) torsion angle (degrees) for inosine and its methyl derivatives.</w:t>
      </w:r>
    </w:p>
    <w:p w14:paraId="0E365DC5" w14:textId="77777777" w:rsidR="007B3BC8" w:rsidRDefault="007B3BC8" w:rsidP="007B3BC8">
      <w:pPr>
        <w:spacing w:after="200" w:line="480" w:lineRule="auto"/>
        <w:jc w:val="both"/>
        <w:rPr>
          <w:rFonts w:ascii="Times" w:eastAsia="Times" w:hAnsi="Times" w:cs="Times"/>
        </w:rPr>
      </w:pPr>
      <w:r>
        <w:rPr>
          <w:rFonts w:ascii="Times New Roman" w:eastAsia="Times New Roman" w:hAnsi="Times New Roman" w:cs="Times New Roman"/>
        </w:rPr>
        <w:t>Figure S1. Quantum mechanically optimized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structures of inosine and its methyl derivatives for conformational scheme 1 (SC1). Figures S2-4. Energy profiles around </w:t>
      </w:r>
      <w:r>
        <w:rPr>
          <w:rFonts w:ascii="Cambria Math" w:eastAsia="Cambria Math" w:hAnsi="Cambria Math" w:cs="Cambria Math"/>
        </w:rPr>
        <w:t>𝛘</w:t>
      </w:r>
      <w:r>
        <w:rPr>
          <w:rFonts w:ascii="Times" w:eastAsia="Times" w:hAnsi="Times" w:cs="Time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torsional angles from QM and MM calculations for the methyl derivatives of inosine for the four schemes. Figure S5-8.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the glycosidic torsion angle </w:t>
      </w:r>
      <w:r>
        <w:rPr>
          <w:rFonts w:ascii="Times" w:eastAsia="Times" w:hAnsi="Times" w:cs="Times"/>
        </w:rPr>
        <w:t>(</w:t>
      </w:r>
      <w:r>
        <w:rPr>
          <w:rFonts w:ascii="Cambria Math" w:eastAsia="Cambria Math" w:hAnsi="Cambria Math" w:cs="Cambria Math"/>
        </w:rPr>
        <w:t>𝛘</w:t>
      </w:r>
      <w:r>
        <w:rPr>
          <w:rFonts w:ascii="Times" w:eastAsia="Times" w:hAnsi="Times" w:cs="Times"/>
        </w:rPr>
        <w:t xml:space="preserve">) </w:t>
      </w:r>
      <w:r>
        <w:rPr>
          <w:rFonts w:ascii="Times New Roman" w:eastAsia="Times New Roman" w:hAnsi="Times New Roman" w:cs="Times New Roman"/>
        </w:rPr>
        <w:t xml:space="preserve">along the y-axis corresponding to different combinations of force field parameter sets. Figures S9-12.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the gamma torsion angle (</w:t>
      </w:r>
      <w:r>
        <w:rPr>
          <w:rFonts w:ascii="Cambria Math" w:eastAsia="Cambria Math" w:hAnsi="Cambria Math" w:cs="Cambria Math"/>
        </w:rPr>
        <w:t>𝛄</w:t>
      </w:r>
      <w:r>
        <w:rPr>
          <w:rFonts w:ascii="Times New Roman" w:eastAsia="Times New Roman" w:hAnsi="Times New Roman" w:cs="Times New Roman"/>
        </w:rPr>
        <w:t xml:space="preserve">) along the y-axis corresponding to different combinations of force field parameter sets. Figure S13.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the glycosidic torsion angle </w:t>
      </w:r>
      <w:r>
        <w:rPr>
          <w:rFonts w:ascii="Times" w:eastAsia="Times" w:hAnsi="Times" w:cs="Times"/>
        </w:rPr>
        <w:t>(</w:t>
      </w:r>
      <w:r>
        <w:rPr>
          <w:rFonts w:ascii="Cambria Math" w:eastAsia="Cambria Math" w:hAnsi="Cambria Math" w:cs="Cambria Math"/>
        </w:rPr>
        <w:t>𝛘</w:t>
      </w:r>
      <w:r>
        <w:rPr>
          <w:rFonts w:ascii="Times" w:eastAsia="Times" w:hAnsi="Times" w:cs="Times"/>
        </w:rPr>
        <w:t xml:space="preserve">) </w:t>
      </w:r>
      <w:r>
        <w:rPr>
          <w:rFonts w:ascii="Times New Roman" w:eastAsia="Times New Roman" w:hAnsi="Times New Roman" w:cs="Times New Roman"/>
        </w:rPr>
        <w:t>along the y-axis and that with the gamma torsion angle (</w:t>
      </w:r>
      <w:r>
        <w:rPr>
          <w:rFonts w:ascii="Cambria Math" w:eastAsia="Cambria Math" w:hAnsi="Cambria Math" w:cs="Cambria Math"/>
        </w:rPr>
        <w:t>𝛄</w:t>
      </w:r>
      <w:r>
        <w:rPr>
          <w:rFonts w:ascii="Times New Roman" w:eastAsia="Times New Roman" w:hAnsi="Times New Roman" w:cs="Times New Roman"/>
        </w:rPr>
        <w:t xml:space="preserve">) along the y-axis corresponding to CHARMM36m parameters.  Figure S14. Population distribution of the methyl derivatives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the glycosidic torsion angle </w:t>
      </w:r>
      <w:r>
        <w:rPr>
          <w:rFonts w:ascii="Times" w:eastAsia="Times" w:hAnsi="Times" w:cs="Times"/>
        </w:rPr>
        <w:t>(</w:t>
      </w:r>
      <w:r>
        <w:rPr>
          <w:rFonts w:ascii="Cambria Math" w:eastAsia="Cambria Math" w:hAnsi="Cambria Math" w:cs="Cambria Math"/>
        </w:rPr>
        <w:t>𝛘</w:t>
      </w:r>
      <w:r>
        <w:rPr>
          <w:rFonts w:ascii="Times" w:eastAsia="Times" w:hAnsi="Times" w:cs="Times"/>
        </w:rPr>
        <w:t xml:space="preserve">) </w:t>
      </w:r>
      <w:r>
        <w:rPr>
          <w:rFonts w:ascii="Times New Roman" w:eastAsia="Times New Roman" w:hAnsi="Times New Roman" w:cs="Times New Roman"/>
        </w:rPr>
        <w:t xml:space="preserve">along the y-axis and </w:t>
      </w:r>
      <w:r>
        <w:rPr>
          <w:rFonts w:ascii="Times New Roman" w:eastAsia="Times New Roman" w:hAnsi="Times New Roman" w:cs="Times New Roman"/>
        </w:rPr>
        <w:lastRenderedPageBreak/>
        <w:t>that with the gamma torsion angle (</w:t>
      </w:r>
      <w:r>
        <w:rPr>
          <w:rFonts w:ascii="Cambria Math" w:eastAsia="Cambria Math" w:hAnsi="Cambria Math" w:cs="Cambria Math"/>
        </w:rPr>
        <w:t>𝛄</w:t>
      </w:r>
      <w:r>
        <w:rPr>
          <w:rFonts w:ascii="Times New Roman" w:eastAsia="Times New Roman" w:hAnsi="Times New Roman" w:cs="Times New Roman"/>
        </w:rPr>
        <w:t>) along the y-axis corresponding to the FF99_</w:t>
      </w:r>
      <w:r>
        <w:rPr>
          <w:rFonts w:ascii="Cambria Math" w:eastAsia="Cambria Math" w:hAnsi="Cambria Math" w:cs="Cambria Math"/>
        </w:rPr>
        <w:t>𝛘</w:t>
      </w:r>
      <w:r>
        <w:rPr>
          <w:rFonts w:ascii="Cambria Math" w:eastAsia="Cambria Math" w:hAnsi="Cambria Math" w:cs="Cambria Math"/>
          <w:vertAlign w:val="subscript"/>
        </w:rPr>
        <w:t>KOL0</w:t>
      </w:r>
      <w:r>
        <w:rPr>
          <w:rFonts w:ascii="Times New Roman" w:eastAsia="Times New Roman" w:hAnsi="Times New Roman" w:cs="Times New Roman"/>
        </w:rPr>
        <w:t>_</w:t>
      </w:r>
      <w:r>
        <w:rPr>
          <w:rFonts w:ascii="Cambria Math" w:eastAsia="Cambria Math" w:hAnsi="Cambria Math" w:cs="Cambria Math"/>
        </w:rPr>
        <w:t>𝛄</w:t>
      </w:r>
      <w:r>
        <w:rPr>
          <w:rFonts w:ascii="Times New Roman" w:eastAsia="Times New Roman" w:hAnsi="Times New Roman" w:cs="Times New Roman"/>
          <w:vertAlign w:val="subscript"/>
        </w:rPr>
        <w:t>bsc0</w:t>
      </w:r>
      <w:r>
        <w:rPr>
          <w:rFonts w:ascii="Times New Roman" w:eastAsia="Times New Roman" w:hAnsi="Times New Roman" w:cs="Times New Roman"/>
        </w:rPr>
        <w:t xml:space="preserve"> parameters. Figure S15. Time series of (a)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angle, glycosidic torsion angle and gamma torsion angle for inosine corresponding to the CHARMM36m parameters. Figures S16-18.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C3′-O3′ bond distance along the y-axis corresponding to different combinations of force field parameter sets.</w:t>
      </w:r>
      <w:r>
        <w:rPr>
          <w:rFonts w:ascii="Times" w:eastAsia="Times" w:hAnsi="Times" w:cs="Time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Figures S19-21.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C2′-C3′-O3′ angle along the y-axis corresponding to different combinations of force field parameter sets. Figures S22-24.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C4′-C3′-O3′ angle along the y-axis corresponding to different combinations of force field parameter sets. Figure S25-26.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C3′-C4′ bond distance along the y-axis corresponding to different combinations of force field parameter sets for the second and third sets of REMD simulations. Figures S27-28. Population distribution of inosine with the </w:t>
      </w:r>
      <w:proofErr w:type="spellStart"/>
      <w:r>
        <w:rPr>
          <w:rFonts w:ascii="Times New Roman" w:eastAsia="Times New Roman" w:hAnsi="Times New Roman" w:cs="Times New Roman"/>
        </w:rPr>
        <w:t>pseudorotation</w:t>
      </w:r>
      <w:proofErr w:type="spellEnd"/>
      <w:r>
        <w:rPr>
          <w:rFonts w:ascii="Times New Roman" w:eastAsia="Times New Roman" w:hAnsi="Times New Roman" w:cs="Times New Roman"/>
        </w:rPr>
        <w:t xml:space="preserve"> angle (P) along the x-axis and C5′-C4′-C3′ angle along the y-axis corresponding to different combinations of force field parameter sets for the second and third sets of REMD simulations. </w:t>
      </w:r>
      <w:r>
        <w:rPr>
          <w:rFonts w:ascii="Times" w:eastAsia="Times" w:hAnsi="Times" w:cs="Times"/>
        </w:rPr>
        <w:t xml:space="preserve">Figures S29-30. </w:t>
      </w:r>
      <w:r>
        <w:rPr>
          <w:rFonts w:ascii="Times New Roman" w:eastAsia="Times New Roman" w:hAnsi="Times New Roman" w:cs="Times New Roman"/>
        </w:rPr>
        <w:t xml:space="preserve">Population distribution of the conformers of </w:t>
      </w:r>
      <w:r>
        <w:rPr>
          <w:rFonts w:ascii="Times" w:eastAsia="Times" w:hAnsi="Times" w:cs="Times"/>
        </w:rPr>
        <w:t xml:space="preserve">inosine and its methyl derivatives </w:t>
      </w:r>
      <w:r>
        <w:rPr>
          <w:rFonts w:ascii="Times New Roman" w:eastAsia="Times New Roman" w:hAnsi="Times New Roman" w:cs="Times New Roman"/>
        </w:rPr>
        <w:t xml:space="preserve">with </w:t>
      </w:r>
      <w:r>
        <w:rPr>
          <w:rFonts w:ascii="Times" w:eastAsia="Times" w:hAnsi="Times" w:cs="Times"/>
        </w:rPr>
        <w:t>glycosidic torsion angle (</w:t>
      </w:r>
      <w:r>
        <w:rPr>
          <w:rFonts w:ascii="Cambria Math" w:eastAsia="Times New Roman" w:hAnsi="Cambria Math" w:cs="Cambria Math"/>
        </w:rPr>
        <w:t>𝛘</w:t>
      </w:r>
      <w:r>
        <w:rPr>
          <w:rFonts w:ascii="Times New Roman" w:eastAsia="Times New Roman" w:hAnsi="Times New Roman" w:cs="Times New Roman"/>
        </w:rPr>
        <w:t xml:space="preserve">) along the x-axis and </w:t>
      </w:r>
      <w:r>
        <w:rPr>
          <w:rFonts w:ascii="Cambria Math" w:eastAsia="Times New Roman" w:hAnsi="Cambria Math" w:cs="Cambria Math"/>
        </w:rPr>
        <w:t>𝜿</w:t>
      </w:r>
      <w:proofErr w:type="gramStart"/>
      <w:r>
        <w:rPr>
          <w:rFonts w:ascii="Times New Roman" w:eastAsia="Times New Roman" w:hAnsi="Times New Roman" w:cs="Times New Roman"/>
        </w:rPr>
        <w:t>′  improper</w:t>
      </w:r>
      <w:proofErr w:type="gramEnd"/>
      <w:r>
        <w:rPr>
          <w:rFonts w:ascii="Times New Roman" w:eastAsia="Times New Roman" w:hAnsi="Times New Roman" w:cs="Times New Roman"/>
        </w:rPr>
        <w:t xml:space="preserve"> torsion angle </w:t>
      </w:r>
      <w:r>
        <w:rPr>
          <w:rFonts w:ascii="Times" w:eastAsia="Times" w:hAnsi="Times" w:cs="Times"/>
        </w:rPr>
        <w:t xml:space="preserve">along the y-axis respectively. </w:t>
      </w:r>
    </w:p>
    <w:p w14:paraId="6E84BA2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altName w:val="Gungsuh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BC8"/>
    <w:rsid w:val="007B3BC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6C773"/>
  <w15:chartTrackingRefBased/>
  <w15:docId w15:val="{2A614D4F-8E02-413A-815E-F29398DFC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BC8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895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596</Words>
  <Characters>3402</Characters>
  <Application>Microsoft Office Word</Application>
  <DocSecurity>0</DocSecurity>
  <Lines>28</Lines>
  <Paragraphs>7</Paragraphs>
  <ScaleCrop>false</ScaleCrop>
  <Company>Springer Nature</Company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2023-01-20T11:07:00Z</dcterms:created>
  <dcterms:modified xsi:type="dcterms:W3CDTF">2023-01-20T11:08:00Z</dcterms:modified>
</cp:coreProperties>
</file>