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3082E1" w14:textId="77777777" w:rsidR="00FC01A6" w:rsidRPr="00B4761C" w:rsidRDefault="00FC01A6">
      <w:pPr>
        <w:spacing w:before="240" w:after="240" w:line="360" w:lineRule="auto"/>
        <w:jc w:val="both"/>
        <w:rPr>
          <w:rFonts w:ascii="Times New Roman" w:eastAsia="Times New Roman" w:hAnsi="Times New Roman" w:cs="Times New Roman"/>
          <w:sz w:val="24"/>
          <w:szCs w:val="24"/>
        </w:rPr>
      </w:pPr>
    </w:p>
    <w:p w14:paraId="5E19B1E0" w14:textId="77777777" w:rsidR="00FC01A6" w:rsidRPr="00B4761C" w:rsidRDefault="00487BF4">
      <w:pPr>
        <w:spacing w:before="140" w:line="360" w:lineRule="auto"/>
        <w:jc w:val="both"/>
        <w:rPr>
          <w:rFonts w:ascii="Times New Roman" w:eastAsia="Times New Roman" w:hAnsi="Times New Roman" w:cs="Times New Roman"/>
          <w:b/>
          <w:sz w:val="24"/>
          <w:szCs w:val="24"/>
        </w:rPr>
      </w:pPr>
      <w:r w:rsidRPr="00B4761C">
        <w:rPr>
          <w:rFonts w:ascii="Times New Roman" w:eastAsia="Times New Roman" w:hAnsi="Times New Roman" w:cs="Times New Roman"/>
          <w:b/>
          <w:sz w:val="24"/>
          <w:szCs w:val="24"/>
        </w:rPr>
        <w:t>Appendix-A:  Steps for resolving the objects</w:t>
      </w:r>
    </w:p>
    <w:p w14:paraId="1AC9CACD" w14:textId="77777777" w:rsidR="00FC01A6" w:rsidRPr="00B4761C" w:rsidRDefault="00487BF4">
      <w:pPr>
        <w:spacing w:after="240" w:line="360" w:lineRule="auto"/>
        <w:ind w:firstLine="720"/>
        <w:jc w:val="both"/>
        <w:rPr>
          <w:rFonts w:ascii="Times New Roman" w:eastAsia="Times New Roman" w:hAnsi="Times New Roman" w:cs="Times New Roman"/>
          <w:sz w:val="24"/>
          <w:szCs w:val="24"/>
        </w:rPr>
      </w:pPr>
      <w:r w:rsidRPr="00B4761C">
        <w:rPr>
          <w:rFonts w:ascii="Times New Roman" w:eastAsia="Times New Roman" w:hAnsi="Times New Roman" w:cs="Times New Roman"/>
          <w:sz w:val="24"/>
          <w:szCs w:val="24"/>
        </w:rPr>
        <w:t>There are four steps to resolving the objects for heatwave or severe heatwave identification.</w:t>
      </w:r>
    </w:p>
    <w:p w14:paraId="4A75C794" w14:textId="77777777" w:rsidR="00FC01A6" w:rsidRPr="00B4761C" w:rsidRDefault="00487BF4">
      <w:pPr>
        <w:spacing w:after="240" w:line="360" w:lineRule="auto"/>
        <w:ind w:firstLine="720"/>
        <w:jc w:val="both"/>
        <w:rPr>
          <w:rFonts w:ascii="Times New Roman" w:eastAsia="Times New Roman" w:hAnsi="Times New Roman" w:cs="Times New Roman"/>
          <w:b/>
          <w:i/>
          <w:sz w:val="24"/>
          <w:szCs w:val="24"/>
        </w:rPr>
      </w:pPr>
      <w:r w:rsidRPr="00B4761C">
        <w:rPr>
          <w:rFonts w:ascii="Times New Roman" w:eastAsia="Times New Roman" w:hAnsi="Times New Roman" w:cs="Times New Roman"/>
          <w:b/>
          <w:i/>
          <w:sz w:val="24"/>
          <w:szCs w:val="24"/>
        </w:rPr>
        <w:t>(i) The raw data field</w:t>
      </w:r>
    </w:p>
    <w:p w14:paraId="23765FF2" w14:textId="77777777" w:rsidR="00FC01A6" w:rsidRPr="00B4761C" w:rsidRDefault="00487BF4">
      <w:pPr>
        <w:spacing w:after="240" w:line="360" w:lineRule="auto"/>
        <w:ind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rPr>
        <w:t xml:space="preserve">Starts with the raw data field which is the </w:t>
      </w:r>
      <w:r w:rsidRPr="00B4761C">
        <w:rPr>
          <w:rFonts w:ascii="Times New Roman" w:eastAsia="Times New Roman" w:hAnsi="Times New Roman" w:cs="Times New Roman"/>
          <w:sz w:val="24"/>
          <w:szCs w:val="24"/>
          <w:highlight w:val="white"/>
        </w:rPr>
        <w:t xml:space="preserve">original data field on a grid; here the Tmax forecast is taken from NCUM model and the observations from IMD over the Indian domain 8-38N and 68-98E. The entire process of computation </w:t>
      </w:r>
      <w:proofErr w:type="gramStart"/>
      <w:r w:rsidRPr="00B4761C">
        <w:rPr>
          <w:rFonts w:ascii="Times New Roman" w:eastAsia="Times New Roman" w:hAnsi="Times New Roman" w:cs="Times New Roman"/>
          <w:sz w:val="24"/>
          <w:szCs w:val="24"/>
          <w:highlight w:val="white"/>
        </w:rPr>
        <w:t>of  objects</w:t>
      </w:r>
      <w:proofErr w:type="gramEnd"/>
      <w:r w:rsidRPr="00B4761C">
        <w:rPr>
          <w:rFonts w:ascii="Times New Roman" w:eastAsia="Times New Roman" w:hAnsi="Times New Roman" w:cs="Times New Roman"/>
          <w:sz w:val="24"/>
          <w:szCs w:val="24"/>
          <w:highlight w:val="white"/>
        </w:rPr>
        <w:t xml:space="preserve"> and statistics from the objects covers Indian domain only.</w:t>
      </w:r>
    </w:p>
    <w:p w14:paraId="0F4B7EF7" w14:textId="77777777" w:rsidR="00FC01A6" w:rsidRPr="00B4761C" w:rsidRDefault="00487BF4">
      <w:pPr>
        <w:spacing w:after="240" w:line="360" w:lineRule="auto"/>
        <w:ind w:firstLine="720"/>
        <w:jc w:val="both"/>
        <w:rPr>
          <w:rFonts w:ascii="Times New Roman" w:eastAsia="Times New Roman" w:hAnsi="Times New Roman" w:cs="Times New Roman"/>
          <w:b/>
          <w:i/>
          <w:sz w:val="24"/>
          <w:szCs w:val="24"/>
          <w:highlight w:val="white"/>
        </w:rPr>
      </w:pPr>
      <w:r w:rsidRPr="00B4761C">
        <w:rPr>
          <w:rFonts w:ascii="Times New Roman" w:eastAsia="Times New Roman" w:hAnsi="Times New Roman" w:cs="Times New Roman"/>
          <w:b/>
          <w:i/>
          <w:sz w:val="24"/>
          <w:szCs w:val="24"/>
          <w:highlight w:val="white"/>
        </w:rPr>
        <w:t>(ii) The convolution operator</w:t>
      </w:r>
    </w:p>
    <w:p w14:paraId="5E52781C" w14:textId="77777777" w:rsidR="00FC01A6" w:rsidRPr="00B4761C" w:rsidRDefault="00487BF4">
      <w:pPr>
        <w:spacing w:after="240" w:line="360" w:lineRule="auto"/>
        <w:ind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After choosing the raw gridded data and domain for heatwaves, object identification uses the convolution operator. If G is a grid in set of </w:t>
      </w:r>
      <w:proofErr w:type="spellStart"/>
      <w:proofErr w:type="gramStart"/>
      <w:r w:rsidRPr="00B4761C">
        <w:rPr>
          <w:rFonts w:ascii="Times New Roman" w:eastAsia="Times New Roman" w:hAnsi="Times New Roman" w:cs="Times New Roman"/>
          <w:sz w:val="24"/>
          <w:szCs w:val="24"/>
        </w:rPr>
        <w:t>N</w:t>
      </w:r>
      <w:r w:rsidRPr="00B4761C">
        <w:rPr>
          <w:rFonts w:ascii="Times New Roman" w:eastAsia="Times New Roman" w:hAnsi="Times New Roman" w:cs="Times New Roman"/>
          <w:sz w:val="24"/>
          <w:szCs w:val="24"/>
          <w:vertAlign w:val="subscript"/>
        </w:rPr>
        <w:t>x</w:t>
      </w:r>
      <w:r w:rsidRPr="00B4761C">
        <w:rPr>
          <w:rFonts w:ascii="Times New Roman" w:eastAsia="Times New Roman" w:hAnsi="Times New Roman" w:cs="Times New Roman"/>
          <w:sz w:val="24"/>
          <w:szCs w:val="24"/>
          <w:highlight w:val="white"/>
        </w:rPr>
        <w:t>,</w:t>
      </w:r>
      <w:r w:rsidRPr="00B4761C">
        <w:rPr>
          <w:rFonts w:ascii="Times New Roman" w:eastAsia="Times New Roman" w:hAnsi="Times New Roman" w:cs="Times New Roman"/>
          <w:sz w:val="24"/>
          <w:szCs w:val="24"/>
        </w:rPr>
        <w:t>N</w:t>
      </w:r>
      <w:r w:rsidRPr="00B4761C">
        <w:rPr>
          <w:rFonts w:ascii="Times New Roman" w:eastAsia="Times New Roman" w:hAnsi="Times New Roman" w:cs="Times New Roman"/>
          <w:sz w:val="24"/>
          <w:szCs w:val="24"/>
          <w:vertAlign w:val="subscript"/>
        </w:rPr>
        <w:t>y</w:t>
      </w:r>
      <w:proofErr w:type="spellEnd"/>
      <w:proofErr w:type="gramEnd"/>
      <w:r w:rsidRPr="00B4761C">
        <w:rPr>
          <w:rFonts w:ascii="Times New Roman" w:eastAsia="Times New Roman" w:hAnsi="Times New Roman" w:cs="Times New Roman"/>
          <w:sz w:val="24"/>
          <w:szCs w:val="24"/>
          <w:highlight w:val="white"/>
        </w:rPr>
        <w:t xml:space="preserve"> points such that:</w:t>
      </w:r>
    </w:p>
    <w:p w14:paraId="1CD6B4B9" w14:textId="77777777" w:rsidR="00FC01A6" w:rsidRPr="00B4761C" w:rsidRDefault="00487BF4">
      <w:pPr>
        <w:spacing w:after="240" w:line="360" w:lineRule="auto"/>
        <w:ind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G=</w:t>
      </w:r>
      <m:oMath>
        <m:d>
          <m:dPr>
            <m:begChr m:val="{"/>
            <m:endChr m:val="}"/>
            <m:ctrlPr>
              <w:rPr>
                <w:rFonts w:ascii="Cambria Math" w:eastAsia="Times New Roman" w:hAnsi="Cambria Math" w:cs="Times New Roman"/>
                <w:sz w:val="24"/>
                <w:szCs w:val="24"/>
                <w:highlight w:val="white"/>
              </w:rPr>
            </m:ctrlPr>
          </m:dPr>
          <m:e>
            <m:r>
              <w:rPr>
                <w:rFonts w:ascii="Cambria Math" w:eastAsia="Times New Roman" w:hAnsi="Cambria Math" w:cs="Times New Roman"/>
                <w:sz w:val="24"/>
                <w:szCs w:val="24"/>
                <w:highlight w:val="white"/>
              </w:rPr>
              <m:t xml:space="preserve"> (x,y) | 0 ≤x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N</m:t>
                </m:r>
              </m:e>
              <m:sub>
                <m:r>
                  <w:rPr>
                    <w:rFonts w:ascii="Cambria Math" w:eastAsia="Times New Roman" w:hAnsi="Cambria Math" w:cs="Times New Roman"/>
                    <w:sz w:val="24"/>
                    <w:szCs w:val="24"/>
                    <w:highlight w:val="white"/>
                  </w:rPr>
                  <m:t>x</m:t>
                </m:r>
              </m:sub>
            </m:sSub>
            <m:r>
              <w:rPr>
                <w:rFonts w:ascii="Cambria Math" w:eastAsia="Times New Roman" w:hAnsi="Cambria Math" w:cs="Times New Roman"/>
                <w:sz w:val="24"/>
                <w:szCs w:val="24"/>
                <w:highlight w:val="white"/>
              </w:rPr>
              <m:t>, 0 ≤y &lt;</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N</m:t>
                </m:r>
              </m:e>
              <m:sub>
                <m:r>
                  <w:rPr>
                    <w:rFonts w:ascii="Cambria Math" w:eastAsia="Times New Roman" w:hAnsi="Cambria Math" w:cs="Times New Roman"/>
                    <w:sz w:val="24"/>
                    <w:szCs w:val="24"/>
                    <w:highlight w:val="white"/>
                  </w:rPr>
                  <m:t>y</m:t>
                </m:r>
              </m:sub>
            </m:sSub>
            <m:r>
              <w:rPr>
                <w:rFonts w:ascii="Cambria Math" w:eastAsia="Times New Roman" w:hAnsi="Cambria Math" w:cs="Times New Roman"/>
                <w:sz w:val="24"/>
                <w:szCs w:val="24"/>
                <w:highlight w:val="white"/>
              </w:rPr>
              <m:t xml:space="preserve"> with x,y ∈ Z</m:t>
            </m:r>
          </m:e>
        </m:d>
      </m:oMath>
    </w:p>
    <w:p w14:paraId="73DFDBEB" w14:textId="77777777" w:rsidR="00FC01A6" w:rsidRPr="00B4761C" w:rsidRDefault="00FC01A6">
      <w:pPr>
        <w:spacing w:after="240" w:line="360" w:lineRule="auto"/>
        <w:ind w:firstLine="720"/>
        <w:jc w:val="both"/>
        <w:rPr>
          <w:rFonts w:ascii="Times New Roman" w:eastAsia="Times New Roman" w:hAnsi="Times New Roman" w:cs="Times New Roman"/>
          <w:sz w:val="24"/>
          <w:szCs w:val="24"/>
          <w:highlight w:val="white"/>
        </w:rPr>
      </w:pPr>
    </w:p>
    <w:p w14:paraId="6E04C7D8"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Where  </w:t>
      </w:r>
      <m:oMath>
        <m:r>
          <w:rPr>
            <w:rFonts w:ascii="Cambria Math" w:eastAsia="Times New Roman" w:hAnsi="Cambria Math" w:cs="Times New Roman"/>
            <w:sz w:val="24"/>
            <w:szCs w:val="24"/>
            <w:highlight w:val="white"/>
          </w:rPr>
          <m:t>Z</m:t>
        </m:r>
      </m:oMath>
      <w:r w:rsidRPr="00B4761C">
        <w:rPr>
          <w:rFonts w:ascii="Times New Roman" w:eastAsia="Times New Roman" w:hAnsi="Times New Roman" w:cs="Times New Roman"/>
          <w:sz w:val="24"/>
          <w:szCs w:val="24"/>
          <w:highlight w:val="white"/>
        </w:rPr>
        <w:t xml:space="preserve"> is the set of integers:  </w:t>
      </w:r>
      <m:oMath>
        <m:r>
          <w:rPr>
            <w:rFonts w:ascii="Cambria Math" w:eastAsia="Times New Roman" w:hAnsi="Cambria Math" w:cs="Times New Roman"/>
            <w:sz w:val="24"/>
            <w:szCs w:val="24"/>
            <w:highlight w:val="white"/>
          </w:rPr>
          <m:t>Z</m:t>
        </m:r>
      </m:oMath>
      <w:r w:rsidRPr="00B4761C">
        <w:rPr>
          <w:rFonts w:ascii="Times New Roman" w:eastAsia="Times New Roman" w:hAnsi="Times New Roman" w:cs="Times New Roman"/>
          <w:sz w:val="24"/>
          <w:szCs w:val="24"/>
          <w:highlight w:val="white"/>
        </w:rPr>
        <w:t>= {0,</w:t>
      </w:r>
      <m:oMath>
        <m:r>
          <w:rPr>
            <w:rFonts w:ascii="Cambria Math" w:hAnsi="Cambria Math" w:cs="Times New Roman"/>
            <w:sz w:val="24"/>
            <w:szCs w:val="24"/>
          </w:rPr>
          <m:t>±</m:t>
        </m:r>
        <m:r>
          <w:rPr>
            <w:rFonts w:ascii="Cambria Math" w:eastAsia="Times New Roman" w:hAnsi="Cambria Math" w:cs="Times New Roman"/>
            <w:sz w:val="24"/>
            <w:szCs w:val="24"/>
            <w:highlight w:val="white"/>
          </w:rPr>
          <m:t>1,</m:t>
        </m:r>
      </m:oMath>
      <w:r w:rsidRPr="00B4761C">
        <w:rPr>
          <w:rFonts w:ascii="Times New Roman" w:eastAsia="Times New Roman" w:hAnsi="Times New Roman" w:cs="Times New Roman"/>
          <w:sz w:val="24"/>
          <w:szCs w:val="24"/>
          <w:highlight w:val="white"/>
        </w:rPr>
        <w:t xml:space="preserve"> </w:t>
      </w:r>
      <m:oMath>
        <m:r>
          <w:rPr>
            <w:rFonts w:ascii="Cambria Math" w:hAnsi="Cambria Math" w:cs="Times New Roman"/>
            <w:sz w:val="24"/>
            <w:szCs w:val="24"/>
          </w:rPr>
          <m:t>±</m:t>
        </m:r>
        <m:r>
          <w:rPr>
            <w:rFonts w:ascii="Cambria Math" w:eastAsia="Times New Roman" w:hAnsi="Cambria Math" w:cs="Times New Roman"/>
            <w:sz w:val="24"/>
            <w:szCs w:val="24"/>
            <w:highlight w:val="white"/>
          </w:rPr>
          <m:t>2,....}</m:t>
        </m:r>
      </m:oMath>
    </w:p>
    <w:p w14:paraId="4873A4E0"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A data field F on a grid G is then a real-valued function on G; in other words, a rule that associates a real number to each point in G. Occasionally it will be useful to consider the domain of a gridded data field F to be extended to all of   by defining it to be zero outside of the grid.</w:t>
      </w:r>
    </w:p>
    <w:p w14:paraId="17890583"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The convolution operation is used as a general way to implement the idea of a weighted average. The two input fields to the convolution operation are the raw data field and another function, called the convolution filter. The convolution process is governed by the filter’s one tunable parameter R, referred to as the radius, or the radius of influence. If we let x and y denote (integer) coordinates on a grid G and let f(x, y) denote the raw data field on G, then the convolved field C(x, y) is given (in the discrete case) by</w:t>
      </w:r>
    </w:p>
    <w:p w14:paraId="7EA527C9" w14:textId="77777777" w:rsidR="00FC01A6" w:rsidRPr="00B4761C" w:rsidRDefault="00487BF4">
      <w:pPr>
        <w:spacing w:before="240" w:after="240" w:line="360" w:lineRule="auto"/>
        <w:ind w:left="720"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lastRenderedPageBreak/>
        <w:t xml:space="preserve"> </w:t>
      </w:r>
      <m:oMath>
        <m:r>
          <w:rPr>
            <w:rFonts w:ascii="Cambria Math" w:eastAsia="Times New Roman" w:hAnsi="Cambria Math" w:cs="Times New Roman"/>
            <w:sz w:val="24"/>
            <w:szCs w:val="24"/>
            <w:highlight w:val="white"/>
          </w:rPr>
          <m:t xml:space="preserve">C(x,y)= </m:t>
        </m:r>
        <m:nary>
          <m:naryPr>
            <m:chr m:val="∑"/>
            <m:ctrlPr>
              <w:rPr>
                <w:rFonts w:ascii="Cambria Math" w:eastAsia="Times New Roman" w:hAnsi="Cambria Math" w:cs="Times New Roman"/>
                <w:sz w:val="24"/>
                <w:szCs w:val="24"/>
                <w:highlight w:val="white"/>
              </w:rPr>
            </m:ctrlPr>
          </m:naryPr>
          <m:sub>
            <m:r>
              <w:rPr>
                <w:rFonts w:ascii="Cambria Math" w:eastAsia="Times New Roman" w:hAnsi="Cambria Math" w:cs="Times New Roman"/>
                <w:sz w:val="24"/>
                <w:szCs w:val="24"/>
                <w:highlight w:val="white"/>
              </w:rPr>
              <m:t>(x',y')∈G</m:t>
            </m:r>
          </m:sub>
          <m:sup/>
          <m:e/>
        </m:nary>
        <m:r>
          <w:rPr>
            <w:rFonts w:ascii="Cambria Math" w:eastAsia="Times New Roman" w:hAnsi="Cambria Math" w:cs="Times New Roman"/>
            <w:sz w:val="24"/>
            <w:szCs w:val="24"/>
            <w:highlight w:val="white"/>
          </w:rPr>
          <m:t>f(x',y')ϕ(x-x',y-y')                               (1)</m:t>
        </m:r>
      </m:oMath>
    </w:p>
    <w:p w14:paraId="20F448E0"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where the convolution filter function </w:t>
      </w:r>
      <m:oMath>
        <m:r>
          <w:rPr>
            <w:rFonts w:ascii="Cambria Math" w:hAnsi="Cambria Math" w:cs="Times New Roman"/>
            <w:sz w:val="24"/>
            <w:szCs w:val="24"/>
          </w:rPr>
          <m:t>ϕ</m:t>
        </m:r>
      </m:oMath>
      <w:r w:rsidRPr="00B4761C">
        <w:rPr>
          <w:rFonts w:ascii="Times New Roman" w:eastAsia="Times New Roman" w:hAnsi="Times New Roman" w:cs="Times New Roman"/>
          <w:sz w:val="24"/>
          <w:szCs w:val="24"/>
          <w:highlight w:val="white"/>
        </w:rPr>
        <w:t xml:space="preserve"> is given by</w:t>
      </w:r>
    </w:p>
    <w:p w14:paraId="569C80C8" w14:textId="77777777" w:rsidR="00FC01A6" w:rsidRPr="00B4761C" w:rsidRDefault="00487BF4">
      <w:pPr>
        <w:shd w:val="clear" w:color="auto" w:fill="FCFCFC"/>
        <w:spacing w:before="240" w:after="360" w:line="360" w:lineRule="auto"/>
        <w:ind w:left="720"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m:oMath>
        <m:r>
          <w:rPr>
            <w:rFonts w:ascii="Cambria Math" w:hAnsi="Cambria Math" w:cs="Times New Roman"/>
            <w:sz w:val="24"/>
            <w:szCs w:val="24"/>
          </w:rPr>
          <m:t>ϕ</m:t>
        </m:r>
        <m:r>
          <w:rPr>
            <w:rFonts w:ascii="Cambria Math" w:eastAsia="Times New Roman" w:hAnsi="Cambria Math" w:cs="Times New Roman"/>
            <w:sz w:val="24"/>
            <w:szCs w:val="24"/>
            <w:highlight w:val="white"/>
          </w:rPr>
          <m:t>(x,y)=</m:t>
        </m:r>
        <m:d>
          <m:dPr>
            <m:begChr m:val="{"/>
            <m:endChr m:val="}"/>
            <m:ctrlPr>
              <w:rPr>
                <w:rFonts w:ascii="Cambria Math" w:eastAsia="Times New Roman" w:hAnsi="Cambria Math" w:cs="Times New Roman"/>
                <w:sz w:val="24"/>
                <w:szCs w:val="24"/>
                <w:highlight w:val="white"/>
              </w:rPr>
            </m:ctrlPr>
          </m:dPr>
          <m:e>
            <m:r>
              <w:rPr>
                <w:rFonts w:ascii="Cambria Math" w:eastAsia="Times New Roman" w:hAnsi="Cambria Math" w:cs="Times New Roman"/>
                <w:sz w:val="24"/>
                <w:szCs w:val="24"/>
                <w:highlight w:val="white"/>
              </w:rPr>
              <m:t xml:space="preserve">H      if </m:t>
            </m:r>
            <m:rad>
              <m:radPr>
                <m:degHide m:val="1"/>
                <m:ctrlPr>
                  <w:rPr>
                    <w:rFonts w:ascii="Cambria Math" w:eastAsia="Times New Roman" w:hAnsi="Cambria Math" w:cs="Times New Roman"/>
                    <w:sz w:val="24"/>
                    <w:szCs w:val="24"/>
                    <w:highlight w:val="white"/>
                  </w:rPr>
                </m:ctrlPr>
              </m:radPr>
              <m:deg/>
              <m:e>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x</m:t>
                    </m:r>
                  </m:e>
                  <m:sup>
                    <m:r>
                      <w:rPr>
                        <w:rFonts w:ascii="Cambria Math" w:eastAsia="Times New Roman" w:hAnsi="Cambria Math" w:cs="Times New Roman"/>
                        <w:sz w:val="24"/>
                        <w:szCs w:val="24"/>
                        <w:highlight w:val="white"/>
                      </w:rPr>
                      <m:t>2</m:t>
                    </m:r>
                  </m:sup>
                </m:sSup>
                <m:r>
                  <w:rPr>
                    <w:rFonts w:ascii="Cambria Math" w:eastAsia="Times New Roman" w:hAnsi="Cambria Math" w:cs="Times New Roman"/>
                    <w:sz w:val="24"/>
                    <w:szCs w:val="24"/>
                    <w:highlight w:val="white"/>
                  </w:rPr>
                  <m:t>+</m:t>
                </m:r>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y</m:t>
                    </m:r>
                  </m:e>
                  <m:sup>
                    <m:r>
                      <w:rPr>
                        <w:rFonts w:ascii="Cambria Math" w:eastAsia="Times New Roman" w:hAnsi="Cambria Math" w:cs="Times New Roman"/>
                        <w:sz w:val="24"/>
                        <w:szCs w:val="24"/>
                        <w:highlight w:val="white"/>
                      </w:rPr>
                      <m:t>2</m:t>
                    </m:r>
                  </m:sup>
                </m:sSup>
              </m:e>
            </m:rad>
            <m:r>
              <w:rPr>
                <w:rFonts w:ascii="Cambria Math" w:eastAsia="Times New Roman" w:hAnsi="Cambria Math" w:cs="Times New Roman"/>
                <w:sz w:val="24"/>
                <w:szCs w:val="24"/>
                <w:highlight w:val="white"/>
              </w:rPr>
              <m:t xml:space="preserve">, 0 otherwise                                   (2) </m:t>
            </m:r>
          </m:e>
        </m:d>
      </m:oMath>
    </w:p>
    <w:p w14:paraId="4D055677"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In the continuous case, where x and y can take on real (and not just integer) values, the sum is replaced by an integral in Eq (2). The height H of the filter is chosen so that (in </w:t>
      </w:r>
      <w:proofErr w:type="spellStart"/>
      <w:r w:rsidRPr="00B4761C">
        <w:rPr>
          <w:rFonts w:ascii="Times New Roman" w:eastAsia="Times New Roman" w:hAnsi="Times New Roman" w:cs="Times New Roman"/>
          <w:sz w:val="24"/>
          <w:szCs w:val="24"/>
          <w:highlight w:val="white"/>
        </w:rPr>
        <w:t>xy</w:t>
      </w:r>
      <w:proofErr w:type="spellEnd"/>
      <w:r w:rsidRPr="00B4761C">
        <w:rPr>
          <w:rFonts w:ascii="Times New Roman" w:eastAsia="Times New Roman" w:hAnsi="Times New Roman" w:cs="Times New Roman"/>
          <w:sz w:val="24"/>
          <w:szCs w:val="24"/>
          <w:highlight w:val="white"/>
        </w:rPr>
        <w:t xml:space="preserve"> coordinates) the area under the graph </w:t>
      </w:r>
      <w:proofErr w:type="gramStart"/>
      <w:r w:rsidRPr="00B4761C">
        <w:rPr>
          <w:rFonts w:ascii="Times New Roman" w:eastAsia="Times New Roman" w:hAnsi="Times New Roman" w:cs="Times New Roman"/>
          <w:sz w:val="24"/>
          <w:szCs w:val="24"/>
          <w:highlight w:val="white"/>
        </w:rPr>
        <w:t>of  is</w:t>
      </w:r>
      <w:proofErr w:type="gramEnd"/>
      <w:r w:rsidRPr="00B4761C">
        <w:rPr>
          <w:rFonts w:ascii="Times New Roman" w:eastAsia="Times New Roman" w:hAnsi="Times New Roman" w:cs="Times New Roman"/>
          <w:sz w:val="24"/>
          <w:szCs w:val="24"/>
          <w:highlight w:val="white"/>
        </w:rPr>
        <w:t xml:space="preserve"> one:</w:t>
      </w:r>
    </w:p>
    <w:p w14:paraId="60D2FCF4" w14:textId="77777777" w:rsidR="00FC01A6" w:rsidRPr="00B4761C" w:rsidRDefault="00D22559">
      <w:pPr>
        <w:shd w:val="clear" w:color="auto" w:fill="FCFCFC"/>
        <w:spacing w:before="240" w:after="360" w:line="360" w:lineRule="auto"/>
        <w:ind w:left="1440" w:firstLine="720"/>
        <w:jc w:val="both"/>
        <w:rPr>
          <w:rFonts w:ascii="Times New Roman" w:eastAsia="Times New Roman" w:hAnsi="Times New Roman" w:cs="Times New Roman"/>
          <w:sz w:val="24"/>
          <w:szCs w:val="24"/>
          <w:highlight w:val="white"/>
        </w:rPr>
      </w:pPr>
      <m:oMathPara>
        <m:oMath>
          <m:nary>
            <m:naryPr>
              <m:ctrlPr>
                <w:rPr>
                  <w:rFonts w:ascii="Cambria Math" w:eastAsia="Times New Roman" w:hAnsi="Cambria Math" w:cs="Times New Roman"/>
                  <w:sz w:val="24"/>
                  <w:szCs w:val="24"/>
                  <w:highlight w:val="white"/>
                </w:rPr>
              </m:ctrlPr>
            </m:naryPr>
            <m:sub>
              <m:r>
                <w:rPr>
                  <w:rFonts w:ascii="Cambria Math" w:eastAsia="Times New Roman" w:hAnsi="Cambria Math" w:cs="Times New Roman"/>
                  <w:sz w:val="24"/>
                  <w:szCs w:val="24"/>
                  <w:highlight w:val="white"/>
                </w:rPr>
                <m:t>G</m:t>
              </m:r>
            </m:sub>
            <m:sup/>
            <m:e/>
          </m:nary>
          <m:r>
            <w:rPr>
              <w:rFonts w:ascii="Cambria Math" w:eastAsia="Times New Roman" w:hAnsi="Cambria Math" w:cs="Times New Roman"/>
              <w:sz w:val="24"/>
              <w:szCs w:val="24"/>
              <w:highlight w:val="white"/>
            </w:rPr>
            <m:t>ϕ = π</m:t>
          </m:r>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R</m:t>
              </m:r>
            </m:e>
            <m:sup>
              <m:r>
                <w:rPr>
                  <w:rFonts w:ascii="Cambria Math" w:eastAsia="Times New Roman" w:hAnsi="Cambria Math" w:cs="Times New Roman"/>
                  <w:sz w:val="24"/>
                  <w:szCs w:val="24"/>
                  <w:highlight w:val="white"/>
                </w:rPr>
                <m:t>2</m:t>
              </m:r>
            </m:sup>
          </m:sSup>
          <m:r>
            <w:rPr>
              <w:rFonts w:ascii="Cambria Math" w:eastAsia="Times New Roman" w:hAnsi="Cambria Math" w:cs="Times New Roman"/>
              <w:sz w:val="24"/>
              <w:szCs w:val="24"/>
              <w:highlight w:val="white"/>
            </w:rPr>
            <m:t>H = 1                                       (3)</m:t>
          </m:r>
        </m:oMath>
      </m:oMathPara>
    </w:p>
    <w:p w14:paraId="193F01CC"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Gungsuh" w:hAnsi="Times New Roman" w:cs="Times New Roman"/>
          <w:sz w:val="24"/>
          <w:szCs w:val="24"/>
          <w:highlight w:val="white"/>
        </w:rPr>
        <w:t xml:space="preserve">Convolution will be denoted by </w:t>
      </w:r>
      <w:r w:rsidRPr="00B4761C">
        <w:rPr>
          <w:rFonts w:ascii="Cambria Math" w:eastAsia="Gungsuh" w:hAnsi="Cambria Math" w:cs="Cambria Math"/>
          <w:sz w:val="24"/>
          <w:szCs w:val="24"/>
          <w:highlight w:val="white"/>
        </w:rPr>
        <w:t>∗</w:t>
      </w:r>
      <w:r w:rsidRPr="00B4761C">
        <w:rPr>
          <w:rFonts w:ascii="Times New Roman" w:eastAsia="Gungsuh" w:hAnsi="Times New Roman" w:cs="Times New Roman"/>
          <w:sz w:val="24"/>
          <w:szCs w:val="24"/>
          <w:highlight w:val="white"/>
        </w:rPr>
        <w:t xml:space="preserve">, so we can rewrite Eq. (2) as </w:t>
      </w:r>
      <m:oMath>
        <m:r>
          <w:rPr>
            <w:rFonts w:ascii="Cambria Math" w:eastAsia="Times New Roman" w:hAnsi="Cambria Math" w:cs="Times New Roman"/>
            <w:sz w:val="24"/>
            <w:szCs w:val="24"/>
            <w:highlight w:val="white"/>
          </w:rPr>
          <m:t>=f*ϕ</m:t>
        </m:r>
      </m:oMath>
      <w:r w:rsidRPr="00B4761C">
        <w:rPr>
          <w:rFonts w:ascii="Times New Roman" w:eastAsia="Times New Roman" w:hAnsi="Times New Roman" w:cs="Times New Roman"/>
          <w:sz w:val="24"/>
          <w:szCs w:val="24"/>
          <w:highlight w:val="white"/>
        </w:rPr>
        <w:t xml:space="preserve"> . An easy calculation shows that the convolution operation is commutative (i.e., </w:t>
      </w:r>
      <m:oMath>
        <m:r>
          <w:rPr>
            <w:rFonts w:ascii="Cambria Math" w:eastAsia="Times New Roman" w:hAnsi="Cambria Math" w:cs="Times New Roman"/>
            <w:sz w:val="24"/>
            <w:szCs w:val="24"/>
            <w:highlight w:val="white"/>
          </w:rPr>
          <m:t>f*ϕ</m:t>
        </m:r>
      </m:oMath>
      <w:r w:rsidRPr="00B4761C">
        <w:rPr>
          <w:rFonts w:ascii="Times New Roman" w:eastAsia="Times New Roman" w:hAnsi="Times New Roman" w:cs="Times New Roman"/>
          <w:sz w:val="24"/>
          <w:szCs w:val="24"/>
          <w:highlight w:val="white"/>
        </w:rPr>
        <w:t xml:space="preserve"> =</w:t>
      </w:r>
      <m:oMath>
        <m:r>
          <w:rPr>
            <w:rFonts w:ascii="Cambria Math" w:eastAsia="Times New Roman" w:hAnsi="Cambria Math" w:cs="Times New Roman"/>
            <w:sz w:val="24"/>
            <w:szCs w:val="24"/>
            <w:highlight w:val="white"/>
          </w:rPr>
          <m:t xml:space="preserve">  ϕ</m:t>
        </m:r>
      </m:oMath>
      <w:r w:rsidRPr="00B4761C">
        <w:rPr>
          <w:rFonts w:ascii="Times New Roman" w:eastAsia="Times New Roman" w:hAnsi="Times New Roman" w:cs="Times New Roman"/>
          <w:sz w:val="24"/>
          <w:szCs w:val="24"/>
          <w:highlight w:val="white"/>
        </w:rPr>
        <w:t xml:space="preserve"> </w:t>
      </w:r>
      <m:oMath>
        <m:r>
          <w:rPr>
            <w:rFonts w:ascii="Cambria Math" w:eastAsia="Times New Roman" w:hAnsi="Cambria Math" w:cs="Times New Roman"/>
            <w:sz w:val="24"/>
            <w:szCs w:val="24"/>
            <w:highlight w:val="white"/>
          </w:rPr>
          <m:t>*f</m:t>
        </m:r>
      </m:oMath>
      <w:r w:rsidRPr="00B4761C">
        <w:rPr>
          <w:rFonts w:ascii="Times New Roman" w:eastAsia="Times New Roman" w:hAnsi="Times New Roman" w:cs="Times New Roman"/>
          <w:sz w:val="24"/>
          <w:szCs w:val="24"/>
          <w:highlight w:val="white"/>
        </w:rPr>
        <w:t xml:space="preserve">) so that one will sometimes see convolution defined as  </w:t>
      </w:r>
    </w:p>
    <w:p w14:paraId="2134AAD4"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m:oMathPara>
        <m:oMath>
          <m:r>
            <w:rPr>
              <w:rFonts w:ascii="Cambria Math" w:eastAsia="Times New Roman" w:hAnsi="Cambria Math" w:cs="Times New Roman"/>
              <w:sz w:val="24"/>
              <w:szCs w:val="24"/>
              <w:highlight w:val="white"/>
            </w:rPr>
            <m:t xml:space="preserve">C(x,y)= </m:t>
          </m:r>
          <m:nary>
            <m:naryPr>
              <m:chr m:val="∑"/>
              <m:ctrlPr>
                <w:rPr>
                  <w:rFonts w:ascii="Cambria Math" w:eastAsia="Times New Roman" w:hAnsi="Cambria Math" w:cs="Times New Roman"/>
                  <w:sz w:val="24"/>
                  <w:szCs w:val="24"/>
                  <w:highlight w:val="white"/>
                </w:rPr>
              </m:ctrlPr>
            </m:naryPr>
            <m:sub>
              <m:r>
                <w:rPr>
                  <w:rFonts w:ascii="Cambria Math" w:eastAsia="Times New Roman" w:hAnsi="Cambria Math" w:cs="Times New Roman"/>
                  <w:sz w:val="24"/>
                  <w:szCs w:val="24"/>
                  <w:highlight w:val="white"/>
                </w:rPr>
                <m:t>(x',y')∈G</m:t>
              </m:r>
            </m:sub>
            <m:sup/>
            <m:e/>
          </m:nary>
          <m:r>
            <w:rPr>
              <w:rFonts w:ascii="Cambria Math" w:eastAsia="Times New Roman" w:hAnsi="Cambria Math" w:cs="Times New Roman"/>
              <w:sz w:val="24"/>
              <w:szCs w:val="24"/>
              <w:highlight w:val="white"/>
            </w:rPr>
            <m:t>ϕ(x',y')f(x-x',y-y')                               (4)</m:t>
          </m:r>
        </m:oMath>
      </m:oMathPara>
    </w:p>
    <w:p w14:paraId="7C8A57EF"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Probably the best way to think about convolution is as a moving average.</w:t>
      </w:r>
    </w:p>
    <w:p w14:paraId="625C729E"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b/>
          <w:i/>
          <w:sz w:val="24"/>
          <w:szCs w:val="24"/>
          <w:highlight w:val="white"/>
        </w:rPr>
      </w:pPr>
      <w:r w:rsidRPr="00B4761C">
        <w:rPr>
          <w:rFonts w:ascii="Times New Roman" w:eastAsia="Times New Roman" w:hAnsi="Times New Roman" w:cs="Times New Roman"/>
          <w:b/>
          <w:i/>
          <w:sz w:val="24"/>
          <w:szCs w:val="24"/>
          <w:highlight w:val="white"/>
        </w:rPr>
        <w:t>(iii) The Thresholding</w:t>
      </w:r>
    </w:p>
    <w:p w14:paraId="0FA60EEA"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Once the convolved field C has been calculated, it is </w:t>
      </w:r>
      <w:proofErr w:type="spellStart"/>
      <w:r w:rsidRPr="00B4761C">
        <w:rPr>
          <w:rFonts w:ascii="Times New Roman" w:eastAsia="Times New Roman" w:hAnsi="Times New Roman" w:cs="Times New Roman"/>
          <w:sz w:val="24"/>
          <w:szCs w:val="24"/>
          <w:highlight w:val="white"/>
        </w:rPr>
        <w:t>thresholded</w:t>
      </w:r>
      <w:proofErr w:type="spellEnd"/>
      <w:r w:rsidRPr="00B4761C">
        <w:rPr>
          <w:rFonts w:ascii="Times New Roman" w:eastAsia="Times New Roman" w:hAnsi="Times New Roman" w:cs="Times New Roman"/>
          <w:sz w:val="24"/>
          <w:szCs w:val="24"/>
          <w:highlight w:val="white"/>
        </w:rPr>
        <w:t xml:space="preserve"> to produce a mask field M </w:t>
      </w:r>
      <m:oMath>
        <m:r>
          <w:rPr>
            <w:rFonts w:ascii="Cambria Math" w:eastAsia="Times New Roman" w:hAnsi="Cambria Math" w:cs="Times New Roman"/>
            <w:sz w:val="24"/>
            <w:szCs w:val="24"/>
            <w:highlight w:val="white"/>
          </w:rPr>
          <m:t>M(x,y)=</m:t>
        </m:r>
        <m:d>
          <m:dPr>
            <m:begChr m:val="{"/>
            <m:endChr m:val="}"/>
            <m:ctrlPr>
              <w:rPr>
                <w:rFonts w:ascii="Cambria Math" w:eastAsia="Times New Roman" w:hAnsi="Cambria Math" w:cs="Times New Roman"/>
                <w:sz w:val="24"/>
                <w:szCs w:val="24"/>
                <w:highlight w:val="white"/>
              </w:rPr>
            </m:ctrlPr>
          </m:dPr>
          <m:e>
            <m:r>
              <w:rPr>
                <w:rFonts w:ascii="Cambria Math" w:eastAsia="Times New Roman" w:hAnsi="Cambria Math" w:cs="Times New Roman"/>
                <w:sz w:val="24"/>
                <w:szCs w:val="24"/>
                <w:highlight w:val="white"/>
              </w:rPr>
              <m:t xml:space="preserve">1      ifC(x,y)≥ T, 0 otherwise                                   (5) </m:t>
            </m:r>
          </m:e>
        </m:d>
      </m:oMath>
    </w:p>
    <w:p w14:paraId="7096CF9E"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Here, T is the threshold. The object field consists of those grid squares where M = 1, and the individual objects will be the connected components of that field. All of the purely geometrical properties of the objects are derivable from M. The only things missing are the data values inside the objects. Once the convolved field C has been </w:t>
      </w:r>
      <w:proofErr w:type="spellStart"/>
      <w:r w:rsidRPr="00B4761C">
        <w:rPr>
          <w:rFonts w:ascii="Times New Roman" w:eastAsia="Times New Roman" w:hAnsi="Times New Roman" w:cs="Times New Roman"/>
          <w:sz w:val="24"/>
          <w:szCs w:val="24"/>
          <w:highlight w:val="white"/>
        </w:rPr>
        <w:t>thresholded</w:t>
      </w:r>
      <w:proofErr w:type="spellEnd"/>
      <w:r w:rsidRPr="00B4761C">
        <w:rPr>
          <w:rFonts w:ascii="Times New Roman" w:eastAsia="Times New Roman" w:hAnsi="Times New Roman" w:cs="Times New Roman"/>
          <w:sz w:val="24"/>
          <w:szCs w:val="24"/>
          <w:highlight w:val="white"/>
        </w:rPr>
        <w:t xml:space="preserve">, and the mask field M is in hand, the convolved field in essentially thrown away. MODE has no further use for it. It plays no role </w:t>
      </w:r>
      <w:r w:rsidRPr="00B4761C">
        <w:rPr>
          <w:rFonts w:ascii="Times New Roman" w:eastAsia="Times New Roman" w:hAnsi="Times New Roman" w:cs="Times New Roman"/>
          <w:sz w:val="24"/>
          <w:szCs w:val="24"/>
          <w:highlight w:val="white"/>
        </w:rPr>
        <w:lastRenderedPageBreak/>
        <w:t>either in the remainder of the object resolution process, or in the calculation of object attributes, or in the fuzzy-logic-based matching and merging algorithms.</w:t>
      </w:r>
    </w:p>
    <w:p w14:paraId="64A7CB78"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b/>
          <w:i/>
          <w:sz w:val="24"/>
          <w:szCs w:val="24"/>
          <w:highlight w:val="white"/>
        </w:rPr>
        <w:t xml:space="preserve"> </w:t>
      </w:r>
      <w:r w:rsidRPr="00B4761C">
        <w:rPr>
          <w:rFonts w:ascii="Times New Roman" w:eastAsia="Times New Roman" w:hAnsi="Times New Roman" w:cs="Times New Roman"/>
          <w:sz w:val="24"/>
          <w:szCs w:val="24"/>
          <w:highlight w:val="white"/>
        </w:rPr>
        <w:t xml:space="preserve">After thresholding, the mask field M assigns a zero or one to each grid point, according to Eq. (5) Those grid points (x, y) such that </w:t>
      </w:r>
      <w:proofErr w:type="gramStart"/>
      <w:r w:rsidRPr="00B4761C">
        <w:rPr>
          <w:rFonts w:ascii="Times New Roman" w:eastAsia="Times New Roman" w:hAnsi="Times New Roman" w:cs="Times New Roman"/>
          <w:sz w:val="24"/>
          <w:szCs w:val="24"/>
          <w:highlight w:val="white"/>
        </w:rPr>
        <w:t>M(</w:t>
      </w:r>
      <w:proofErr w:type="gramEnd"/>
      <w:r w:rsidRPr="00B4761C">
        <w:rPr>
          <w:rFonts w:ascii="Times New Roman" w:eastAsia="Times New Roman" w:hAnsi="Times New Roman" w:cs="Times New Roman"/>
          <w:sz w:val="24"/>
          <w:szCs w:val="24"/>
          <w:highlight w:val="white"/>
        </w:rPr>
        <w:t>x, y) = 1 will be used to form the simple objects. The simple objects will be the connected parts of the grid where M(x, y) = 1. Once the connected pieces (i.e., the simple objects) have been found, they are numbered consecutively. This process of determining the connected pieces of the mask field on the grid, and assigning numbers to the objects is called splitting. Once splitting has been done, the simple objects and their object numbers are known. At this point, simple object areas could be obtained by counting the grid squares comprising each simple object.</w:t>
      </w:r>
    </w:p>
    <w:p w14:paraId="1435AA2A" w14:textId="77777777" w:rsidR="00FC01A6" w:rsidRPr="00B4761C" w:rsidRDefault="00487BF4">
      <w:pPr>
        <w:spacing w:before="240" w:after="240" w:line="360" w:lineRule="auto"/>
        <w:jc w:val="both"/>
        <w:rPr>
          <w:rFonts w:ascii="Times New Roman" w:eastAsia="Times New Roman" w:hAnsi="Times New Roman" w:cs="Times New Roman"/>
          <w:b/>
          <w:i/>
          <w:sz w:val="24"/>
          <w:szCs w:val="24"/>
          <w:highlight w:val="white"/>
        </w:rPr>
      </w:pPr>
      <w:r w:rsidRPr="00B4761C">
        <w:rPr>
          <w:rFonts w:ascii="Times New Roman" w:eastAsia="Times New Roman" w:hAnsi="Times New Roman" w:cs="Times New Roman"/>
          <w:b/>
          <w:i/>
          <w:sz w:val="24"/>
          <w:szCs w:val="24"/>
          <w:highlight w:val="white"/>
        </w:rPr>
        <w:t>(iv) Restoring the Data</w:t>
      </w:r>
    </w:p>
    <w:p w14:paraId="69CDD27D"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The final step is to restore the original data to object interiors. All original data outside the objects is zeroed out. The object field B is defined by</w:t>
      </w:r>
    </w:p>
    <w:p w14:paraId="1810FF52"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m:oMath>
        <m:r>
          <w:rPr>
            <w:rFonts w:ascii="Cambria Math" w:eastAsia="Times New Roman" w:hAnsi="Cambria Math" w:cs="Times New Roman"/>
            <w:sz w:val="24"/>
            <w:szCs w:val="24"/>
            <w:highlight w:val="white"/>
          </w:rPr>
          <m:t>B(x,y)=</m:t>
        </m:r>
        <m:d>
          <m:dPr>
            <m:begChr m:val="{"/>
            <m:endChr m:val="}"/>
            <m:ctrlPr>
              <w:rPr>
                <w:rFonts w:ascii="Cambria Math" w:eastAsia="Times New Roman" w:hAnsi="Cambria Math" w:cs="Times New Roman"/>
                <w:sz w:val="24"/>
                <w:szCs w:val="24"/>
                <w:highlight w:val="white"/>
              </w:rPr>
            </m:ctrlPr>
          </m:dPr>
          <m:e>
            <m:r>
              <w:rPr>
                <w:rFonts w:ascii="Cambria Math" w:eastAsia="Times New Roman" w:hAnsi="Cambria Math" w:cs="Times New Roman"/>
                <w:sz w:val="24"/>
                <w:szCs w:val="24"/>
                <w:highlight w:val="white"/>
              </w:rPr>
              <m:t xml:space="preserve">f(x,y)     ifM(x,y)= 1; 0 otherwise                                   (6) </m:t>
            </m:r>
          </m:e>
        </m:d>
      </m:oMath>
    </w:p>
    <w:p w14:paraId="5F1FB492"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or, more simply, B = </w:t>
      </w:r>
      <w:proofErr w:type="spellStart"/>
      <w:r w:rsidRPr="00B4761C">
        <w:rPr>
          <w:rFonts w:ascii="Times New Roman" w:eastAsia="Times New Roman" w:hAnsi="Times New Roman" w:cs="Times New Roman"/>
          <w:sz w:val="24"/>
          <w:szCs w:val="24"/>
          <w:highlight w:val="white"/>
        </w:rPr>
        <w:t>fM.</w:t>
      </w:r>
      <w:proofErr w:type="spellEnd"/>
      <w:r w:rsidRPr="00B4761C">
        <w:rPr>
          <w:rFonts w:ascii="Times New Roman" w:eastAsia="Times New Roman" w:hAnsi="Times New Roman" w:cs="Times New Roman"/>
          <w:sz w:val="24"/>
          <w:szCs w:val="24"/>
          <w:highlight w:val="white"/>
        </w:rPr>
        <w:t xml:space="preserve"> This restoration of the raw data enables the calculation of intensity-based attributes for objects. Thus we can speak, for example, of the median intensity value for an object or the 90</w:t>
      </w:r>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percentile intensity value. It also would allow the calculation of other intensity-based object attributes, such as an intensity-weighted centroid or axis.</w:t>
      </w:r>
    </w:p>
    <w:p w14:paraId="5E5F1F53"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The convolution radius used for the example in </w:t>
      </w:r>
      <w:proofErr w:type="gramStart"/>
      <w:r w:rsidRPr="00B4761C">
        <w:rPr>
          <w:rFonts w:ascii="Times New Roman" w:eastAsia="Times New Roman" w:hAnsi="Times New Roman" w:cs="Times New Roman"/>
          <w:sz w:val="24"/>
          <w:szCs w:val="24"/>
          <w:highlight w:val="white"/>
        </w:rPr>
        <w:t>Fig(</w:t>
      </w:r>
      <w:proofErr w:type="gramEnd"/>
      <w:r w:rsidRPr="00B4761C">
        <w:rPr>
          <w:rFonts w:ascii="Times New Roman" w:eastAsia="Times New Roman" w:hAnsi="Times New Roman" w:cs="Times New Roman"/>
          <w:sz w:val="24"/>
          <w:szCs w:val="24"/>
          <w:highlight w:val="white"/>
        </w:rPr>
        <w:t>6) was 4 grid squares and the threshold applied was 43</w:t>
      </w:r>
      <w:r w:rsidRPr="00B4761C">
        <w:rPr>
          <w:rFonts w:ascii="Times New Roman" w:eastAsia="Times New Roman" w:hAnsi="Times New Roman" w:cs="Times New Roman"/>
          <w:sz w:val="24"/>
          <w:szCs w:val="24"/>
          <w:highlight w:val="white"/>
          <w:vertAlign w:val="superscript"/>
        </w:rPr>
        <w:t>o</w:t>
      </w:r>
      <w:r w:rsidRPr="00B4761C">
        <w:rPr>
          <w:rFonts w:ascii="Times New Roman" w:eastAsia="Times New Roman" w:hAnsi="Times New Roman" w:cs="Times New Roman"/>
          <w:sz w:val="24"/>
          <w:szCs w:val="24"/>
          <w:highlight w:val="white"/>
        </w:rPr>
        <w:t xml:space="preserve">C. Comparing the raw field to the convolved objects indicates that these choices resulted in reasonable definitions of the objects, but not at as fine a scale that would be required to only identify the central “core” </w:t>
      </w:r>
      <w:r w:rsidRPr="00B4761C">
        <w:rPr>
          <w:rFonts w:ascii="Times New Roman" w:eastAsia="Times New Roman" w:hAnsi="Times New Roman" w:cs="Times New Roman"/>
          <w:i/>
          <w:sz w:val="24"/>
          <w:szCs w:val="24"/>
          <w:highlight w:val="white"/>
        </w:rPr>
        <w:t>Tmax</w:t>
      </w:r>
      <w:r w:rsidRPr="00B4761C">
        <w:rPr>
          <w:rFonts w:ascii="Times New Roman" w:eastAsia="Times New Roman" w:hAnsi="Times New Roman" w:cs="Times New Roman"/>
          <w:sz w:val="24"/>
          <w:szCs w:val="24"/>
          <w:highlight w:val="white"/>
        </w:rPr>
        <w:t xml:space="preserve"> areas of the event. On the other hand, the objects are not very smooth so they likely can provide a reasonable assessment of the highest </w:t>
      </w:r>
      <w:r w:rsidRPr="00B4761C">
        <w:rPr>
          <w:rFonts w:ascii="Times New Roman" w:eastAsia="Times New Roman" w:hAnsi="Times New Roman" w:cs="Times New Roman"/>
          <w:i/>
          <w:sz w:val="24"/>
          <w:szCs w:val="24"/>
          <w:highlight w:val="white"/>
        </w:rPr>
        <w:t xml:space="preserve">Tmax </w:t>
      </w:r>
      <w:r w:rsidRPr="00B4761C">
        <w:rPr>
          <w:rFonts w:ascii="Times New Roman" w:eastAsia="Times New Roman" w:hAnsi="Times New Roman" w:cs="Times New Roman"/>
          <w:sz w:val="24"/>
          <w:szCs w:val="24"/>
          <w:highlight w:val="white"/>
        </w:rPr>
        <w:t xml:space="preserve">region. Furthermore, in order to identify the central “core” </w:t>
      </w:r>
      <w:r w:rsidRPr="00B4761C">
        <w:rPr>
          <w:rFonts w:ascii="Times New Roman" w:eastAsia="Times New Roman" w:hAnsi="Times New Roman" w:cs="Times New Roman"/>
          <w:i/>
          <w:sz w:val="24"/>
          <w:szCs w:val="24"/>
          <w:highlight w:val="white"/>
        </w:rPr>
        <w:t xml:space="preserve">Tmax </w:t>
      </w:r>
      <w:r w:rsidRPr="00B4761C">
        <w:rPr>
          <w:rFonts w:ascii="Times New Roman" w:eastAsia="Times New Roman" w:hAnsi="Times New Roman" w:cs="Times New Roman"/>
          <w:sz w:val="24"/>
          <w:szCs w:val="24"/>
          <w:highlight w:val="white"/>
        </w:rPr>
        <w:t>areas of the event, a smaller convolution radius or a higher threshold could be used.</w:t>
      </w:r>
    </w:p>
    <w:p w14:paraId="0241AEA3"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lastRenderedPageBreak/>
        <w:t>In MODE the identification of objects is based on a convolution and thresholding process. The two parameters that must be selected by the user are (i) the convolution radius and (ii) the convolution threshold. The characteristics of the objects defined are very dependent on how these parameters are selected, and can range from many small objects to a few very large smooth objects. Different combinations of these parameters may be desired for different applications.</w:t>
      </w:r>
    </w:p>
    <w:p w14:paraId="2CD563E1" w14:textId="77777777" w:rsidR="00FC01A6" w:rsidRPr="00B4761C" w:rsidRDefault="00487BF4">
      <w:pPr>
        <w:spacing w:before="240" w:after="240" w:line="360" w:lineRule="auto"/>
        <w:jc w:val="both"/>
        <w:rPr>
          <w:rFonts w:ascii="Times New Roman" w:eastAsia="Times New Roman" w:hAnsi="Times New Roman" w:cs="Times New Roman"/>
          <w:b/>
          <w:sz w:val="24"/>
          <w:szCs w:val="24"/>
          <w:highlight w:val="white"/>
        </w:rPr>
      </w:pPr>
      <w:r w:rsidRPr="00B4761C">
        <w:rPr>
          <w:rFonts w:ascii="Times New Roman" w:eastAsia="Times New Roman" w:hAnsi="Times New Roman" w:cs="Times New Roman"/>
          <w:b/>
          <w:sz w:val="24"/>
          <w:szCs w:val="24"/>
          <w:highlight w:val="white"/>
        </w:rPr>
        <w:t>Appendix-B:  Attributes</w:t>
      </w:r>
    </w:p>
    <w:p w14:paraId="11657F37"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Attributes are quantities that measure spatial features or properties of objects that may be of interest. MODE, of course, doesn’t “see” objects the way </w:t>
      </w:r>
      <w:r w:rsidRPr="00B4761C">
        <w:rPr>
          <w:rFonts w:ascii="Times New Roman" w:eastAsia="Times New Roman" w:hAnsi="Times New Roman" w:cs="Times New Roman"/>
          <w:i/>
          <w:iCs/>
          <w:sz w:val="24"/>
          <w:szCs w:val="24"/>
          <w:highlight w:val="white"/>
        </w:rPr>
        <w:t>humans</w:t>
      </w:r>
      <w:r w:rsidRPr="00B4761C">
        <w:rPr>
          <w:rFonts w:ascii="Times New Roman" w:eastAsia="Times New Roman" w:hAnsi="Times New Roman" w:cs="Times New Roman"/>
          <w:sz w:val="24"/>
          <w:szCs w:val="24"/>
          <w:highlight w:val="white"/>
        </w:rPr>
        <w:t xml:space="preserve"> do—it works instead with the object attributes, and all of its computations are ultimately based on measured or calculated values for these attributes.</w:t>
      </w:r>
    </w:p>
    <w:p w14:paraId="7DCE2E9A"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The attributes that MODE computes fall into two categories. The first kind of attribute is for single objects. Individual objects resolved from either the forecast field or the observation field will have attributes that can be calculated without reference to any other object. One example of a single-object attribute is object area. The other type of attribute is for object pairs. Taking one object from the forecast field and one from the observed field, one can calculate attributes that involve both objects together. An example of this type of attribute is intersection area: the area that is inside both objects simultaneously. Many pair attributes are derived by taking either differences or ratios of single-object attributes. Thus, for example, we could look at the ratio of the forecast object area to the observed object area. One advantage of taking ratios is that the resulting value is dimensionless and hence independent of the scale of the grid.</w:t>
      </w:r>
    </w:p>
    <w:p w14:paraId="69DED10A"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Convex Hull: A region is convex if, whenever we select two points from the region, the straight line segment joining the points lies entirely inside the region. The convex hull of a region is the smallest convex region that contains the given region. A good way to mentally picture the convex hull of a region is to imagine a rubber band wrapped around the region. The area inside the rubber band is the convex hull. MODE uses convex hulls for several things. One is the calculation of a single-object attribute called complexity. Another is the pair-object attribute convex hull distance, the distance between the convex hulls of the two objects.</w:t>
      </w:r>
    </w:p>
    <w:p w14:paraId="240659A8"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lastRenderedPageBreak/>
        <w:t xml:space="preserve">Area measures are directly related to object size and (for pairs) amount of overlap. In MODE, the area of an object is simply a count of the number of grid squares the object covers. MODE has several area measures for pairs of objects which also reflect a count of grid squares. For example, given two objects that may or may not overlap, the union area is the area that is inside one of the objects or the other (or both). Intersection area is the area inside both objects simultaneously possess. If the two objects do not overlap, then this area is zero. The symmetric difference is the area that’s inside at least one of the objects, but not inside both. Symmetric difference can be a good indicator of forecast quality, since </w:t>
      </w:r>
      <w:proofErr w:type="gramStart"/>
      <w:r w:rsidRPr="00B4761C">
        <w:rPr>
          <w:rFonts w:ascii="Times New Roman" w:eastAsia="Times New Roman" w:hAnsi="Times New Roman" w:cs="Times New Roman"/>
          <w:sz w:val="24"/>
          <w:szCs w:val="24"/>
          <w:highlight w:val="white"/>
        </w:rPr>
        <w:t>in order for</w:t>
      </w:r>
      <w:proofErr w:type="gramEnd"/>
      <w:r w:rsidRPr="00B4761C">
        <w:rPr>
          <w:rFonts w:ascii="Times New Roman" w:eastAsia="Times New Roman" w:hAnsi="Times New Roman" w:cs="Times New Roman"/>
          <w:sz w:val="24"/>
          <w:szCs w:val="24"/>
          <w:highlight w:val="white"/>
        </w:rPr>
        <w:t xml:space="preserve"> the symmetric difference to be small, the two objects must nearly coincide. This means the forecast must have correctly predicted the location, size and orientation of the object.</w:t>
      </w:r>
    </w:p>
    <w:p w14:paraId="22AA4086"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b/>
          <w:sz w:val="24"/>
          <w:szCs w:val="24"/>
          <w:highlight w:val="white"/>
        </w:rPr>
        <w:t xml:space="preserve">Complexity : </w:t>
      </w:r>
      <w:r w:rsidRPr="00B4761C">
        <w:rPr>
          <w:rFonts w:ascii="Times New Roman" w:eastAsia="Times New Roman" w:hAnsi="Times New Roman" w:cs="Times New Roman"/>
          <w:sz w:val="24"/>
          <w:szCs w:val="24"/>
          <w:highlight w:val="white"/>
        </w:rPr>
        <w:t>Object complexity attempts to measure how simple the internal structure of an object is—does the object have holes, does it have appendages; in short, is the object complicated or not? MODE measures this by looking at the difference between the area of the object and the area of its convex hull. More precisely,</w:t>
      </w:r>
    </w:p>
    <w:p w14:paraId="787A1AE2" w14:textId="77777777" w:rsidR="00FC01A6" w:rsidRPr="00B4761C" w:rsidRDefault="00487BF4">
      <w:pPr>
        <w:spacing w:before="240" w:after="240" w:line="360" w:lineRule="auto"/>
        <w:ind w:left="1440" w:firstLine="720"/>
        <w:jc w:val="both"/>
        <w:rPr>
          <w:rFonts w:ascii="Times New Roman" w:eastAsia="Times New Roman" w:hAnsi="Times New Roman" w:cs="Times New Roman"/>
          <w:sz w:val="24"/>
          <w:szCs w:val="24"/>
          <w:highlight w:val="white"/>
        </w:rPr>
      </w:pPr>
      <m:oMathPara>
        <m:oMath>
          <m:r>
            <w:rPr>
              <w:rFonts w:ascii="Cambria Math" w:eastAsia="Times New Roman" w:hAnsi="Cambria Math" w:cs="Times New Roman"/>
              <w:sz w:val="24"/>
              <w:szCs w:val="24"/>
              <w:highlight w:val="white"/>
            </w:rPr>
            <m:t xml:space="preserve">Complexity = </m:t>
          </m:r>
          <m:f>
            <m:fPr>
              <m:ctrlPr>
                <w:rPr>
                  <w:rFonts w:ascii="Cambria Math" w:eastAsia="Times New Roman" w:hAnsi="Cambria Math" w:cs="Times New Roman"/>
                  <w:sz w:val="24"/>
                  <w:szCs w:val="24"/>
                  <w:highlight w:val="white"/>
                </w:rPr>
              </m:ctrlPr>
            </m:fPr>
            <m:num>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hull</m:t>
                  </m:r>
                </m:sub>
              </m:sSub>
              <m:r>
                <w:rPr>
                  <w:rFonts w:ascii="Cambria Math" w:eastAsia="Times New Roman" w:hAnsi="Cambria Math" w:cs="Times New Roman"/>
                  <w:sz w:val="24"/>
                  <w:szCs w:val="24"/>
                  <w:highlight w:val="white"/>
                </w:rPr>
                <m:t>-</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 xml:space="preserve">  A</m:t>
                  </m:r>
                </m:e>
                <m:sub>
                  <m:r>
                    <w:rPr>
                      <w:rFonts w:ascii="Cambria Math" w:eastAsia="Times New Roman" w:hAnsi="Cambria Math" w:cs="Times New Roman"/>
                      <w:sz w:val="24"/>
                      <w:szCs w:val="24"/>
                      <w:highlight w:val="white"/>
                    </w:rPr>
                    <m:t>object</m:t>
                  </m:r>
                </m:sub>
              </m:sSub>
            </m:num>
            <m:den>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hull</m:t>
                  </m:r>
                </m:sub>
              </m:sSub>
            </m:den>
          </m:f>
          <m:r>
            <w:rPr>
              <w:rFonts w:ascii="Cambria Math" w:eastAsia="Times New Roman" w:hAnsi="Cambria Math" w:cs="Times New Roman"/>
              <w:sz w:val="24"/>
              <w:szCs w:val="24"/>
              <w:highlight w:val="white"/>
            </w:rPr>
            <m:t xml:space="preserve">                              (7)</m:t>
          </m:r>
        </m:oMath>
      </m:oMathPara>
    </w:p>
    <w:p w14:paraId="7F6657DE"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Gungsuh" w:hAnsi="Times New Roman" w:cs="Times New Roman"/>
          <w:sz w:val="24"/>
          <w:szCs w:val="24"/>
          <w:highlight w:val="white"/>
        </w:rPr>
        <w:t>We have 0 ≤ complexity &lt; 1, and the complexity is zero if and only if the object is convex.</w:t>
      </w:r>
    </w:p>
    <w:p w14:paraId="1445E4F3"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Distance attributes are pair attributes that give straight line distances measured with respect to the grid that the data are on. Centroid distance is the distance (in grid units) between the centroids of two objects. If one object has centroid grid coordinates (x</w:t>
      </w:r>
      <w:r w:rsidRPr="00B4761C">
        <w:rPr>
          <w:rFonts w:ascii="Times New Roman" w:eastAsia="Times New Roman" w:hAnsi="Times New Roman" w:cs="Times New Roman"/>
          <w:sz w:val="24"/>
          <w:szCs w:val="24"/>
          <w:highlight w:val="white"/>
          <w:vertAlign w:val="subscript"/>
        </w:rPr>
        <w:t>1</w:t>
      </w:r>
      <w:r w:rsidRPr="00B4761C">
        <w:rPr>
          <w:rFonts w:ascii="Times New Roman" w:eastAsia="Times New Roman" w:hAnsi="Times New Roman" w:cs="Times New Roman"/>
          <w:sz w:val="24"/>
          <w:szCs w:val="24"/>
          <w:highlight w:val="white"/>
        </w:rPr>
        <w:t>, y</w:t>
      </w:r>
      <w:r w:rsidRPr="00B4761C">
        <w:rPr>
          <w:rFonts w:ascii="Times New Roman" w:eastAsia="Times New Roman" w:hAnsi="Times New Roman" w:cs="Times New Roman"/>
          <w:sz w:val="24"/>
          <w:szCs w:val="24"/>
          <w:highlight w:val="white"/>
          <w:vertAlign w:val="subscript"/>
        </w:rPr>
        <w:t>1</w:t>
      </w:r>
      <w:r w:rsidRPr="00B4761C">
        <w:rPr>
          <w:rFonts w:ascii="Times New Roman" w:eastAsia="Times New Roman" w:hAnsi="Times New Roman" w:cs="Times New Roman"/>
          <w:sz w:val="24"/>
          <w:szCs w:val="24"/>
          <w:highlight w:val="white"/>
        </w:rPr>
        <w:t>) and the other has centroid coordinates (x</w:t>
      </w:r>
      <w:r w:rsidRPr="00B4761C">
        <w:rPr>
          <w:rFonts w:ascii="Times New Roman" w:eastAsia="Times New Roman" w:hAnsi="Times New Roman" w:cs="Times New Roman"/>
          <w:sz w:val="24"/>
          <w:szCs w:val="24"/>
          <w:highlight w:val="white"/>
          <w:vertAlign w:val="subscript"/>
        </w:rPr>
        <w:t>2</w:t>
      </w:r>
      <w:r w:rsidRPr="00B4761C">
        <w:rPr>
          <w:rFonts w:ascii="Times New Roman" w:eastAsia="Times New Roman" w:hAnsi="Times New Roman" w:cs="Times New Roman"/>
          <w:sz w:val="24"/>
          <w:szCs w:val="24"/>
          <w:highlight w:val="white"/>
        </w:rPr>
        <w:t>, y</w:t>
      </w:r>
      <w:r w:rsidRPr="00B4761C">
        <w:rPr>
          <w:rFonts w:ascii="Times New Roman" w:eastAsia="Times New Roman" w:hAnsi="Times New Roman" w:cs="Times New Roman"/>
          <w:sz w:val="24"/>
          <w:szCs w:val="24"/>
          <w:highlight w:val="white"/>
          <w:vertAlign w:val="subscript"/>
        </w:rPr>
        <w:t>2</w:t>
      </w:r>
      <w:r w:rsidRPr="00B4761C">
        <w:rPr>
          <w:rFonts w:ascii="Times New Roman" w:eastAsia="Times New Roman" w:hAnsi="Times New Roman" w:cs="Times New Roman"/>
          <w:sz w:val="24"/>
          <w:szCs w:val="24"/>
          <w:highlight w:val="white"/>
        </w:rPr>
        <w:t xml:space="preserve">), then the centroid distance is computed via the usual Cartesian formula:                 </w:t>
      </w:r>
      <m:oMath>
        <m:r>
          <w:rPr>
            <w:rFonts w:ascii="Cambria Math" w:eastAsia="Times New Roman" w:hAnsi="Cambria Math" w:cs="Times New Roman"/>
            <w:sz w:val="24"/>
            <w:szCs w:val="24"/>
            <w:highlight w:val="white"/>
          </w:rPr>
          <m:t xml:space="preserve">Centroid Distance= </m:t>
        </m:r>
        <m:rad>
          <m:radPr>
            <m:degHide m:val="1"/>
            <m:ctrlPr>
              <w:rPr>
                <w:rFonts w:ascii="Cambria Math" w:eastAsia="Times New Roman" w:hAnsi="Cambria Math" w:cs="Times New Roman"/>
                <w:sz w:val="24"/>
                <w:szCs w:val="24"/>
                <w:highlight w:val="white"/>
              </w:rPr>
            </m:ctrlPr>
          </m:radPr>
          <m:deg/>
          <m:e>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x</m:t>
                    </m:r>
                  </m:e>
                  <m:sub>
                    <m:r>
                      <w:rPr>
                        <w:rFonts w:ascii="Cambria Math" w:eastAsia="Times New Roman" w:hAnsi="Cambria Math" w:cs="Times New Roman"/>
                        <w:sz w:val="24"/>
                        <w:szCs w:val="24"/>
                        <w:highlight w:val="white"/>
                      </w:rPr>
                      <m:t>1</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x</m:t>
                    </m:r>
                  </m:e>
                  <m:sub>
                    <m:r>
                      <w:rPr>
                        <w:rFonts w:ascii="Cambria Math" w:eastAsia="Times New Roman" w:hAnsi="Cambria Math" w:cs="Times New Roman"/>
                        <w:sz w:val="24"/>
                        <w:szCs w:val="24"/>
                        <w:highlight w:val="white"/>
                      </w:rPr>
                      <m:t>2</m:t>
                    </m:r>
                  </m:sub>
                </m:sSub>
                <m:r>
                  <w:rPr>
                    <w:rFonts w:ascii="Cambria Math" w:eastAsia="Times New Roman" w:hAnsi="Cambria Math" w:cs="Times New Roman"/>
                    <w:sz w:val="24"/>
                    <w:szCs w:val="24"/>
                    <w:highlight w:val="white"/>
                  </w:rPr>
                  <m:t>)</m:t>
                </m:r>
              </m:e>
              <m:sup>
                <m:r>
                  <w:rPr>
                    <w:rFonts w:ascii="Cambria Math" w:eastAsia="Times New Roman" w:hAnsi="Cambria Math" w:cs="Times New Roman"/>
                    <w:sz w:val="24"/>
                    <w:szCs w:val="24"/>
                    <w:highlight w:val="white"/>
                  </w:rPr>
                  <m:t>2</m:t>
                </m:r>
              </m:sup>
            </m:sSup>
            <m:r>
              <w:rPr>
                <w:rFonts w:ascii="Cambria Math" w:eastAsia="Times New Roman" w:hAnsi="Cambria Math" w:cs="Times New Roman"/>
                <w:sz w:val="24"/>
                <w:szCs w:val="24"/>
                <w:highlight w:val="white"/>
              </w:rPr>
              <m:t xml:space="preserve">+ </m:t>
            </m:r>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y</m:t>
                    </m:r>
                  </m:e>
                  <m:sub>
                    <m:r>
                      <w:rPr>
                        <w:rFonts w:ascii="Cambria Math" w:eastAsia="Times New Roman" w:hAnsi="Cambria Math" w:cs="Times New Roman"/>
                        <w:sz w:val="24"/>
                        <w:szCs w:val="24"/>
                        <w:highlight w:val="white"/>
                      </w:rPr>
                      <m:t>1</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y</m:t>
                    </m:r>
                  </m:e>
                  <m:sub>
                    <m:r>
                      <w:rPr>
                        <w:rFonts w:ascii="Cambria Math" w:eastAsia="Times New Roman" w:hAnsi="Cambria Math" w:cs="Times New Roman"/>
                        <w:sz w:val="24"/>
                        <w:szCs w:val="24"/>
                        <w:highlight w:val="white"/>
                      </w:rPr>
                      <m:t>2</m:t>
                    </m:r>
                  </m:sub>
                </m:sSub>
                <m:r>
                  <w:rPr>
                    <w:rFonts w:ascii="Cambria Math" w:eastAsia="Times New Roman" w:hAnsi="Cambria Math" w:cs="Times New Roman"/>
                    <w:sz w:val="24"/>
                    <w:szCs w:val="24"/>
                    <w:highlight w:val="white"/>
                  </w:rPr>
                  <m:t>)</m:t>
                </m:r>
              </m:e>
              <m:sup>
                <m:r>
                  <w:rPr>
                    <w:rFonts w:ascii="Cambria Math" w:eastAsia="Times New Roman" w:hAnsi="Cambria Math" w:cs="Times New Roman"/>
                    <w:sz w:val="24"/>
                    <w:szCs w:val="24"/>
                    <w:highlight w:val="white"/>
                  </w:rPr>
                  <m:t>2</m:t>
                </m:r>
              </m:sup>
            </m:sSup>
          </m:e>
        </m:rad>
      </m:oMath>
      <w:r w:rsidRPr="00B4761C">
        <w:rPr>
          <w:rFonts w:ascii="Times New Roman" w:eastAsia="Times New Roman" w:hAnsi="Times New Roman" w:cs="Times New Roman"/>
          <w:sz w:val="24"/>
          <w:szCs w:val="24"/>
          <w:highlight w:val="white"/>
        </w:rPr>
        <w:t xml:space="preserve">              (8)</w:t>
      </w:r>
    </w:p>
    <w:p w14:paraId="586CF726"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if the two objects are small or not too complicated, then centroid distance may give valuable information regarding their degree of separation. If the objects are large or complex, then centroid distance may not have much meaning. Convex hull distance is the shortest distance between a point on one object’s convex hull and a point on the other object’s convex hull. This distance will be zero if the two hulls intersect. Note that it’s possible for the convex hulls of two objects to overlap even if the objects themselves don’t. Boundary distance is similar to convex </w:t>
      </w:r>
      <w:r w:rsidRPr="00B4761C">
        <w:rPr>
          <w:rFonts w:ascii="Times New Roman" w:eastAsia="Times New Roman" w:hAnsi="Times New Roman" w:cs="Times New Roman"/>
          <w:sz w:val="24"/>
          <w:szCs w:val="24"/>
          <w:highlight w:val="white"/>
        </w:rPr>
        <w:lastRenderedPageBreak/>
        <w:t>hull distance, except that the object boundaries are used instead of the convex hulls. This distance will be zero if the two objects touch.</w:t>
      </w:r>
    </w:p>
    <w:p w14:paraId="67524179"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b/>
          <w:sz w:val="24"/>
          <w:szCs w:val="24"/>
          <w:highlight w:val="white"/>
        </w:rPr>
      </w:pPr>
      <w:r w:rsidRPr="00B4761C">
        <w:rPr>
          <w:rFonts w:ascii="Times New Roman" w:eastAsia="Times New Roman" w:hAnsi="Times New Roman" w:cs="Times New Roman"/>
          <w:sz w:val="24"/>
          <w:szCs w:val="24"/>
          <w:highlight w:val="white"/>
        </w:rPr>
        <w:t xml:space="preserve"> </w:t>
      </w:r>
      <w:r w:rsidRPr="00B4761C">
        <w:rPr>
          <w:rFonts w:ascii="Times New Roman" w:eastAsia="Times New Roman" w:hAnsi="Times New Roman" w:cs="Times New Roman"/>
          <w:b/>
          <w:sz w:val="24"/>
          <w:szCs w:val="24"/>
          <w:highlight w:val="white"/>
        </w:rPr>
        <w:t>Intensity Attributes</w:t>
      </w:r>
    </w:p>
    <w:p w14:paraId="59A6A289"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So far most, if not all, of the object attributes discussed here have been purely geometrical. They could just as well have been calculated from the mask field, rather than the object field. However, the raw data values (also called “intensity values”) inside an object can be used to create a class of intensity-based attributes that are at least as important for judging forecast quality as the geometrical ones. In particular, intensity percentiles can be used summarize the raw data values inside the objects. (for </w:t>
      </w:r>
      <w:r w:rsidRPr="00B4761C">
        <w:rPr>
          <w:rFonts w:ascii="Times New Roman" w:eastAsia="Times New Roman" w:hAnsi="Times New Roman" w:cs="Times New Roman"/>
          <w:i/>
          <w:sz w:val="24"/>
          <w:szCs w:val="24"/>
          <w:highlight w:val="white"/>
        </w:rPr>
        <w:t xml:space="preserve">Tmax </w:t>
      </w:r>
      <w:r w:rsidRPr="00B4761C">
        <w:rPr>
          <w:rFonts w:ascii="Times New Roman" w:eastAsia="Times New Roman" w:hAnsi="Times New Roman" w:cs="Times New Roman"/>
          <w:sz w:val="24"/>
          <w:szCs w:val="24"/>
          <w:highlight w:val="white"/>
        </w:rPr>
        <w:t>it is not valid and for precipitation data, MODE uses only the nonzero data values to calculate these percentiles.) Currently, MODE calculates the 10</w:t>
      </w:r>
      <w:proofErr w:type="gramStart"/>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w:t>
      </w:r>
      <w:proofErr w:type="gramEnd"/>
      <w:r w:rsidRPr="00B4761C">
        <w:rPr>
          <w:rFonts w:ascii="Times New Roman" w:eastAsia="Times New Roman" w:hAnsi="Times New Roman" w:cs="Times New Roman"/>
          <w:sz w:val="24"/>
          <w:szCs w:val="24"/>
          <w:highlight w:val="white"/>
        </w:rPr>
        <w:t xml:space="preserve"> 25</w:t>
      </w:r>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 50</w:t>
      </w:r>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 75</w:t>
      </w:r>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and 90</w:t>
      </w:r>
      <w:r w:rsidRPr="00B4761C">
        <w:rPr>
          <w:rFonts w:ascii="Times New Roman" w:eastAsia="Times New Roman" w:hAnsi="Times New Roman" w:cs="Times New Roman"/>
          <w:sz w:val="24"/>
          <w:szCs w:val="24"/>
          <w:highlight w:val="white"/>
          <w:vertAlign w:val="superscript"/>
        </w:rPr>
        <w:t>th</w:t>
      </w:r>
      <w:r w:rsidRPr="00B4761C">
        <w:rPr>
          <w:rFonts w:ascii="Times New Roman" w:eastAsia="Times New Roman" w:hAnsi="Times New Roman" w:cs="Times New Roman"/>
          <w:sz w:val="24"/>
          <w:szCs w:val="24"/>
          <w:highlight w:val="white"/>
        </w:rPr>
        <w:t xml:space="preserve">  intensity percentiles, as well as one user- specified percentile. In addition, MODE writes out the sum of the intensity values inside each object.</w:t>
      </w:r>
    </w:p>
    <w:p w14:paraId="68B64AF7" w14:textId="77777777" w:rsidR="00FC01A6" w:rsidRPr="00B4761C" w:rsidRDefault="00487BF4">
      <w:pPr>
        <w:spacing w:before="240" w:after="240" w:line="360" w:lineRule="auto"/>
        <w:jc w:val="both"/>
        <w:rPr>
          <w:rFonts w:ascii="Times New Roman" w:eastAsia="Times New Roman" w:hAnsi="Times New Roman" w:cs="Times New Roman"/>
          <w:b/>
          <w:sz w:val="24"/>
          <w:szCs w:val="24"/>
          <w:highlight w:val="white"/>
        </w:rPr>
      </w:pPr>
      <w:r w:rsidRPr="00B4761C">
        <w:rPr>
          <w:rFonts w:ascii="Times New Roman" w:eastAsia="Times New Roman" w:hAnsi="Times New Roman" w:cs="Times New Roman"/>
          <w:b/>
          <w:sz w:val="24"/>
          <w:szCs w:val="24"/>
          <w:highlight w:val="white"/>
        </w:rPr>
        <w:t>Ratio Attributes</w:t>
      </w:r>
    </w:p>
    <w:p w14:paraId="3466E6D5"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Ratio attributes are pair attributes that involve ratios of an attribute for a forecast object and the same attribute for an observed object. Because they use ratios of values of the same attribute, they are dimensionless, and hence independent of the resolution of the grid. Area ratio computed from </w:t>
      </w:r>
      <w:r w:rsidRPr="00B4761C">
        <w:rPr>
          <w:rFonts w:ascii="Times New Roman" w:eastAsia="Times New Roman" w:hAnsi="Times New Roman" w:cs="Times New Roman"/>
          <w:sz w:val="24"/>
          <w:szCs w:val="24"/>
        </w:rPr>
        <w:t>the lesser of the two object areas divided by the greater of the two.</w:t>
      </w:r>
      <w:r w:rsidRPr="00B4761C">
        <w:rPr>
          <w:rFonts w:ascii="Times New Roman" w:eastAsia="Times New Roman" w:hAnsi="Times New Roman" w:cs="Times New Roman"/>
          <w:sz w:val="24"/>
          <w:szCs w:val="24"/>
          <w:shd w:val="clear" w:color="auto" w:fill="F3F6F6"/>
        </w:rPr>
        <w:t xml:space="preserve"> </w:t>
      </w:r>
      <w:r w:rsidRPr="00B4761C">
        <w:rPr>
          <w:rFonts w:ascii="Times New Roman" w:eastAsia="Times New Roman" w:hAnsi="Times New Roman" w:cs="Times New Roman"/>
          <w:sz w:val="24"/>
          <w:szCs w:val="24"/>
          <w:highlight w:val="white"/>
        </w:rPr>
        <w:t xml:space="preserve">Area ratio is defined using the area </w:t>
      </w:r>
      <w:proofErr w:type="spellStart"/>
      <w:r w:rsidRPr="00B4761C">
        <w:rPr>
          <w:rFonts w:ascii="Times New Roman" w:eastAsia="Times New Roman" w:hAnsi="Times New Roman" w:cs="Times New Roman"/>
          <w:i/>
          <w:sz w:val="24"/>
          <w:szCs w:val="24"/>
          <w:highlight w:val="white"/>
        </w:rPr>
        <w:t>A</w:t>
      </w:r>
      <w:r w:rsidRPr="00B4761C">
        <w:rPr>
          <w:rFonts w:ascii="Times New Roman" w:eastAsia="Times New Roman" w:hAnsi="Times New Roman" w:cs="Times New Roman"/>
          <w:i/>
          <w:sz w:val="24"/>
          <w:szCs w:val="24"/>
          <w:highlight w:val="white"/>
          <w:vertAlign w:val="subscript"/>
        </w:rPr>
        <w:t>f</w:t>
      </w:r>
      <w:proofErr w:type="spellEnd"/>
      <w:r w:rsidRPr="00B4761C">
        <w:rPr>
          <w:rFonts w:ascii="Times New Roman" w:eastAsia="Times New Roman" w:hAnsi="Times New Roman" w:cs="Times New Roman"/>
          <w:sz w:val="24"/>
          <w:szCs w:val="24"/>
          <w:highlight w:val="white"/>
        </w:rPr>
        <w:t xml:space="preserve"> of the forecast object and the area </w:t>
      </w:r>
      <w:proofErr w:type="spellStart"/>
      <w:r w:rsidRPr="00B4761C">
        <w:rPr>
          <w:rFonts w:ascii="Times New Roman" w:eastAsia="Times New Roman" w:hAnsi="Times New Roman" w:cs="Times New Roman"/>
          <w:i/>
          <w:sz w:val="24"/>
          <w:szCs w:val="24"/>
          <w:highlight w:val="white"/>
        </w:rPr>
        <w:t>A</w:t>
      </w:r>
      <w:r w:rsidRPr="00B4761C">
        <w:rPr>
          <w:rFonts w:ascii="Times New Roman" w:eastAsia="Times New Roman" w:hAnsi="Times New Roman" w:cs="Times New Roman"/>
          <w:i/>
          <w:sz w:val="24"/>
          <w:szCs w:val="24"/>
          <w:highlight w:val="white"/>
          <w:vertAlign w:val="subscript"/>
        </w:rPr>
        <w:t>o</w:t>
      </w:r>
      <w:proofErr w:type="spellEnd"/>
      <w:r w:rsidRPr="00B4761C">
        <w:rPr>
          <w:rFonts w:ascii="Times New Roman" w:eastAsia="Times New Roman" w:hAnsi="Times New Roman" w:cs="Times New Roman"/>
          <w:sz w:val="24"/>
          <w:szCs w:val="24"/>
          <w:highlight w:val="white"/>
        </w:rPr>
        <w:t xml:space="preserve"> of the observed object.</w:t>
      </w:r>
    </w:p>
    <w:p w14:paraId="6AB251F1"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Specifically, </w:t>
      </w:r>
      <w:r w:rsidRPr="00B4761C">
        <w:rPr>
          <w:rFonts w:ascii="Times New Roman" w:eastAsia="Times New Roman" w:hAnsi="Times New Roman" w:cs="Times New Roman"/>
          <w:sz w:val="24"/>
          <w:szCs w:val="24"/>
          <w:highlight w:val="white"/>
        </w:rPr>
        <w:tab/>
      </w:r>
      <w:r w:rsidRPr="00B4761C">
        <w:rPr>
          <w:rFonts w:ascii="Times New Roman" w:eastAsia="Times New Roman" w:hAnsi="Times New Roman" w:cs="Times New Roman"/>
          <w:sz w:val="24"/>
          <w:szCs w:val="24"/>
          <w:highlight w:val="white"/>
        </w:rPr>
        <w:tab/>
      </w:r>
      <w:r w:rsidRPr="00B4761C">
        <w:rPr>
          <w:rFonts w:ascii="Times New Roman" w:eastAsia="Times New Roman" w:hAnsi="Times New Roman" w:cs="Times New Roman"/>
          <w:sz w:val="24"/>
          <w:szCs w:val="24"/>
          <w:highlight w:val="white"/>
        </w:rPr>
        <w:tab/>
        <w:t xml:space="preserve"> </w:t>
      </w:r>
      <m:oMath>
        <m:r>
          <w:rPr>
            <w:rFonts w:ascii="Cambria Math" w:eastAsia="Times New Roman" w:hAnsi="Cambria Math" w:cs="Times New Roman"/>
            <w:sz w:val="24"/>
            <w:szCs w:val="24"/>
            <w:highlight w:val="white"/>
          </w:rPr>
          <m:t xml:space="preserve">Area ratio = </m:t>
        </m:r>
        <m:f>
          <m:fPr>
            <m:ctrlPr>
              <w:rPr>
                <w:rFonts w:ascii="Cambria Math" w:eastAsia="Times New Roman" w:hAnsi="Cambria Math" w:cs="Times New Roman"/>
                <w:sz w:val="24"/>
                <w:szCs w:val="24"/>
                <w:highlight w:val="white"/>
              </w:rPr>
            </m:ctrlPr>
          </m:fPr>
          <m:num>
            <m:r>
              <w:rPr>
                <w:rFonts w:ascii="Cambria Math" w:eastAsia="Times New Roman" w:hAnsi="Cambria Math" w:cs="Times New Roman"/>
                <w:sz w:val="24"/>
                <w:szCs w:val="24"/>
                <w:highlight w:val="white"/>
              </w:rPr>
              <m:t>min(</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 xml:space="preserve">f </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num>
          <m:den>
            <m:r>
              <w:rPr>
                <w:rFonts w:ascii="Cambria Math" w:eastAsia="Times New Roman" w:hAnsi="Cambria Math" w:cs="Times New Roman"/>
                <w:sz w:val="24"/>
                <w:szCs w:val="24"/>
                <w:highlight w:val="white"/>
              </w:rPr>
              <m:t>max(</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 xml:space="preserve">f </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A</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den>
        </m:f>
        <m:r>
          <w:rPr>
            <w:rFonts w:ascii="Cambria Math" w:eastAsia="Times New Roman" w:hAnsi="Cambria Math" w:cs="Times New Roman"/>
            <w:sz w:val="24"/>
            <w:szCs w:val="24"/>
            <w:highlight w:val="white"/>
          </w:rPr>
          <m:t xml:space="preserve">                               (9)</m:t>
        </m:r>
      </m:oMath>
      <w:r w:rsidRPr="00B4761C">
        <w:rPr>
          <w:rFonts w:ascii="Times New Roman" w:eastAsia="Times New Roman" w:hAnsi="Times New Roman" w:cs="Times New Roman"/>
          <w:sz w:val="24"/>
          <w:szCs w:val="24"/>
          <w:highlight w:val="white"/>
        </w:rPr>
        <w:t xml:space="preserve"> </w:t>
      </w:r>
    </w:p>
    <w:p w14:paraId="55FE7F37"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w:p>
    <w:p w14:paraId="1F6333B4"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Similarly, the </w:t>
      </w:r>
      <w:r w:rsidRPr="00B4761C">
        <w:rPr>
          <w:rFonts w:ascii="Times New Roman" w:eastAsia="Times New Roman" w:hAnsi="Times New Roman" w:cs="Times New Roman"/>
          <w:sz w:val="24"/>
          <w:szCs w:val="24"/>
        </w:rPr>
        <w:t>Ratio of complexities of two objects defined as the lesser of the forecast complexity divided by the observation complexity or its reciprocal (unitless). The</w:t>
      </w:r>
      <w:r w:rsidRPr="00B4761C">
        <w:rPr>
          <w:rFonts w:ascii="Times New Roman" w:eastAsia="Times New Roman" w:hAnsi="Times New Roman" w:cs="Times New Roman"/>
          <w:sz w:val="24"/>
          <w:szCs w:val="24"/>
          <w:highlight w:val="white"/>
        </w:rPr>
        <w:t xml:space="preserve"> complexity ratio is given by</w:t>
      </w:r>
    </w:p>
    <w:p w14:paraId="3BC3483F" w14:textId="77777777" w:rsidR="00FC01A6" w:rsidRPr="00B4761C" w:rsidRDefault="00487BF4">
      <w:pPr>
        <w:spacing w:before="240" w:after="240" w:line="360" w:lineRule="auto"/>
        <w:ind w:left="720"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m:oMath>
        <m:r>
          <w:rPr>
            <w:rFonts w:ascii="Cambria Math" w:eastAsia="Times New Roman" w:hAnsi="Cambria Math" w:cs="Times New Roman"/>
            <w:sz w:val="24"/>
            <w:szCs w:val="24"/>
            <w:highlight w:val="white"/>
          </w:rPr>
          <m:t xml:space="preserve">Complexity ratio = </m:t>
        </m:r>
        <m:f>
          <m:fPr>
            <m:ctrlPr>
              <w:rPr>
                <w:rFonts w:ascii="Cambria Math" w:eastAsia="Times New Roman" w:hAnsi="Cambria Math" w:cs="Times New Roman"/>
                <w:sz w:val="24"/>
                <w:szCs w:val="24"/>
                <w:highlight w:val="white"/>
              </w:rPr>
            </m:ctrlPr>
          </m:fPr>
          <m:num>
            <m:r>
              <w:rPr>
                <w:rFonts w:ascii="Cambria Math" w:eastAsia="Times New Roman" w:hAnsi="Cambria Math" w:cs="Times New Roman"/>
                <w:sz w:val="24"/>
                <w:szCs w:val="24"/>
                <w:highlight w:val="white"/>
              </w:rPr>
              <m:t>min(</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C</m:t>
                </m:r>
              </m:e>
              <m:sub>
                <m:r>
                  <w:rPr>
                    <w:rFonts w:ascii="Cambria Math" w:eastAsia="Times New Roman" w:hAnsi="Cambria Math" w:cs="Times New Roman"/>
                    <w:sz w:val="24"/>
                    <w:szCs w:val="24"/>
                    <w:highlight w:val="white"/>
                  </w:rPr>
                  <m:t>f</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 xml:space="preserve"> C</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num>
          <m:den>
            <m:r>
              <w:rPr>
                <w:rFonts w:ascii="Cambria Math" w:eastAsia="Times New Roman" w:hAnsi="Cambria Math" w:cs="Times New Roman"/>
                <w:sz w:val="24"/>
                <w:szCs w:val="24"/>
                <w:highlight w:val="white"/>
              </w:rPr>
              <m:t>max(</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C</m:t>
                </m:r>
              </m:e>
              <m:sub>
                <m:r>
                  <w:rPr>
                    <w:rFonts w:ascii="Cambria Math" w:eastAsia="Times New Roman" w:hAnsi="Cambria Math" w:cs="Times New Roman"/>
                    <w:sz w:val="24"/>
                    <w:szCs w:val="24"/>
                    <w:highlight w:val="white"/>
                  </w:rPr>
                  <m:t>f</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 xml:space="preserve"> C</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den>
        </m:f>
        <m:r>
          <w:rPr>
            <w:rFonts w:ascii="Cambria Math" w:eastAsia="Times New Roman" w:hAnsi="Cambria Math" w:cs="Times New Roman"/>
            <w:sz w:val="24"/>
            <w:szCs w:val="24"/>
            <w:highlight w:val="white"/>
          </w:rPr>
          <m:t xml:space="preserve">                                   (10)</m:t>
        </m:r>
      </m:oMath>
    </w:p>
    <w:p w14:paraId="4DB77A25"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where </w:t>
      </w:r>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f</w:t>
      </w:r>
      <w:r w:rsidRPr="00B4761C">
        <w:rPr>
          <w:rFonts w:ascii="Times New Roman" w:eastAsia="Times New Roman" w:hAnsi="Times New Roman" w:cs="Times New Roman"/>
          <w:sz w:val="24"/>
          <w:szCs w:val="24"/>
          <w:highlight w:val="white"/>
        </w:rPr>
        <w:t xml:space="preserve"> and </w:t>
      </w:r>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sz w:val="24"/>
          <w:szCs w:val="24"/>
          <w:highlight w:val="white"/>
          <w:vertAlign w:val="subscript"/>
        </w:rPr>
        <w:t>o</w:t>
      </w:r>
      <w:r w:rsidRPr="00B4761C">
        <w:rPr>
          <w:rFonts w:ascii="Times New Roman" w:eastAsia="Times New Roman" w:hAnsi="Times New Roman" w:cs="Times New Roman"/>
          <w:sz w:val="24"/>
          <w:szCs w:val="24"/>
          <w:highlight w:val="white"/>
        </w:rPr>
        <w:t xml:space="preserve"> are the complexity values of the forecast and observed objects.</w:t>
      </w:r>
    </w:p>
    <w:p w14:paraId="12D5AE71"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lastRenderedPageBreak/>
        <w:t>Intersection over area: this attribute should really be called “intersection over minimum” because it’s the ratio of the intersection area of the two objects to the smaller of the two object areas. Finally, the percentile intensity ratio is the</w:t>
      </w:r>
      <w:r w:rsidRPr="00B4761C">
        <w:rPr>
          <w:rFonts w:ascii="Times New Roman" w:eastAsia="Times New Roman" w:hAnsi="Times New Roman" w:cs="Times New Roman"/>
          <w:sz w:val="24"/>
          <w:szCs w:val="24"/>
        </w:rPr>
        <w:t xml:space="preserve"> ratio of the 50</w:t>
      </w:r>
      <w:r w:rsidRPr="00B4761C">
        <w:rPr>
          <w:rFonts w:ascii="Times New Roman" w:eastAsia="Times New Roman" w:hAnsi="Times New Roman" w:cs="Times New Roman"/>
          <w:sz w:val="24"/>
          <w:szCs w:val="24"/>
          <w:vertAlign w:val="superscript"/>
        </w:rPr>
        <w:t>th</w:t>
      </w:r>
      <w:r w:rsidRPr="00B4761C">
        <w:rPr>
          <w:rFonts w:ascii="Times New Roman" w:eastAsia="Times New Roman" w:hAnsi="Times New Roman" w:cs="Times New Roman"/>
          <w:sz w:val="24"/>
          <w:szCs w:val="24"/>
        </w:rPr>
        <w:t xml:space="preserve"> percentile of intensity of the two forecast-</w:t>
      </w:r>
      <w:proofErr w:type="spellStart"/>
      <w:r w:rsidRPr="00B4761C">
        <w:rPr>
          <w:rFonts w:ascii="Times New Roman" w:eastAsia="Times New Roman" w:hAnsi="Times New Roman" w:cs="Times New Roman"/>
          <w:sz w:val="24"/>
          <w:szCs w:val="24"/>
        </w:rPr>
        <w:t>obsrevd</w:t>
      </w:r>
      <w:proofErr w:type="spellEnd"/>
      <w:r w:rsidRPr="00B4761C">
        <w:rPr>
          <w:rFonts w:ascii="Times New Roman" w:eastAsia="Times New Roman" w:hAnsi="Times New Roman" w:cs="Times New Roman"/>
          <w:sz w:val="24"/>
          <w:szCs w:val="24"/>
        </w:rPr>
        <w:t xml:space="preserve"> objects the forecast intensity to the observation intensity and it is ranging from 0 to 1. For the best forecast it should be 1. The </w:t>
      </w:r>
      <w:r w:rsidRPr="00B4761C">
        <w:rPr>
          <w:rFonts w:ascii="Times New Roman" w:eastAsia="Times New Roman" w:hAnsi="Times New Roman" w:cs="Times New Roman"/>
          <w:sz w:val="24"/>
          <w:szCs w:val="24"/>
          <w:highlight w:val="white"/>
        </w:rPr>
        <w:t>percentile intensity ratio is given by</w:t>
      </w:r>
    </w:p>
    <w:p w14:paraId="2A91E617" w14:textId="77777777" w:rsidR="00FC01A6" w:rsidRPr="00B4761C" w:rsidRDefault="00487BF4">
      <w:pPr>
        <w:spacing w:before="240" w:after="240" w:line="360" w:lineRule="auto"/>
        <w:ind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m:oMath>
        <m:r>
          <w:rPr>
            <w:rFonts w:ascii="Cambria Math" w:eastAsia="Times New Roman" w:hAnsi="Cambria Math" w:cs="Times New Roman"/>
            <w:sz w:val="24"/>
            <w:szCs w:val="24"/>
            <w:highlight w:val="white"/>
          </w:rPr>
          <m:t xml:space="preserve">Percentile Intensity ratio = </m:t>
        </m:r>
        <m:f>
          <m:fPr>
            <m:ctrlPr>
              <w:rPr>
                <w:rFonts w:ascii="Cambria Math" w:eastAsia="Times New Roman" w:hAnsi="Cambria Math" w:cs="Times New Roman"/>
                <w:sz w:val="24"/>
                <w:szCs w:val="24"/>
                <w:highlight w:val="white"/>
              </w:rPr>
            </m:ctrlPr>
          </m:fPr>
          <m:num>
            <m:r>
              <w:rPr>
                <w:rFonts w:ascii="Cambria Math" w:eastAsia="Times New Roman" w:hAnsi="Cambria Math" w:cs="Times New Roman"/>
                <w:sz w:val="24"/>
                <w:szCs w:val="24"/>
                <w:highlight w:val="white"/>
              </w:rPr>
              <m:t>min(</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P</m:t>
                </m:r>
              </m:e>
              <m:sub>
                <m:r>
                  <w:rPr>
                    <w:rFonts w:ascii="Cambria Math" w:eastAsia="Times New Roman" w:hAnsi="Cambria Math" w:cs="Times New Roman"/>
                    <w:sz w:val="24"/>
                    <w:szCs w:val="24"/>
                    <w:highlight w:val="white"/>
                  </w:rPr>
                  <m:t>f</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 xml:space="preserve"> P</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num>
          <m:den>
            <m:r>
              <w:rPr>
                <w:rFonts w:ascii="Cambria Math" w:eastAsia="Times New Roman" w:hAnsi="Cambria Math" w:cs="Times New Roman"/>
                <w:sz w:val="24"/>
                <w:szCs w:val="24"/>
                <w:highlight w:val="white"/>
              </w:rPr>
              <m:t>max(</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P</m:t>
                </m:r>
              </m:e>
              <m:sub>
                <m:r>
                  <w:rPr>
                    <w:rFonts w:ascii="Cambria Math" w:eastAsia="Times New Roman" w:hAnsi="Cambria Math" w:cs="Times New Roman"/>
                    <w:sz w:val="24"/>
                    <w:szCs w:val="24"/>
                    <w:highlight w:val="white"/>
                  </w:rPr>
                  <m:t>f</m:t>
                </m:r>
              </m:sub>
            </m:sSub>
            <m:r>
              <w:rPr>
                <w:rFonts w:ascii="Cambria Math" w:eastAsia="Times New Roman" w:hAnsi="Cambria Math" w:cs="Times New Roman"/>
                <w:sz w:val="24"/>
                <w:szCs w:val="24"/>
                <w:highlight w:val="white"/>
              </w:rPr>
              <m:t xml:space="preserve"> ,</m:t>
            </m:r>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 xml:space="preserve"> P</m:t>
                </m:r>
              </m:e>
              <m:sub>
                <m:r>
                  <w:rPr>
                    <w:rFonts w:ascii="Cambria Math" w:eastAsia="Times New Roman" w:hAnsi="Cambria Math" w:cs="Times New Roman"/>
                    <w:sz w:val="24"/>
                    <w:szCs w:val="24"/>
                    <w:highlight w:val="white"/>
                  </w:rPr>
                  <m:t>o</m:t>
                </m:r>
              </m:sub>
            </m:sSub>
            <m:r>
              <w:rPr>
                <w:rFonts w:ascii="Cambria Math" w:eastAsia="Times New Roman" w:hAnsi="Cambria Math" w:cs="Times New Roman"/>
                <w:sz w:val="24"/>
                <w:szCs w:val="24"/>
                <w:highlight w:val="white"/>
              </w:rPr>
              <m:t>)</m:t>
            </m:r>
          </m:den>
        </m:f>
        <m:r>
          <w:rPr>
            <w:rFonts w:ascii="Cambria Math" w:eastAsia="Times New Roman" w:hAnsi="Cambria Math" w:cs="Times New Roman"/>
            <w:sz w:val="24"/>
            <w:szCs w:val="24"/>
            <w:highlight w:val="white"/>
          </w:rPr>
          <m:t xml:space="preserve">                               (11)</m:t>
        </m:r>
      </m:oMath>
    </w:p>
    <w:p w14:paraId="3A34CD4F"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where </w:t>
      </w:r>
      <w:r w:rsidRPr="00B4761C">
        <w:rPr>
          <w:rFonts w:ascii="Times New Roman" w:eastAsia="Times New Roman" w:hAnsi="Times New Roman" w:cs="Times New Roman"/>
          <w:i/>
          <w:sz w:val="24"/>
          <w:szCs w:val="24"/>
          <w:highlight w:val="white"/>
        </w:rPr>
        <w:t>P</w:t>
      </w:r>
      <w:r w:rsidRPr="00B4761C">
        <w:rPr>
          <w:rFonts w:ascii="Times New Roman" w:eastAsia="Times New Roman" w:hAnsi="Times New Roman" w:cs="Times New Roman"/>
          <w:i/>
          <w:sz w:val="24"/>
          <w:szCs w:val="24"/>
          <w:highlight w:val="white"/>
          <w:vertAlign w:val="subscript"/>
        </w:rPr>
        <w:t>f</w:t>
      </w:r>
      <w:r w:rsidRPr="00B4761C">
        <w:rPr>
          <w:rFonts w:ascii="Times New Roman" w:eastAsia="Times New Roman" w:hAnsi="Times New Roman" w:cs="Times New Roman"/>
          <w:sz w:val="24"/>
          <w:szCs w:val="24"/>
          <w:highlight w:val="white"/>
        </w:rPr>
        <w:t xml:space="preserve"> is the user-defined percentile intensity value inside the forecast object, and </w:t>
      </w:r>
      <w:r w:rsidRPr="00B4761C">
        <w:rPr>
          <w:rFonts w:ascii="Times New Roman" w:eastAsia="Times New Roman" w:hAnsi="Times New Roman" w:cs="Times New Roman"/>
          <w:i/>
          <w:sz w:val="24"/>
          <w:szCs w:val="24"/>
          <w:highlight w:val="white"/>
        </w:rPr>
        <w:t>P</w:t>
      </w:r>
      <w:r w:rsidRPr="00B4761C">
        <w:rPr>
          <w:rFonts w:ascii="Times New Roman" w:eastAsia="Times New Roman" w:hAnsi="Times New Roman" w:cs="Times New Roman"/>
          <w:i/>
          <w:sz w:val="24"/>
          <w:szCs w:val="24"/>
          <w:highlight w:val="white"/>
          <w:vertAlign w:val="subscript"/>
        </w:rPr>
        <w:t>o</w:t>
      </w:r>
      <w:r w:rsidRPr="00B4761C">
        <w:rPr>
          <w:rFonts w:ascii="Times New Roman" w:eastAsia="Times New Roman" w:hAnsi="Times New Roman" w:cs="Times New Roman"/>
          <w:sz w:val="24"/>
          <w:szCs w:val="24"/>
          <w:highlight w:val="white"/>
        </w:rPr>
        <w:t xml:space="preserve"> is the user-defined percentile value inside the observed object.</w:t>
      </w:r>
    </w:p>
    <w:p w14:paraId="16B51815"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The way MODE detects this situation is by looking at the value of another attribute: the aspect ratio. To define the aspect ratio of an object, we draw a rectangle, aligned with the object axis, around the object and shrink the rectangle as much as possible while still requiring it to enclose the object. The ratio of the lengths of the sides of the rectangle is the object’s aspect ratio. For values of this ratio that are close to one, the confidence is small, and the confidence grows as the ratio departs from one in either direction. Explicitly, the confidence map for axis angle difference is given by the following equation:  </w:t>
      </w:r>
    </w:p>
    <w:p w14:paraId="3C69A2F0" w14:textId="77777777" w:rsidR="00FC01A6" w:rsidRPr="00B4761C" w:rsidRDefault="00487BF4">
      <w:pPr>
        <w:spacing w:before="240" w:after="240" w:line="360" w:lineRule="auto"/>
        <w:ind w:left="720" w:firstLine="720"/>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w:t>
      </w:r>
      <m:oMath>
        <m:sSub>
          <m:sSubPr>
            <m:ctrlPr>
              <w:rPr>
                <w:rFonts w:ascii="Cambria Math" w:eastAsia="Times New Roman" w:hAnsi="Cambria Math" w:cs="Times New Roman"/>
                <w:sz w:val="24"/>
                <w:szCs w:val="24"/>
                <w:highlight w:val="white"/>
              </w:rPr>
            </m:ctrlPr>
          </m:sSubPr>
          <m:e>
            <m:r>
              <w:rPr>
                <w:rFonts w:ascii="Cambria Math" w:eastAsia="Times New Roman" w:hAnsi="Cambria Math" w:cs="Times New Roman"/>
                <w:sz w:val="24"/>
                <w:szCs w:val="24"/>
                <w:highlight w:val="white"/>
              </w:rPr>
              <m:t>C</m:t>
            </m:r>
          </m:e>
          <m:sub>
            <m:r>
              <w:rPr>
                <w:rFonts w:ascii="Cambria Math" w:eastAsia="Times New Roman" w:hAnsi="Cambria Math" w:cs="Times New Roman"/>
                <w:sz w:val="24"/>
                <w:szCs w:val="24"/>
                <w:highlight w:val="white"/>
              </w:rPr>
              <m:t>axis</m:t>
            </m:r>
          </m:sub>
        </m:sSub>
        <m:r>
          <w:rPr>
            <w:rFonts w:ascii="Cambria Math" w:eastAsia="Times New Roman" w:hAnsi="Cambria Math" w:cs="Times New Roman"/>
            <w:sz w:val="24"/>
            <w:szCs w:val="24"/>
            <w:highlight w:val="white"/>
          </w:rPr>
          <m:t xml:space="preserve">(r) = </m:t>
        </m:r>
        <m:sSup>
          <m:sSupPr>
            <m:ctrlPr>
              <w:rPr>
                <w:rFonts w:ascii="Cambria Math" w:eastAsia="Times New Roman" w:hAnsi="Cambria Math" w:cs="Times New Roman"/>
                <w:sz w:val="24"/>
                <w:szCs w:val="24"/>
                <w:highlight w:val="white"/>
              </w:rPr>
            </m:ctrlPr>
          </m:sSupPr>
          <m:e>
            <m:d>
              <m:dPr>
                <m:begChr m:val="["/>
                <m:endChr m:val="]"/>
                <m:ctrlPr>
                  <w:rPr>
                    <w:rFonts w:ascii="Cambria Math" w:eastAsia="Times New Roman" w:hAnsi="Cambria Math" w:cs="Times New Roman"/>
                    <w:sz w:val="24"/>
                    <w:szCs w:val="24"/>
                    <w:highlight w:val="white"/>
                  </w:rPr>
                </m:ctrlPr>
              </m:dPr>
              <m:e>
                <m:f>
                  <m:fPr>
                    <m:ctrlPr>
                      <w:rPr>
                        <w:rFonts w:ascii="Cambria Math" w:eastAsia="Times New Roman" w:hAnsi="Cambria Math" w:cs="Times New Roman"/>
                        <w:sz w:val="24"/>
                        <w:szCs w:val="24"/>
                        <w:highlight w:val="white"/>
                      </w:rPr>
                    </m:ctrlPr>
                  </m:fPr>
                  <m:num>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(r-1)</m:t>
                        </m:r>
                      </m:e>
                      <m:sup>
                        <m:r>
                          <w:rPr>
                            <w:rFonts w:ascii="Cambria Math" w:eastAsia="Times New Roman" w:hAnsi="Cambria Math" w:cs="Times New Roman"/>
                            <w:sz w:val="24"/>
                            <w:szCs w:val="24"/>
                            <w:highlight w:val="white"/>
                          </w:rPr>
                          <m:t>2</m:t>
                        </m:r>
                      </m:sup>
                    </m:sSup>
                  </m:num>
                  <m:den>
                    <m:sSup>
                      <m:sSupPr>
                        <m:ctrlPr>
                          <w:rPr>
                            <w:rFonts w:ascii="Cambria Math" w:eastAsia="Times New Roman" w:hAnsi="Cambria Math" w:cs="Times New Roman"/>
                            <w:sz w:val="24"/>
                            <w:szCs w:val="24"/>
                            <w:highlight w:val="white"/>
                          </w:rPr>
                        </m:ctrlPr>
                      </m:sSupPr>
                      <m:e>
                        <m:r>
                          <w:rPr>
                            <w:rFonts w:ascii="Cambria Math" w:eastAsia="Times New Roman" w:hAnsi="Cambria Math" w:cs="Times New Roman"/>
                            <w:sz w:val="24"/>
                            <w:szCs w:val="24"/>
                            <w:highlight w:val="white"/>
                          </w:rPr>
                          <m:t>r</m:t>
                        </m:r>
                      </m:e>
                      <m:sup>
                        <m:r>
                          <w:rPr>
                            <w:rFonts w:ascii="Cambria Math" w:eastAsia="Times New Roman" w:hAnsi="Cambria Math" w:cs="Times New Roman"/>
                            <w:sz w:val="24"/>
                            <w:szCs w:val="24"/>
                            <w:highlight w:val="white"/>
                          </w:rPr>
                          <m:t>2</m:t>
                        </m:r>
                      </m:sup>
                    </m:sSup>
                    <m:r>
                      <w:rPr>
                        <w:rFonts w:ascii="Cambria Math" w:eastAsia="Times New Roman" w:hAnsi="Cambria Math" w:cs="Times New Roman"/>
                        <w:sz w:val="24"/>
                        <w:szCs w:val="24"/>
                        <w:highlight w:val="white"/>
                      </w:rPr>
                      <m:t xml:space="preserve"> + 1</m:t>
                    </m:r>
                  </m:den>
                </m:f>
              </m:e>
            </m:d>
          </m:e>
          <m:sup>
            <m:r>
              <w:rPr>
                <w:rFonts w:ascii="Cambria Math" w:eastAsia="Times New Roman" w:hAnsi="Cambria Math" w:cs="Times New Roman"/>
                <w:sz w:val="24"/>
                <w:szCs w:val="24"/>
                <w:highlight w:val="white"/>
              </w:rPr>
              <m:t>β</m:t>
            </m:r>
          </m:sup>
        </m:sSup>
        <m:r>
          <w:rPr>
            <w:rFonts w:ascii="Cambria Math" w:eastAsia="Times New Roman" w:hAnsi="Cambria Math" w:cs="Times New Roman"/>
            <w:sz w:val="24"/>
            <w:szCs w:val="24"/>
            <w:highlight w:val="white"/>
          </w:rPr>
          <m:t xml:space="preserve">                              (12)  </m:t>
        </m:r>
      </m:oMath>
    </w:p>
    <w:p w14:paraId="3B9CABB4"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Here, r is the aspect ratio. This equation was obtained by requiring four properties: </w:t>
      </w:r>
      <w:proofErr w:type="spellStart"/>
      <w:proofErr w:type="gramStart"/>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axis</w:t>
      </w:r>
      <w:proofErr w:type="spellEnd"/>
      <w:r w:rsidRPr="00B4761C">
        <w:rPr>
          <w:rFonts w:ascii="Times New Roman" w:eastAsia="Times New Roman" w:hAnsi="Times New Roman" w:cs="Times New Roman"/>
          <w:sz w:val="24"/>
          <w:szCs w:val="24"/>
          <w:highlight w:val="white"/>
        </w:rPr>
        <w:t>(</w:t>
      </w:r>
      <w:proofErr w:type="gramEnd"/>
      <w:r w:rsidRPr="00B4761C">
        <w:rPr>
          <w:rFonts w:ascii="Times New Roman" w:eastAsia="Times New Roman" w:hAnsi="Times New Roman" w:cs="Times New Roman"/>
          <w:sz w:val="24"/>
          <w:szCs w:val="24"/>
          <w:highlight w:val="white"/>
        </w:rPr>
        <w:t xml:space="preserve">1) = 0, </w:t>
      </w:r>
      <w:proofErr w:type="spellStart"/>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axis</w:t>
      </w:r>
      <w:proofErr w:type="spellEnd"/>
      <w:r w:rsidRPr="00B4761C">
        <w:rPr>
          <w:rFonts w:ascii="Times New Roman" w:eastAsia="Times New Roman" w:hAnsi="Times New Roman" w:cs="Times New Roman"/>
          <w:sz w:val="24"/>
          <w:szCs w:val="24"/>
          <w:highlight w:val="white"/>
        </w:rPr>
        <w:t xml:space="preserve">(0) = 1, </w:t>
      </w:r>
      <w:proofErr w:type="spellStart"/>
      <w:r w:rsidRPr="00B4761C">
        <w:rPr>
          <w:rFonts w:ascii="Times New Roman" w:eastAsia="Times New Roman" w:hAnsi="Times New Roman" w:cs="Times New Roman"/>
          <w:i/>
          <w:sz w:val="24"/>
          <w:szCs w:val="24"/>
          <w:highlight w:val="white"/>
        </w:rPr>
        <w:t>lim</w:t>
      </w:r>
      <w:r w:rsidRPr="00B4761C">
        <w:rPr>
          <w:rFonts w:ascii="Times New Roman" w:eastAsia="Cardo" w:hAnsi="Times New Roman" w:cs="Times New Roman"/>
          <w:sz w:val="24"/>
          <w:szCs w:val="24"/>
          <w:highlight w:val="white"/>
          <w:vertAlign w:val="subscript"/>
        </w:rPr>
        <w:t>r</w:t>
      </w:r>
      <w:proofErr w:type="spellEnd"/>
      <w:r w:rsidRPr="00B4761C">
        <w:rPr>
          <w:rFonts w:ascii="Times New Roman" w:eastAsia="Cardo" w:hAnsi="Times New Roman" w:cs="Times New Roman"/>
          <w:sz w:val="24"/>
          <w:szCs w:val="24"/>
          <w:highlight w:val="white"/>
          <w:vertAlign w:val="subscript"/>
        </w:rPr>
        <w:t>→∞</w:t>
      </w:r>
      <w:r w:rsidRPr="00B4761C">
        <w:rPr>
          <w:rFonts w:ascii="Times New Roman" w:eastAsia="Times New Roman" w:hAnsi="Times New Roman" w:cs="Times New Roman"/>
          <w:sz w:val="24"/>
          <w:szCs w:val="24"/>
          <w:highlight w:val="white"/>
        </w:rPr>
        <w:t xml:space="preserve"> </w:t>
      </w:r>
      <w:proofErr w:type="spellStart"/>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axis</w:t>
      </w:r>
      <w:proofErr w:type="spellEnd"/>
      <w:r w:rsidRPr="00B4761C">
        <w:rPr>
          <w:rFonts w:ascii="Times New Roman" w:eastAsia="Times New Roman" w:hAnsi="Times New Roman" w:cs="Times New Roman"/>
          <w:sz w:val="24"/>
          <w:szCs w:val="24"/>
          <w:highlight w:val="white"/>
        </w:rPr>
        <w:t xml:space="preserve">(r) = 1 and </w:t>
      </w:r>
      <w:proofErr w:type="spellStart"/>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axis</w:t>
      </w:r>
      <w:proofErr w:type="spellEnd"/>
      <w:r w:rsidRPr="00B4761C">
        <w:rPr>
          <w:rFonts w:ascii="Times New Roman" w:eastAsia="Times New Roman" w:hAnsi="Times New Roman" w:cs="Times New Roman"/>
          <w:sz w:val="24"/>
          <w:szCs w:val="24"/>
          <w:highlight w:val="white"/>
        </w:rPr>
        <w:t xml:space="preserve">(1/r) = </w:t>
      </w:r>
      <w:proofErr w:type="spellStart"/>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axis</w:t>
      </w:r>
      <w:proofErr w:type="spellEnd"/>
      <w:r w:rsidRPr="00B4761C">
        <w:rPr>
          <w:rFonts w:ascii="Times New Roman" w:eastAsia="Times New Roman" w:hAnsi="Times New Roman" w:cs="Times New Roman"/>
          <w:sz w:val="24"/>
          <w:szCs w:val="24"/>
          <w:highlight w:val="white"/>
        </w:rPr>
        <w:t xml:space="preserve">(r). This last condition is imposed so that it doesn’t matter whether aspect ratio is defined as width ÷ height, or vice versa. The exponent </w:t>
      </w:r>
      <m:oMath>
        <m:r>
          <w:rPr>
            <w:rFonts w:ascii="Cambria Math" w:hAnsi="Cambria Math" w:cs="Times New Roman"/>
            <w:sz w:val="24"/>
            <w:szCs w:val="24"/>
          </w:rPr>
          <m:t>β</m:t>
        </m:r>
      </m:oMath>
      <w:r w:rsidRPr="00B4761C">
        <w:rPr>
          <w:rFonts w:ascii="Times New Roman" w:eastAsia="Times New Roman" w:hAnsi="Times New Roman" w:cs="Times New Roman"/>
          <w:sz w:val="24"/>
          <w:szCs w:val="24"/>
          <w:highlight w:val="white"/>
        </w:rPr>
        <w:t xml:space="preserve"> was originally a tunable parameter. Another parameter is the aspect difference which is the </w:t>
      </w:r>
      <w:r w:rsidRPr="00B4761C">
        <w:rPr>
          <w:rFonts w:ascii="Times New Roman" w:eastAsia="Times New Roman" w:hAnsi="Times New Roman" w:cs="Times New Roman"/>
          <w:sz w:val="24"/>
          <w:szCs w:val="24"/>
          <w:shd w:val="clear" w:color="auto" w:fill="FCFCFC"/>
        </w:rPr>
        <w:t>absolute value of the difference between the aspect ratios of two objects (unitless).</w:t>
      </w:r>
    </w:p>
    <w:p w14:paraId="0473DC0E"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Interest maps give information on which values of a particular attribute are more interesting than other values of the same attribute. Weights give information on which attributes are more interesting or important than other attributes. Unlike interest maps or confidence maps, weights are simple scalars, not functions. Assigning a large weight to a particular attribute tells MODE that this attribute is more important than others for the purposes of matching and merging. Say, for example, for a particular verification situation, overlap area is the major indicator of a good </w:t>
      </w:r>
      <w:r w:rsidRPr="00B4761C">
        <w:rPr>
          <w:rFonts w:ascii="Times New Roman" w:eastAsia="Times New Roman" w:hAnsi="Times New Roman" w:cs="Times New Roman"/>
          <w:sz w:val="24"/>
          <w:szCs w:val="24"/>
          <w:highlight w:val="white"/>
        </w:rPr>
        <w:lastRenderedPageBreak/>
        <w:t>match between forecast and observation. In that case, we would give the overlap area a large weight relative to the weights assigned to the other attributes. In MODE, all weights are nonnegative. Assigning a weight of zero to a particular attribute essentially “turns off” that attribute, and values for that attribute will have no effect on matching or merging.</w:t>
      </w:r>
    </w:p>
    <w:p w14:paraId="6BCDB962" w14:textId="77777777" w:rsidR="00FC01A6" w:rsidRPr="00B4761C" w:rsidRDefault="00487BF4">
      <w:pPr>
        <w:spacing w:before="240" w:after="24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 Once the attribute values and the associated weights, interest maps and confidence maps are in hand, these quantities are combined into a single scalar value, the total interest. If we denote the value of the </w:t>
      </w:r>
      <w:proofErr w:type="spellStart"/>
      <w:r w:rsidRPr="00B4761C">
        <w:rPr>
          <w:rFonts w:ascii="Times New Roman" w:eastAsia="Times New Roman" w:hAnsi="Times New Roman" w:cs="Times New Roman"/>
          <w:i/>
          <w:sz w:val="24"/>
          <w:szCs w:val="24"/>
          <w:highlight w:val="white"/>
        </w:rPr>
        <w:t>i</w:t>
      </w:r>
      <w:r w:rsidRPr="00B4761C">
        <w:rPr>
          <w:rFonts w:ascii="Times New Roman" w:eastAsia="Times New Roman" w:hAnsi="Times New Roman" w:cs="Times New Roman"/>
          <w:i/>
          <w:sz w:val="24"/>
          <w:szCs w:val="24"/>
          <w:highlight w:val="white"/>
          <w:vertAlign w:val="subscript"/>
        </w:rPr>
        <w:t>th</w:t>
      </w:r>
      <w:proofErr w:type="spellEnd"/>
      <w:r w:rsidRPr="00B4761C">
        <w:rPr>
          <w:rFonts w:ascii="Times New Roman" w:eastAsia="Times New Roman" w:hAnsi="Times New Roman" w:cs="Times New Roman"/>
          <w:sz w:val="24"/>
          <w:szCs w:val="24"/>
          <w:highlight w:val="white"/>
        </w:rPr>
        <w:t xml:space="preserve"> attribute by , and let denote the n-tuple of all attributes, then the total interest T is given by </w:t>
      </w:r>
      <w:r w:rsidRPr="00B4761C">
        <w:rPr>
          <w:rFonts w:ascii="Times New Roman" w:eastAsia="Times New Roman" w:hAnsi="Times New Roman" w:cs="Times New Roman"/>
          <w:sz w:val="24"/>
          <w:szCs w:val="24"/>
          <w:highlight w:val="white"/>
        </w:rPr>
        <w:tab/>
      </w:r>
      <w:r w:rsidRPr="00B4761C">
        <w:rPr>
          <w:rFonts w:ascii="Times New Roman" w:eastAsia="Times New Roman" w:hAnsi="Times New Roman" w:cs="Times New Roman"/>
          <w:sz w:val="24"/>
          <w:szCs w:val="24"/>
          <w:highlight w:val="white"/>
        </w:rPr>
        <w:tab/>
      </w:r>
      <w:r w:rsidRPr="00B4761C">
        <w:rPr>
          <w:rFonts w:ascii="Times New Roman" w:eastAsia="Times New Roman" w:hAnsi="Times New Roman" w:cs="Times New Roman"/>
          <w:sz w:val="24"/>
          <w:szCs w:val="24"/>
          <w:highlight w:val="white"/>
        </w:rPr>
        <w:tab/>
        <w:t xml:space="preserve"> </w:t>
      </w:r>
      <m:oMath>
        <m:r>
          <w:rPr>
            <w:rFonts w:ascii="Cambria Math" w:eastAsia="Times New Roman" w:hAnsi="Cambria Math" w:cs="Times New Roman"/>
            <w:sz w:val="24"/>
            <w:szCs w:val="24"/>
          </w:rPr>
          <m:t>T(α)</m:t>
        </m:r>
        <m:sSub>
          <m:sSubPr>
            <m:ctrlPr>
              <w:rPr>
                <w:rFonts w:ascii="Cambria Math" w:eastAsia="Times New Roman" w:hAnsi="Cambria Math" w:cs="Times New Roman"/>
                <w:sz w:val="24"/>
                <w:szCs w:val="24"/>
                <w:vertAlign w:val="superscript"/>
              </w:rPr>
            </m:ctrlPr>
          </m:sSubPr>
          <m:e>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 xml:space="preserve"> =</m:t>
                </m:r>
                <m:f>
                  <m:fPr>
                    <m:ctrlPr>
                      <w:rPr>
                        <w:rFonts w:ascii="Cambria Math" w:eastAsia="Times New Roman" w:hAnsi="Cambria Math" w:cs="Times New Roman"/>
                        <w:sz w:val="24"/>
                        <w:szCs w:val="24"/>
                        <w:vertAlign w:val="superscript"/>
                      </w:rPr>
                    </m:ctrlPr>
                  </m:fPr>
                  <m:num>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Σ</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w</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C</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(α)</m:t>
                    </m:r>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I</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m:t>
                    </m:r>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α</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m:t>
                    </m:r>
                  </m:num>
                  <m:den>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Σ</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w</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C</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(α)</m:t>
                    </m:r>
                  </m:den>
                </m:f>
                <m:r>
                  <w:rPr>
                    <w:rFonts w:ascii="Cambria Math" w:eastAsia="Times New Roman" w:hAnsi="Cambria Math" w:cs="Times New Roman"/>
                    <w:sz w:val="24"/>
                    <w:szCs w:val="24"/>
                    <w:vertAlign w:val="superscript"/>
                  </w:rPr>
                  <m:t xml:space="preserve">                            (13)</m:t>
                </m:r>
              </m:e>
              <m:sub/>
            </m:sSub>
            <m:r>
              <w:rPr>
                <w:rFonts w:ascii="Cambria Math" w:eastAsia="Times New Roman" w:hAnsi="Cambria Math" w:cs="Times New Roman"/>
                <w:sz w:val="24"/>
                <w:szCs w:val="24"/>
                <w:vertAlign w:val="superscript"/>
              </w:rPr>
              <m:t xml:space="preserve"> </m:t>
            </m:r>
          </m:e>
          <m:sub/>
        </m:sSub>
      </m:oMath>
    </w:p>
    <w:p w14:paraId="4E4DDC90" w14:textId="77777777" w:rsidR="00FC01A6" w:rsidRPr="00B4761C" w:rsidRDefault="00487BF4">
      <w:pPr>
        <w:shd w:val="clear" w:color="auto" w:fill="FCFCFC"/>
        <w:spacing w:before="240" w:after="360" w:line="360" w:lineRule="auto"/>
        <w:jc w:val="both"/>
        <w:rPr>
          <w:rFonts w:ascii="Times New Roman" w:eastAsia="Times New Roman" w:hAnsi="Times New Roman" w:cs="Times New Roman"/>
          <w:sz w:val="24"/>
          <w:szCs w:val="24"/>
          <w:highlight w:val="white"/>
        </w:rPr>
      </w:pPr>
      <w:r w:rsidRPr="00B4761C">
        <w:rPr>
          <w:rFonts w:ascii="Times New Roman" w:eastAsia="Times New Roman" w:hAnsi="Times New Roman" w:cs="Times New Roman"/>
          <w:sz w:val="24"/>
          <w:szCs w:val="24"/>
          <w:highlight w:val="white"/>
        </w:rPr>
        <w:t xml:space="preserve">In the equation (13), </w:t>
      </w:r>
      <w:proofErr w:type="spellStart"/>
      <w:r w:rsidRPr="00B4761C">
        <w:rPr>
          <w:rFonts w:ascii="Times New Roman" w:eastAsia="Times New Roman" w:hAnsi="Times New Roman" w:cs="Times New Roman"/>
          <w:i/>
          <w:sz w:val="24"/>
          <w:szCs w:val="24"/>
          <w:highlight w:val="white"/>
        </w:rPr>
        <w:t>w</w:t>
      </w:r>
      <w:r w:rsidRPr="00B4761C">
        <w:rPr>
          <w:rFonts w:ascii="Times New Roman" w:eastAsia="Times New Roman" w:hAnsi="Times New Roman" w:cs="Times New Roman"/>
          <w:i/>
          <w:sz w:val="24"/>
          <w:szCs w:val="24"/>
          <w:highlight w:val="white"/>
          <w:vertAlign w:val="subscript"/>
        </w:rPr>
        <w:t>i</w:t>
      </w:r>
      <w:proofErr w:type="spellEnd"/>
      <w:r w:rsidRPr="00B4761C">
        <w:rPr>
          <w:rFonts w:ascii="Times New Roman" w:eastAsia="Times New Roman" w:hAnsi="Times New Roman" w:cs="Times New Roman"/>
          <w:sz w:val="24"/>
          <w:szCs w:val="24"/>
          <w:highlight w:val="white"/>
        </w:rPr>
        <w:t xml:space="preserve"> is the weight, </w:t>
      </w:r>
      <w:r w:rsidRPr="00B4761C">
        <w:rPr>
          <w:rFonts w:ascii="Times New Roman" w:eastAsia="Times New Roman" w:hAnsi="Times New Roman" w:cs="Times New Roman"/>
          <w:i/>
          <w:sz w:val="24"/>
          <w:szCs w:val="24"/>
          <w:highlight w:val="white"/>
        </w:rPr>
        <w:t>C</w:t>
      </w:r>
      <w:r w:rsidRPr="00B4761C">
        <w:rPr>
          <w:rFonts w:ascii="Times New Roman" w:eastAsia="Times New Roman" w:hAnsi="Times New Roman" w:cs="Times New Roman"/>
          <w:i/>
          <w:sz w:val="24"/>
          <w:szCs w:val="24"/>
          <w:highlight w:val="white"/>
          <w:vertAlign w:val="subscript"/>
        </w:rPr>
        <w:t>i</w:t>
      </w:r>
      <w:r w:rsidRPr="00B4761C">
        <w:rPr>
          <w:rFonts w:ascii="Times New Roman" w:eastAsia="Times New Roman" w:hAnsi="Times New Roman" w:cs="Times New Roman"/>
          <w:sz w:val="24"/>
          <w:szCs w:val="24"/>
          <w:highlight w:val="white"/>
        </w:rPr>
        <w:t xml:space="preserve"> is the confidence map, and </w:t>
      </w:r>
      <w:r w:rsidRPr="00B4761C">
        <w:rPr>
          <w:rFonts w:ascii="Times New Roman" w:eastAsia="Times New Roman" w:hAnsi="Times New Roman" w:cs="Times New Roman"/>
          <w:i/>
          <w:sz w:val="24"/>
          <w:szCs w:val="24"/>
          <w:highlight w:val="white"/>
        </w:rPr>
        <w:t>I</w:t>
      </w:r>
      <w:r w:rsidRPr="00B4761C">
        <w:rPr>
          <w:rFonts w:ascii="Times New Roman" w:eastAsia="Times New Roman" w:hAnsi="Times New Roman" w:cs="Times New Roman"/>
          <w:i/>
          <w:sz w:val="24"/>
          <w:szCs w:val="24"/>
          <w:highlight w:val="white"/>
          <w:vertAlign w:val="subscript"/>
        </w:rPr>
        <w:t>i</w:t>
      </w:r>
      <w:r w:rsidRPr="00B4761C">
        <w:rPr>
          <w:rFonts w:ascii="Times New Roman" w:eastAsia="Times New Roman" w:hAnsi="Times New Roman" w:cs="Times New Roman"/>
          <w:sz w:val="24"/>
          <w:szCs w:val="24"/>
          <w:highlight w:val="white"/>
        </w:rPr>
        <w:t xml:space="preserve"> is the interest map associated to </w:t>
      </w:r>
      <m:oMath>
        <m:sSub>
          <m:sSubPr>
            <m:ctrlPr>
              <w:rPr>
                <w:rFonts w:ascii="Cambria Math" w:eastAsia="Times New Roman" w:hAnsi="Cambria Math" w:cs="Times New Roman"/>
                <w:sz w:val="24"/>
                <w:szCs w:val="24"/>
                <w:vertAlign w:val="superscript"/>
              </w:rPr>
            </m:ctrlPr>
          </m:sSubPr>
          <m:e>
            <m:r>
              <w:rPr>
                <w:rFonts w:ascii="Cambria Math" w:hAnsi="Cambria Math" w:cs="Times New Roman"/>
                <w:sz w:val="24"/>
                <w:szCs w:val="24"/>
              </w:rPr>
              <m:t>α</m:t>
            </m:r>
          </m:e>
          <m:sub>
            <m:r>
              <w:rPr>
                <w:rFonts w:ascii="Cambria Math" w:eastAsia="Times New Roman" w:hAnsi="Cambria Math" w:cs="Times New Roman"/>
                <w:sz w:val="24"/>
                <w:szCs w:val="24"/>
                <w:vertAlign w:val="superscript"/>
              </w:rPr>
              <m:t>i</m:t>
            </m:r>
          </m:sub>
        </m:sSub>
      </m:oMath>
      <w:r w:rsidRPr="00B4761C">
        <w:rPr>
          <w:rFonts w:ascii="Times New Roman" w:eastAsia="Times New Roman" w:hAnsi="Times New Roman" w:cs="Times New Roman"/>
          <w:sz w:val="24"/>
          <w:szCs w:val="24"/>
          <w:highlight w:val="white"/>
        </w:rPr>
        <w:t xml:space="preserve">. In order to gain a little insight into this equation, let’s rearrange it a little. Let the attribute values be </w:t>
      </w:r>
      <w:proofErr w:type="gramStart"/>
      <w:r w:rsidRPr="00B4761C">
        <w:rPr>
          <w:rFonts w:ascii="Times New Roman" w:eastAsia="Times New Roman" w:hAnsi="Times New Roman" w:cs="Times New Roman"/>
          <w:sz w:val="24"/>
          <w:szCs w:val="24"/>
          <w:highlight w:val="white"/>
        </w:rPr>
        <w:t>fixed, and</w:t>
      </w:r>
      <w:proofErr w:type="gramEnd"/>
      <w:r w:rsidRPr="00B4761C">
        <w:rPr>
          <w:rFonts w:ascii="Times New Roman" w:eastAsia="Times New Roman" w:hAnsi="Times New Roman" w:cs="Times New Roman"/>
          <w:sz w:val="24"/>
          <w:szCs w:val="24"/>
          <w:highlight w:val="white"/>
        </w:rPr>
        <w:t xml:space="preserve"> define  </w:t>
      </w:r>
      <m:oMath>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S=Σ</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w</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C</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(α)</m:t>
        </m:r>
      </m:oMath>
      <w:r w:rsidRPr="00B4761C">
        <w:rPr>
          <w:rFonts w:ascii="Times New Roman" w:eastAsia="Times New Roman" w:hAnsi="Times New Roman" w:cs="Times New Roman"/>
          <w:sz w:val="24"/>
          <w:szCs w:val="24"/>
          <w:highlight w:val="white"/>
        </w:rPr>
        <w:t xml:space="preserve">  and </w:t>
      </w:r>
      <m:oMath>
        <m:sSub>
          <m:sSubPr>
            <m:ctrlPr>
              <w:rPr>
                <w:rFonts w:ascii="Cambria Math" w:eastAsia="Times New Roman" w:hAnsi="Cambria Math" w:cs="Times New Roman"/>
                <w:sz w:val="24"/>
                <w:szCs w:val="24"/>
                <w:vertAlign w:val="superscript"/>
              </w:rPr>
            </m:ctrlPr>
          </m:sSubPr>
          <m:e>
            <m:r>
              <w:rPr>
                <w:rFonts w:ascii="Cambria Math" w:hAnsi="Cambria Math" w:cs="Times New Roman"/>
                <w:sz w:val="24"/>
                <w:szCs w:val="24"/>
              </w:rPr>
              <m:t>μ</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m:t>
        </m:r>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w</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C</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(α)/S</m:t>
        </m:r>
      </m:oMath>
      <w:r w:rsidRPr="00B4761C">
        <w:rPr>
          <w:rFonts w:ascii="Times New Roman" w:eastAsia="Times New Roman" w:hAnsi="Times New Roman" w:cs="Times New Roman"/>
          <w:sz w:val="24"/>
          <w:szCs w:val="24"/>
        </w:rPr>
        <w:t>.</w:t>
      </w:r>
      <w:r w:rsidRPr="00B4761C">
        <w:rPr>
          <w:rFonts w:ascii="Times New Roman" w:eastAsia="Times New Roman" w:hAnsi="Times New Roman" w:cs="Times New Roman"/>
          <w:sz w:val="24"/>
          <w:szCs w:val="24"/>
          <w:highlight w:val="white"/>
        </w:rPr>
        <w:t xml:space="preserve">  Then, suppressing the dependence </w:t>
      </w:r>
      <w:proofErr w:type="gramStart"/>
      <w:r w:rsidRPr="00B4761C">
        <w:rPr>
          <w:rFonts w:ascii="Times New Roman" w:eastAsia="Times New Roman" w:hAnsi="Times New Roman" w:cs="Times New Roman"/>
          <w:sz w:val="24"/>
          <w:szCs w:val="24"/>
          <w:highlight w:val="white"/>
        </w:rPr>
        <w:t>on  ,</w:t>
      </w:r>
      <w:proofErr w:type="gramEnd"/>
      <w:r w:rsidRPr="00B4761C">
        <w:rPr>
          <w:rFonts w:ascii="Times New Roman" w:eastAsia="Times New Roman" w:hAnsi="Times New Roman" w:cs="Times New Roman"/>
          <w:sz w:val="24"/>
          <w:szCs w:val="24"/>
          <w:highlight w:val="white"/>
        </w:rPr>
        <w:t xml:space="preserve"> we have   </w:t>
      </w:r>
      <m:oMath>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T=Σ</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μ</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I</m:t>
            </m:r>
          </m:e>
          <m:sub>
            <m:r>
              <w:rPr>
                <w:rFonts w:ascii="Cambria Math" w:eastAsia="Times New Roman" w:hAnsi="Cambria Math" w:cs="Times New Roman"/>
                <w:sz w:val="24"/>
                <w:szCs w:val="24"/>
                <w:vertAlign w:val="superscript"/>
              </w:rPr>
              <m:t>i</m:t>
            </m:r>
          </m:sub>
        </m:sSub>
      </m:oMath>
      <w:r w:rsidRPr="00B4761C">
        <w:rPr>
          <w:rFonts w:ascii="Times New Roman" w:eastAsia="Times New Roman" w:hAnsi="Times New Roman" w:cs="Times New Roman"/>
          <w:sz w:val="24"/>
          <w:szCs w:val="24"/>
        </w:rPr>
        <w:t>.</w:t>
      </w:r>
    </w:p>
    <w:p w14:paraId="1C1352D0" w14:textId="77777777" w:rsidR="00FC01A6" w:rsidRPr="00B4761C" w:rsidRDefault="00487BF4">
      <w:pPr>
        <w:spacing w:before="240" w:after="240" w:line="360" w:lineRule="auto"/>
        <w:jc w:val="both"/>
        <w:rPr>
          <w:rFonts w:ascii="Times New Roman" w:eastAsia="Times New Roman" w:hAnsi="Times New Roman" w:cs="Times New Roman"/>
          <w:b/>
          <w:sz w:val="24"/>
          <w:szCs w:val="24"/>
        </w:rPr>
      </w:pPr>
      <w:r w:rsidRPr="00B4761C">
        <w:rPr>
          <w:rFonts w:ascii="Times New Roman" w:eastAsia="Times New Roman" w:hAnsi="Times New Roman" w:cs="Times New Roman"/>
          <w:sz w:val="24"/>
          <w:szCs w:val="24"/>
          <w:highlight w:val="white"/>
        </w:rPr>
        <w:t xml:space="preserve"> From this we see that the total interest is simply a weighted average of the individual interest values </w:t>
      </w:r>
      <w:r w:rsidRPr="00B4761C">
        <w:rPr>
          <w:rFonts w:ascii="Times New Roman" w:eastAsia="Times New Roman" w:hAnsi="Times New Roman" w:cs="Times New Roman"/>
          <w:i/>
          <w:sz w:val="24"/>
          <w:szCs w:val="24"/>
          <w:highlight w:val="white"/>
        </w:rPr>
        <w:t>I</w:t>
      </w:r>
      <w:r w:rsidRPr="00B4761C">
        <w:rPr>
          <w:rFonts w:ascii="Times New Roman" w:eastAsia="Times New Roman" w:hAnsi="Times New Roman" w:cs="Times New Roman"/>
          <w:i/>
          <w:sz w:val="24"/>
          <w:szCs w:val="24"/>
          <w:highlight w:val="white"/>
          <w:vertAlign w:val="subscript"/>
        </w:rPr>
        <w:t>i</w:t>
      </w:r>
      <w:r w:rsidRPr="00B4761C">
        <w:rPr>
          <w:rFonts w:ascii="Times New Roman" w:eastAsia="Times New Roman" w:hAnsi="Times New Roman" w:cs="Times New Roman"/>
          <w:sz w:val="24"/>
          <w:szCs w:val="24"/>
          <w:highlight w:val="white"/>
        </w:rPr>
        <w:t xml:space="preserve">. The coefficients in this weighted average add up to one: </w:t>
      </w:r>
      <m:oMath>
        <m:sSub>
          <m:sSubPr>
            <m:ctrlPr>
              <w:rPr>
                <w:rFonts w:ascii="Cambria Math" w:eastAsia="Times New Roman" w:hAnsi="Cambria Math" w:cs="Times New Roman"/>
                <w:sz w:val="24"/>
                <w:szCs w:val="24"/>
                <w:vertAlign w:val="superscript"/>
              </w:rPr>
            </m:ctrlPr>
          </m:sSubPr>
          <m:e>
            <m:r>
              <w:rPr>
                <w:rFonts w:ascii="Cambria Math" w:hAnsi="Cambria Math" w:cs="Times New Roman"/>
                <w:sz w:val="24"/>
                <w:szCs w:val="24"/>
              </w:rPr>
              <m:t>Σ</m:t>
            </m:r>
          </m:e>
          <m:sub>
            <m:r>
              <w:rPr>
                <w:rFonts w:ascii="Cambria Math" w:eastAsia="Times New Roman" w:hAnsi="Cambria Math" w:cs="Times New Roman"/>
                <w:sz w:val="24"/>
                <w:szCs w:val="24"/>
                <w:vertAlign w:val="superscript"/>
              </w:rPr>
              <m:t>i</m:t>
            </m:r>
          </m:sub>
        </m:sSub>
        <m:sSub>
          <m:sSubPr>
            <m:ctrlPr>
              <w:rPr>
                <w:rFonts w:ascii="Cambria Math" w:eastAsia="Times New Roman" w:hAnsi="Cambria Math" w:cs="Times New Roman"/>
                <w:sz w:val="24"/>
                <w:szCs w:val="24"/>
                <w:vertAlign w:val="superscript"/>
              </w:rPr>
            </m:ctrlPr>
          </m:sSubPr>
          <m:e>
            <m:r>
              <w:rPr>
                <w:rFonts w:ascii="Cambria Math" w:eastAsia="Times New Roman" w:hAnsi="Cambria Math" w:cs="Times New Roman"/>
                <w:sz w:val="24"/>
                <w:szCs w:val="24"/>
                <w:vertAlign w:val="superscript"/>
              </w:rPr>
              <m:t>μ</m:t>
            </m:r>
          </m:e>
          <m:sub>
            <m:r>
              <w:rPr>
                <w:rFonts w:ascii="Cambria Math" w:eastAsia="Times New Roman" w:hAnsi="Cambria Math" w:cs="Times New Roman"/>
                <w:sz w:val="24"/>
                <w:szCs w:val="24"/>
                <w:vertAlign w:val="superscript"/>
              </w:rPr>
              <m:t>i</m:t>
            </m:r>
          </m:sub>
        </m:sSub>
        <m:r>
          <w:rPr>
            <w:rFonts w:ascii="Cambria Math" w:eastAsia="Times New Roman" w:hAnsi="Cambria Math" w:cs="Times New Roman"/>
            <w:sz w:val="24"/>
            <w:szCs w:val="24"/>
            <w:vertAlign w:val="superscript"/>
          </w:rPr>
          <m:t>=1</m:t>
        </m:r>
      </m:oMath>
    </w:p>
    <w:p w14:paraId="2C5CA884" w14:textId="77777777" w:rsidR="00FC01A6" w:rsidRPr="00B4761C" w:rsidRDefault="00FC01A6">
      <w:pPr>
        <w:spacing w:before="140" w:line="360" w:lineRule="auto"/>
        <w:jc w:val="both"/>
        <w:rPr>
          <w:rFonts w:ascii="Times New Roman" w:eastAsia="Times New Roman" w:hAnsi="Times New Roman" w:cs="Times New Roman"/>
          <w:b/>
          <w:sz w:val="24"/>
          <w:szCs w:val="24"/>
        </w:rPr>
      </w:pPr>
    </w:p>
    <w:sectPr w:rsidR="00FC01A6" w:rsidRPr="00B4761C">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9B0C87" w14:textId="77777777" w:rsidR="00D22559" w:rsidRDefault="00D22559">
      <w:pPr>
        <w:spacing w:line="240" w:lineRule="auto"/>
      </w:pPr>
      <w:r>
        <w:separator/>
      </w:r>
    </w:p>
  </w:endnote>
  <w:endnote w:type="continuationSeparator" w:id="0">
    <w:p w14:paraId="261BA24B" w14:textId="77777777" w:rsidR="00D22559" w:rsidRDefault="00D225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Gungsuh">
    <w:altName w:val="Gungsuh"/>
    <w:charset w:val="81"/>
    <w:family w:val="roman"/>
    <w:pitch w:val="variable"/>
    <w:sig w:usb0="B00002AF" w:usb1="69D77CFB" w:usb2="00000030" w:usb3="00000000" w:csb0="0008009F" w:csb1="00000000"/>
  </w:font>
  <w:font w:name="Cardo">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BA75DF" w14:textId="77777777" w:rsidR="00487BF4" w:rsidRDefault="00487B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BF2006" w14:textId="77777777" w:rsidR="00D22559" w:rsidRDefault="00D22559">
      <w:pPr>
        <w:spacing w:line="240" w:lineRule="auto"/>
      </w:pPr>
      <w:r>
        <w:separator/>
      </w:r>
    </w:p>
  </w:footnote>
  <w:footnote w:type="continuationSeparator" w:id="0">
    <w:p w14:paraId="7B4A79F8" w14:textId="77777777" w:rsidR="00D22559" w:rsidRDefault="00D225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5D880E" w14:textId="77777777" w:rsidR="00487BF4" w:rsidRDefault="00487BF4">
    <w:pPr>
      <w:spacing w:after="200" w:line="360" w:lineRule="auto"/>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11683A"/>
    <w:multiLevelType w:val="multilevel"/>
    <w:tmpl w:val="9184F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BD1681C"/>
    <w:multiLevelType w:val="multilevel"/>
    <w:tmpl w:val="3D16BEB4"/>
    <w:lvl w:ilvl="0">
      <w:start w:val="28"/>
      <w:numFmt w:val="decimal"/>
      <w:lvlText w:val="%1."/>
      <w:lvlJc w:val="left"/>
      <w:pPr>
        <w:ind w:left="720" w:hanging="360"/>
      </w:pPr>
      <w:rPr>
        <w:rFonts w:hint="default"/>
        <w:sz w:val="24"/>
        <w:szCs w:val="24"/>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2" w15:restartNumberingAfterBreak="0">
    <w:nsid w:val="33ED58B2"/>
    <w:multiLevelType w:val="multilevel"/>
    <w:tmpl w:val="D02E04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BE511B2"/>
    <w:multiLevelType w:val="multilevel"/>
    <w:tmpl w:val="33640B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BC66B5E"/>
    <w:multiLevelType w:val="multilevel"/>
    <w:tmpl w:val="91FE4F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FC01A6"/>
    <w:rsid w:val="000A1879"/>
    <w:rsid w:val="000C77D0"/>
    <w:rsid w:val="001E5C25"/>
    <w:rsid w:val="0026456E"/>
    <w:rsid w:val="003130C1"/>
    <w:rsid w:val="0033642E"/>
    <w:rsid w:val="00487BF4"/>
    <w:rsid w:val="004E42DF"/>
    <w:rsid w:val="005A12D3"/>
    <w:rsid w:val="00683E8A"/>
    <w:rsid w:val="007340A6"/>
    <w:rsid w:val="00760080"/>
    <w:rsid w:val="00826BEF"/>
    <w:rsid w:val="00912CAE"/>
    <w:rsid w:val="00AC0B75"/>
    <w:rsid w:val="00B11051"/>
    <w:rsid w:val="00B4761C"/>
    <w:rsid w:val="00B73AA7"/>
    <w:rsid w:val="00BA3620"/>
    <w:rsid w:val="00BA4D22"/>
    <w:rsid w:val="00D22559"/>
    <w:rsid w:val="00D70AC3"/>
    <w:rsid w:val="00F00413"/>
    <w:rsid w:val="00F52A92"/>
    <w:rsid w:val="00FC01A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A6BF6"/>
  <w15:docId w15:val="{66D79695-D1C9-4F82-A95C-D21988C5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US"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487BF4"/>
    <w:pPr>
      <w:spacing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487BF4"/>
    <w:rPr>
      <w:rFonts w:ascii="Tahoma" w:hAnsi="Tahoma" w:cs="Mangal"/>
      <w:sz w:val="16"/>
      <w:szCs w:val="14"/>
    </w:rPr>
  </w:style>
  <w:style w:type="character" w:styleId="Hyperlink">
    <w:name w:val="Hyperlink"/>
    <w:basedOn w:val="DefaultParagraphFont"/>
    <w:uiPriority w:val="99"/>
    <w:unhideWhenUsed/>
    <w:rsid w:val="00683E8A"/>
    <w:rPr>
      <w:color w:val="0000FF" w:themeColor="hyperlink"/>
      <w:u w:val="single"/>
    </w:rPr>
  </w:style>
  <w:style w:type="character" w:customStyle="1" w:styleId="text-node">
    <w:name w:val="text-node"/>
    <w:basedOn w:val="DefaultParagraphFont"/>
    <w:rsid w:val="00AC0B75"/>
  </w:style>
  <w:style w:type="character" w:styleId="Emphasis">
    <w:name w:val="Emphasis"/>
    <w:basedOn w:val="DefaultParagraphFont"/>
    <w:uiPriority w:val="20"/>
    <w:qFormat/>
    <w:rsid w:val="00AC0B75"/>
    <w:rPr>
      <w:i/>
      <w:iCs/>
    </w:rPr>
  </w:style>
  <w:style w:type="character" w:styleId="Strong">
    <w:name w:val="Strong"/>
    <w:basedOn w:val="DefaultParagraphFont"/>
    <w:uiPriority w:val="22"/>
    <w:qFormat/>
    <w:rsid w:val="00AC0B75"/>
    <w:rPr>
      <w:b/>
      <w:bCs/>
    </w:rPr>
  </w:style>
  <w:style w:type="character" w:customStyle="1" w:styleId="mixed-citation">
    <w:name w:val="mixed-citation"/>
    <w:basedOn w:val="DefaultParagraphFont"/>
    <w:rsid w:val="000A1879"/>
  </w:style>
  <w:style w:type="character" w:customStyle="1" w:styleId="ref-title">
    <w:name w:val="ref-title"/>
    <w:basedOn w:val="DefaultParagraphFont"/>
    <w:rsid w:val="000A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1726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2433</Words>
  <Characters>13869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Bhushan Tandale</cp:lastModifiedBy>
  <cp:revision>4</cp:revision>
  <dcterms:created xsi:type="dcterms:W3CDTF">2023-01-10T11:08:00Z</dcterms:created>
  <dcterms:modified xsi:type="dcterms:W3CDTF">2023-01-19T11:18:00Z</dcterms:modified>
</cp:coreProperties>
</file>