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DDD9A3" w14:textId="77777777" w:rsidR="00C151CF" w:rsidRDefault="00C151CF" w:rsidP="00C151CF">
      <w:pPr>
        <w:tabs>
          <w:tab w:val="left" w:pos="5865"/>
        </w:tabs>
        <w:spacing w:line="300" w:lineRule="auto"/>
        <w:jc w:val="left"/>
        <w:rPr>
          <w:sz w:val="21"/>
          <w:szCs w:val="21"/>
        </w:rPr>
      </w:pPr>
      <w:r>
        <w:rPr>
          <w:sz w:val="21"/>
          <w:szCs w:val="21"/>
        </w:rPr>
        <w:t>Table S</w:t>
      </w:r>
      <w:r>
        <w:rPr>
          <w:rFonts w:hint="eastAsia"/>
          <w:sz w:val="21"/>
          <w:szCs w:val="21"/>
        </w:rPr>
        <w:t>1</w:t>
      </w:r>
      <w:r>
        <w:rPr>
          <w:sz w:val="21"/>
          <w:szCs w:val="21"/>
        </w:rPr>
        <w:t>.</w:t>
      </w:r>
      <w:r>
        <w:rPr>
          <w:rFonts w:hint="eastAsia"/>
          <w:sz w:val="21"/>
          <w:szCs w:val="21"/>
        </w:rPr>
        <w:t xml:space="preserve"> The comparison of </w:t>
      </w:r>
      <w:r>
        <w:rPr>
          <w:sz w:val="21"/>
          <w:szCs w:val="21"/>
        </w:rPr>
        <w:t xml:space="preserve">mean area, mean diameter, mean density and mean integrated optical density (IOD) </w:t>
      </w:r>
      <w:r>
        <w:rPr>
          <w:rFonts w:hint="eastAsia"/>
          <w:sz w:val="21"/>
          <w:szCs w:val="21"/>
        </w:rPr>
        <w:t xml:space="preserve">of synovia </w:t>
      </w:r>
      <w:r>
        <w:rPr>
          <w:sz w:val="21"/>
          <w:szCs w:val="21"/>
        </w:rPr>
        <w:t xml:space="preserve">immunohistochemistry </w:t>
      </w:r>
      <w:r>
        <w:rPr>
          <w:rFonts w:hint="eastAsia"/>
          <w:sz w:val="21"/>
          <w:szCs w:val="21"/>
        </w:rPr>
        <w:t xml:space="preserve">in </w:t>
      </w:r>
      <w:r>
        <w:rPr>
          <w:sz w:val="21"/>
          <w:szCs w:val="21"/>
        </w:rPr>
        <w:t>RA and OA patients</w:t>
      </w:r>
      <w:r>
        <w:rPr>
          <w:rFonts w:hint="eastAsia"/>
          <w:sz w:val="21"/>
          <w:szCs w:val="21"/>
        </w:rPr>
        <w:t>.</w:t>
      </w:r>
    </w:p>
    <w:tbl>
      <w:tblPr>
        <w:tblW w:w="7624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32"/>
        <w:gridCol w:w="2461"/>
        <w:gridCol w:w="2250"/>
        <w:gridCol w:w="1181"/>
      </w:tblGrid>
      <w:tr w:rsidR="00C151CF" w14:paraId="5049232E" w14:textId="77777777" w:rsidTr="004B0551">
        <w:trPr>
          <w:tblHeader/>
        </w:trPr>
        <w:tc>
          <w:tcPr>
            <w:tcW w:w="1732" w:type="dxa"/>
            <w:tcBorders>
              <w:top w:val="single" w:sz="4" w:space="0" w:color="auto"/>
            </w:tcBorders>
            <w:vAlign w:val="center"/>
          </w:tcPr>
          <w:p w14:paraId="1EF2F2D8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left"/>
              <w:rPr>
                <w:sz w:val="21"/>
                <w:szCs w:val="21"/>
              </w:rPr>
            </w:pPr>
          </w:p>
        </w:tc>
        <w:tc>
          <w:tcPr>
            <w:tcW w:w="24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5B1DE3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OA patients (n=5)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14:paraId="67966A00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lef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RA patients (n=5)</w:t>
            </w:r>
          </w:p>
        </w:tc>
        <w:tc>
          <w:tcPr>
            <w:tcW w:w="1181" w:type="dxa"/>
            <w:tcBorders>
              <w:top w:val="single" w:sz="4" w:space="0" w:color="auto"/>
              <w:bottom w:val="single" w:sz="4" w:space="0" w:color="auto"/>
            </w:tcBorders>
          </w:tcPr>
          <w:p w14:paraId="106D685B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p</w:t>
            </w:r>
          </w:p>
        </w:tc>
      </w:tr>
      <w:tr w:rsidR="00C151CF" w14:paraId="765C0A1C" w14:textId="77777777" w:rsidTr="004B0551">
        <w:tc>
          <w:tcPr>
            <w:tcW w:w="1732" w:type="dxa"/>
            <w:tcBorders>
              <w:top w:val="single" w:sz="4" w:space="0" w:color="auto"/>
            </w:tcBorders>
            <w:vAlign w:val="center"/>
          </w:tcPr>
          <w:p w14:paraId="20D7776D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Mean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area</w:t>
            </w:r>
          </w:p>
        </w:tc>
        <w:tc>
          <w:tcPr>
            <w:tcW w:w="2461" w:type="dxa"/>
            <w:tcBorders>
              <w:top w:val="single" w:sz="4" w:space="0" w:color="auto"/>
            </w:tcBorders>
            <w:vAlign w:val="center"/>
          </w:tcPr>
          <w:p w14:paraId="050D50AA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1062.54</w:t>
            </w:r>
            <w:r>
              <w:rPr>
                <w:rFonts w:hint="eastAsia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>717.26</w:t>
            </w:r>
          </w:p>
        </w:tc>
        <w:tc>
          <w:tcPr>
            <w:tcW w:w="2250" w:type="dxa"/>
            <w:tcBorders>
              <w:top w:val="single" w:sz="4" w:space="0" w:color="auto"/>
            </w:tcBorders>
            <w:vAlign w:val="center"/>
          </w:tcPr>
          <w:p w14:paraId="6ADC48D8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lef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781.89</w:t>
            </w:r>
            <w:r>
              <w:rPr>
                <w:rFonts w:hint="eastAsia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>327.18</w:t>
            </w:r>
          </w:p>
        </w:tc>
        <w:tc>
          <w:tcPr>
            <w:tcW w:w="1181" w:type="dxa"/>
            <w:tcBorders>
              <w:top w:val="single" w:sz="4" w:space="0" w:color="auto"/>
            </w:tcBorders>
            <w:vAlign w:val="center"/>
          </w:tcPr>
          <w:p w14:paraId="1FE3846D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0.449</w:t>
            </w:r>
          </w:p>
        </w:tc>
      </w:tr>
      <w:tr w:rsidR="00C151CF" w14:paraId="09CAAD52" w14:textId="77777777" w:rsidTr="004B0551">
        <w:tc>
          <w:tcPr>
            <w:tcW w:w="1732" w:type="dxa"/>
            <w:vAlign w:val="center"/>
          </w:tcPr>
          <w:p w14:paraId="43FCBD12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Mean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density</w:t>
            </w:r>
          </w:p>
        </w:tc>
        <w:tc>
          <w:tcPr>
            <w:tcW w:w="2461" w:type="dxa"/>
            <w:vAlign w:val="center"/>
          </w:tcPr>
          <w:p w14:paraId="51EE40C4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139.92</w:t>
            </w:r>
            <w:r>
              <w:rPr>
                <w:rFonts w:hint="eastAsia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>20.16</w:t>
            </w:r>
          </w:p>
        </w:tc>
        <w:tc>
          <w:tcPr>
            <w:tcW w:w="2250" w:type="dxa"/>
            <w:vAlign w:val="center"/>
          </w:tcPr>
          <w:p w14:paraId="3C378841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lef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127.78</w:t>
            </w:r>
            <w:r>
              <w:rPr>
                <w:rFonts w:hint="eastAsia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>17.46</w:t>
            </w:r>
          </w:p>
        </w:tc>
        <w:tc>
          <w:tcPr>
            <w:tcW w:w="1181" w:type="dxa"/>
            <w:vAlign w:val="center"/>
          </w:tcPr>
          <w:p w14:paraId="3972F26A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0.101</w:t>
            </w:r>
          </w:p>
        </w:tc>
      </w:tr>
      <w:tr w:rsidR="00C151CF" w14:paraId="36C59FB3" w14:textId="77777777" w:rsidTr="004B0551">
        <w:tc>
          <w:tcPr>
            <w:tcW w:w="1732" w:type="dxa"/>
            <w:vAlign w:val="center"/>
          </w:tcPr>
          <w:p w14:paraId="3F67C9FA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Mean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diameter</w:t>
            </w:r>
          </w:p>
        </w:tc>
        <w:tc>
          <w:tcPr>
            <w:tcW w:w="2461" w:type="dxa"/>
            <w:vAlign w:val="center"/>
          </w:tcPr>
          <w:p w14:paraId="0BBC5597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16.91</w:t>
            </w:r>
            <w:r>
              <w:rPr>
                <w:rFonts w:hint="eastAsia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>3.03</w:t>
            </w:r>
          </w:p>
        </w:tc>
        <w:tc>
          <w:tcPr>
            <w:tcW w:w="2250" w:type="dxa"/>
            <w:vAlign w:val="center"/>
          </w:tcPr>
          <w:p w14:paraId="532C2632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lef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14.09</w:t>
            </w:r>
            <w:r>
              <w:rPr>
                <w:rFonts w:hint="eastAsia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>1.56</w:t>
            </w:r>
          </w:p>
        </w:tc>
        <w:tc>
          <w:tcPr>
            <w:tcW w:w="1181" w:type="dxa"/>
            <w:vAlign w:val="center"/>
          </w:tcPr>
          <w:p w14:paraId="5FC229AC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0.339</w:t>
            </w:r>
          </w:p>
        </w:tc>
      </w:tr>
      <w:tr w:rsidR="00C151CF" w14:paraId="5E2755E9" w14:textId="77777777" w:rsidTr="004B0551">
        <w:tc>
          <w:tcPr>
            <w:tcW w:w="1732" w:type="dxa"/>
            <w:vAlign w:val="center"/>
          </w:tcPr>
          <w:p w14:paraId="568C654D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Mean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IOD</w:t>
            </w:r>
          </w:p>
        </w:tc>
        <w:tc>
          <w:tcPr>
            <w:tcW w:w="2461" w:type="dxa"/>
            <w:vAlign w:val="center"/>
          </w:tcPr>
          <w:p w14:paraId="63171B8E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135729.61</w:t>
            </w:r>
            <w:r>
              <w:rPr>
                <w:rFonts w:hint="eastAsia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>91885.23</w:t>
            </w:r>
          </w:p>
        </w:tc>
        <w:tc>
          <w:tcPr>
            <w:tcW w:w="2250" w:type="dxa"/>
            <w:vAlign w:val="center"/>
          </w:tcPr>
          <w:p w14:paraId="0888F599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lef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98617.62</w:t>
            </w:r>
            <w:r>
              <w:rPr>
                <w:rFonts w:hint="eastAsia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>47283.08</w:t>
            </w:r>
          </w:p>
        </w:tc>
        <w:tc>
          <w:tcPr>
            <w:tcW w:w="1181" w:type="dxa"/>
            <w:vAlign w:val="center"/>
          </w:tcPr>
          <w:p w14:paraId="0942AE5A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0.445</w:t>
            </w:r>
          </w:p>
        </w:tc>
      </w:tr>
    </w:tbl>
    <w:p w14:paraId="2617B3B9" w14:textId="77777777" w:rsidR="00C151CF" w:rsidRDefault="00C151CF" w:rsidP="00C151CF">
      <w:pPr>
        <w:widowControl/>
        <w:tabs>
          <w:tab w:val="left" w:pos="5865"/>
        </w:tabs>
        <w:spacing w:line="300" w:lineRule="auto"/>
        <w:jc w:val="left"/>
        <w:rPr>
          <w:rFonts w:hint="eastAsia"/>
          <w:sz w:val="21"/>
          <w:szCs w:val="21"/>
        </w:rPr>
      </w:pPr>
      <w:r>
        <w:rPr>
          <w:sz w:val="21"/>
          <w:szCs w:val="21"/>
        </w:rPr>
        <w:t>Note: IOD</w:t>
      </w:r>
      <w:r>
        <w:rPr>
          <w:rFonts w:hint="eastAsia"/>
          <w:sz w:val="21"/>
          <w:szCs w:val="21"/>
        </w:rPr>
        <w:t xml:space="preserve">: </w:t>
      </w:r>
      <w:r>
        <w:rPr>
          <w:sz w:val="21"/>
          <w:szCs w:val="21"/>
        </w:rPr>
        <w:t>integrated optical density</w:t>
      </w:r>
      <w:r>
        <w:rPr>
          <w:rFonts w:hint="eastAsia"/>
          <w:sz w:val="21"/>
          <w:szCs w:val="21"/>
        </w:rPr>
        <w:t>; RA: rheumatoid arthritis; OA: osteoarthritis.</w:t>
      </w:r>
    </w:p>
    <w:p w14:paraId="76567F25" w14:textId="77777777" w:rsidR="00C151CF" w:rsidRDefault="00C151CF" w:rsidP="00C151CF">
      <w:pPr>
        <w:widowControl/>
        <w:tabs>
          <w:tab w:val="left" w:pos="5865"/>
        </w:tabs>
        <w:spacing w:line="300" w:lineRule="auto"/>
        <w:jc w:val="left"/>
        <w:rPr>
          <w:rFonts w:hint="eastAsia"/>
          <w:sz w:val="21"/>
          <w:szCs w:val="21"/>
        </w:rPr>
      </w:pPr>
    </w:p>
    <w:p w14:paraId="6F589E75" w14:textId="77777777" w:rsidR="00C151CF" w:rsidRDefault="00C151CF" w:rsidP="00C151CF">
      <w:pPr>
        <w:widowControl/>
        <w:tabs>
          <w:tab w:val="left" w:pos="5865"/>
        </w:tabs>
        <w:spacing w:line="300" w:lineRule="auto"/>
        <w:jc w:val="left"/>
        <w:rPr>
          <w:sz w:val="21"/>
          <w:szCs w:val="21"/>
        </w:rPr>
      </w:pPr>
      <w:r>
        <w:rPr>
          <w:sz w:val="21"/>
          <w:szCs w:val="21"/>
        </w:rPr>
        <w:t xml:space="preserve">Table </w:t>
      </w:r>
      <w:r>
        <w:rPr>
          <w:rFonts w:hint="eastAsia"/>
          <w:sz w:val="21"/>
          <w:szCs w:val="21"/>
        </w:rPr>
        <w:t>S2</w:t>
      </w:r>
      <w:r>
        <w:rPr>
          <w:sz w:val="21"/>
          <w:szCs w:val="21"/>
        </w:rPr>
        <w:t xml:space="preserve">. </w:t>
      </w:r>
      <w:r>
        <w:rPr>
          <w:rFonts w:hint="eastAsia"/>
          <w:sz w:val="21"/>
          <w:szCs w:val="21"/>
        </w:rPr>
        <w:t>The correlation of syndecn-4 concentration in SF with disease activity in 23 RA pa</w:t>
      </w:r>
      <w:r>
        <w:rPr>
          <w:sz w:val="21"/>
          <w:szCs w:val="21"/>
        </w:rPr>
        <w:t>tients</w:t>
      </w:r>
      <w:r>
        <w:rPr>
          <w:rFonts w:hint="eastAsia"/>
          <w:sz w:val="21"/>
          <w:szCs w:val="21"/>
        </w:rPr>
        <w:t xml:space="preserve"> having paired sera and SF samples.</w:t>
      </w:r>
    </w:p>
    <w:tbl>
      <w:tblPr>
        <w:tblW w:w="8100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50"/>
        <w:gridCol w:w="2210"/>
        <w:gridCol w:w="2340"/>
      </w:tblGrid>
      <w:tr w:rsidR="00C151CF" w14:paraId="2EFC48CC" w14:textId="77777777" w:rsidTr="004B0551">
        <w:trPr>
          <w:tblHeader/>
          <w:jc w:val="center"/>
        </w:trPr>
        <w:tc>
          <w:tcPr>
            <w:tcW w:w="35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C3DDA0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left"/>
              <w:rPr>
                <w:sz w:val="21"/>
                <w:szCs w:val="21"/>
              </w:rPr>
            </w:pPr>
          </w:p>
        </w:tc>
        <w:tc>
          <w:tcPr>
            <w:tcW w:w="22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1A04FD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r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3E2ACA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p</w:t>
            </w:r>
          </w:p>
        </w:tc>
      </w:tr>
      <w:tr w:rsidR="00C151CF" w14:paraId="324B5AF1" w14:textId="77777777" w:rsidTr="004B0551">
        <w:trPr>
          <w:jc w:val="center"/>
        </w:trPr>
        <w:tc>
          <w:tcPr>
            <w:tcW w:w="3550" w:type="dxa"/>
            <w:tcBorders>
              <w:top w:val="nil"/>
              <w:bottom w:val="nil"/>
              <w:right w:val="nil"/>
            </w:tcBorders>
            <w:vAlign w:val="center"/>
          </w:tcPr>
          <w:p w14:paraId="1F81838B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TJC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01F45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0.314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C879E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0.236</w:t>
            </w:r>
          </w:p>
        </w:tc>
      </w:tr>
      <w:tr w:rsidR="00C151CF" w14:paraId="1A505F2F" w14:textId="77777777" w:rsidTr="004B0551">
        <w:trPr>
          <w:jc w:val="center"/>
        </w:trPr>
        <w:tc>
          <w:tcPr>
            <w:tcW w:w="3550" w:type="dxa"/>
            <w:tcBorders>
              <w:top w:val="nil"/>
              <w:bottom w:val="nil"/>
              <w:right w:val="nil"/>
            </w:tcBorders>
            <w:vAlign w:val="center"/>
          </w:tcPr>
          <w:p w14:paraId="0FEC9F47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SJC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72477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0.456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2E8926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0.076</w:t>
            </w:r>
          </w:p>
        </w:tc>
      </w:tr>
      <w:tr w:rsidR="00C151CF" w14:paraId="515BBDFD" w14:textId="77777777" w:rsidTr="004B0551">
        <w:trPr>
          <w:jc w:val="center"/>
        </w:trPr>
        <w:tc>
          <w:tcPr>
            <w:tcW w:w="3550" w:type="dxa"/>
            <w:tcBorders>
              <w:top w:val="nil"/>
              <w:bottom w:val="nil"/>
              <w:right w:val="nil"/>
            </w:tcBorders>
            <w:vAlign w:val="center"/>
          </w:tcPr>
          <w:p w14:paraId="18604287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PGA (0-100 mm)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4EE37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0.500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37E29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0.048</w:t>
            </w:r>
          </w:p>
        </w:tc>
      </w:tr>
      <w:tr w:rsidR="00C151CF" w14:paraId="395BD8F9" w14:textId="77777777" w:rsidTr="004B0551">
        <w:trPr>
          <w:jc w:val="center"/>
        </w:trPr>
        <w:tc>
          <w:tcPr>
            <w:tcW w:w="3550" w:type="dxa"/>
            <w:tcBorders>
              <w:top w:val="nil"/>
              <w:bottom w:val="nil"/>
              <w:right w:val="nil"/>
            </w:tcBorders>
            <w:vAlign w:val="center"/>
          </w:tcPr>
          <w:p w14:paraId="47947D9C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EGA (0-100 mm)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39653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0.505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CAC105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0.046</w:t>
            </w:r>
          </w:p>
        </w:tc>
      </w:tr>
      <w:tr w:rsidR="00C151CF" w14:paraId="22BFA522" w14:textId="77777777" w:rsidTr="004B0551">
        <w:trPr>
          <w:jc w:val="center"/>
        </w:trPr>
        <w:tc>
          <w:tcPr>
            <w:tcW w:w="3550" w:type="dxa"/>
            <w:tcBorders>
              <w:top w:val="nil"/>
              <w:bottom w:val="nil"/>
              <w:right w:val="nil"/>
            </w:tcBorders>
            <w:vAlign w:val="center"/>
          </w:tcPr>
          <w:p w14:paraId="139FA18D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HAQ-DI (0-3)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55092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-0.200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0F3A3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0.800</w:t>
            </w:r>
          </w:p>
        </w:tc>
      </w:tr>
      <w:tr w:rsidR="00C151CF" w14:paraId="232207C8" w14:textId="77777777" w:rsidTr="004B0551">
        <w:trPr>
          <w:jc w:val="center"/>
        </w:trPr>
        <w:tc>
          <w:tcPr>
            <w:tcW w:w="3550" w:type="dxa"/>
            <w:tcBorders>
              <w:top w:val="nil"/>
              <w:bottom w:val="nil"/>
              <w:right w:val="nil"/>
            </w:tcBorders>
            <w:vAlign w:val="center"/>
          </w:tcPr>
          <w:p w14:paraId="2D2ED8ED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ESR (mm/h)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4D230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0.414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407053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0.088</w:t>
            </w:r>
          </w:p>
        </w:tc>
      </w:tr>
      <w:tr w:rsidR="00C151CF" w14:paraId="4D0444D5" w14:textId="77777777" w:rsidTr="004B0551">
        <w:trPr>
          <w:jc w:val="center"/>
        </w:trPr>
        <w:tc>
          <w:tcPr>
            <w:tcW w:w="3550" w:type="dxa"/>
            <w:tcBorders>
              <w:top w:val="nil"/>
              <w:bottom w:val="nil"/>
              <w:right w:val="nil"/>
            </w:tcBorders>
            <w:vAlign w:val="center"/>
          </w:tcPr>
          <w:p w14:paraId="6B913F26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CRP (mg/L)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307730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0.554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932F1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0.014</w:t>
            </w:r>
          </w:p>
        </w:tc>
      </w:tr>
      <w:tr w:rsidR="00C151CF" w14:paraId="27D0BAF3" w14:textId="77777777" w:rsidTr="004B0551">
        <w:trPr>
          <w:jc w:val="center"/>
        </w:trPr>
        <w:tc>
          <w:tcPr>
            <w:tcW w:w="3550" w:type="dxa"/>
            <w:tcBorders>
              <w:top w:val="nil"/>
              <w:bottom w:val="nil"/>
              <w:right w:val="nil"/>
            </w:tcBorders>
            <w:vAlign w:val="center"/>
          </w:tcPr>
          <w:p w14:paraId="37D16DD4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DAS28-ESR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F3EAC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0.582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C43276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0.023</w:t>
            </w:r>
          </w:p>
        </w:tc>
      </w:tr>
      <w:tr w:rsidR="00C151CF" w14:paraId="1BD99236" w14:textId="77777777" w:rsidTr="004B0551">
        <w:trPr>
          <w:jc w:val="center"/>
        </w:trPr>
        <w:tc>
          <w:tcPr>
            <w:tcW w:w="3550" w:type="dxa"/>
            <w:tcBorders>
              <w:top w:val="nil"/>
              <w:bottom w:val="nil"/>
              <w:right w:val="nil"/>
            </w:tcBorders>
            <w:vAlign w:val="center"/>
          </w:tcPr>
          <w:p w14:paraId="0DA0CD34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DAS28-CRP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CFDF5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0.565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79770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0.023</w:t>
            </w:r>
          </w:p>
        </w:tc>
      </w:tr>
      <w:tr w:rsidR="00C151CF" w14:paraId="202D4CC2" w14:textId="77777777" w:rsidTr="004B0551">
        <w:trPr>
          <w:jc w:val="center"/>
        </w:trPr>
        <w:tc>
          <w:tcPr>
            <w:tcW w:w="3550" w:type="dxa"/>
            <w:tcBorders>
              <w:top w:val="nil"/>
              <w:bottom w:val="nil"/>
              <w:right w:val="nil"/>
            </w:tcBorders>
            <w:vAlign w:val="center"/>
          </w:tcPr>
          <w:p w14:paraId="04CAD206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SDAI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7F0B1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0.515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99F34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0.041</w:t>
            </w:r>
          </w:p>
        </w:tc>
      </w:tr>
      <w:tr w:rsidR="00C151CF" w14:paraId="34D35E87" w14:textId="77777777" w:rsidTr="004B0551">
        <w:trPr>
          <w:jc w:val="center"/>
        </w:trPr>
        <w:tc>
          <w:tcPr>
            <w:tcW w:w="3550" w:type="dxa"/>
            <w:tcBorders>
              <w:top w:val="nil"/>
              <w:bottom w:val="single" w:sz="4" w:space="0" w:color="auto"/>
            </w:tcBorders>
            <w:vAlign w:val="center"/>
          </w:tcPr>
          <w:p w14:paraId="04E6712B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CDAI</w:t>
            </w:r>
          </w:p>
        </w:tc>
        <w:tc>
          <w:tcPr>
            <w:tcW w:w="2210" w:type="dxa"/>
            <w:tcBorders>
              <w:top w:val="nil"/>
              <w:bottom w:val="single" w:sz="4" w:space="0" w:color="auto"/>
            </w:tcBorders>
            <w:vAlign w:val="center"/>
          </w:tcPr>
          <w:p w14:paraId="17902510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0.378</w:t>
            </w:r>
          </w:p>
        </w:tc>
        <w:tc>
          <w:tcPr>
            <w:tcW w:w="2340" w:type="dxa"/>
            <w:tcBorders>
              <w:top w:val="nil"/>
              <w:bottom w:val="single" w:sz="4" w:space="0" w:color="auto"/>
            </w:tcBorders>
            <w:vAlign w:val="center"/>
          </w:tcPr>
          <w:p w14:paraId="0FEA9143" w14:textId="77777777" w:rsidR="00C151CF" w:rsidRDefault="00C151CF" w:rsidP="004B0551">
            <w:pPr>
              <w:tabs>
                <w:tab w:val="left" w:pos="5865"/>
              </w:tabs>
              <w:spacing w:line="30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0.149</w:t>
            </w:r>
          </w:p>
        </w:tc>
      </w:tr>
    </w:tbl>
    <w:p w14:paraId="2BDE3ACF" w14:textId="77777777" w:rsidR="00C151CF" w:rsidRDefault="00C151CF" w:rsidP="00C151CF">
      <w:pPr>
        <w:tabs>
          <w:tab w:val="left" w:pos="5865"/>
        </w:tabs>
        <w:spacing w:line="300" w:lineRule="auto"/>
        <w:jc w:val="left"/>
        <w:rPr>
          <w:sz w:val="21"/>
          <w:szCs w:val="21"/>
        </w:rPr>
      </w:pPr>
      <w:r>
        <w:rPr>
          <w:sz w:val="21"/>
          <w:szCs w:val="21"/>
        </w:rPr>
        <w:t xml:space="preserve">Note: </w:t>
      </w:r>
      <w:r>
        <w:rPr>
          <w:rFonts w:hint="eastAsia"/>
          <w:sz w:val="21"/>
          <w:szCs w:val="21"/>
        </w:rPr>
        <w:t xml:space="preserve">SF: synovial fluid; RA: rheumatoid arthritis; </w:t>
      </w:r>
      <w:r>
        <w:rPr>
          <w:sz w:val="21"/>
          <w:szCs w:val="21"/>
        </w:rPr>
        <w:t xml:space="preserve">RF: rheumatoid factor; anti-CCP: anti-cyclic citrullinated protein; TJC: tender joint count; SJC: swollen joint count; PGA: patient global assessment; EGA: evaluator global assessment; HAQ-DI: Health Assessment Questionnaire-Disability Index; ESR: erythrocyte sedimentation rate; CRP: C-reactive protein; DAS: disease activity score; SDAI: simple disease activity index; CDAI: clinical disease activity index. </w:t>
      </w:r>
    </w:p>
    <w:p w14:paraId="266899CA" w14:textId="0782E1E8" w:rsidR="00386883" w:rsidRDefault="00C151CF"/>
    <w:p w14:paraId="656142F6" w14:textId="77777777" w:rsidR="00C151CF" w:rsidRDefault="00C151CF" w:rsidP="00C151CF">
      <w:pPr>
        <w:rPr>
          <w:rFonts w:hint="eastAsia"/>
          <w:sz w:val="21"/>
          <w:szCs w:val="21"/>
        </w:rPr>
      </w:pPr>
    </w:p>
    <w:p w14:paraId="5F52C463" w14:textId="1392316D" w:rsidR="00C151CF" w:rsidRDefault="00C151CF" w:rsidP="00C151CF">
      <w:pPr>
        <w:autoSpaceDE w:val="0"/>
        <w:autoSpaceDN w:val="0"/>
        <w:adjustRightInd w:val="0"/>
        <w:jc w:val="left"/>
      </w:pPr>
      <w:r>
        <w:rPr>
          <w:noProof/>
        </w:rPr>
        <w:lastRenderedPageBreak/>
        <w:drawing>
          <wp:inline distT="0" distB="0" distL="0" distR="0" wp14:anchorId="59A95D55" wp14:editId="1F86DB27">
            <wp:extent cx="4061460" cy="257302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1460" cy="257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44EED2" w14:textId="77777777" w:rsidR="00C151CF" w:rsidRDefault="00C151CF" w:rsidP="00C151CF">
      <w:pPr>
        <w:autoSpaceDE w:val="0"/>
        <w:autoSpaceDN w:val="0"/>
        <w:adjustRightInd w:val="0"/>
        <w:jc w:val="left"/>
        <w:rPr>
          <w:rFonts w:hint="eastAsia"/>
          <w:sz w:val="21"/>
          <w:szCs w:val="21"/>
        </w:rPr>
      </w:pPr>
      <w:r>
        <w:rPr>
          <w:sz w:val="21"/>
          <w:szCs w:val="21"/>
        </w:rPr>
        <w:t xml:space="preserve">Figure </w:t>
      </w:r>
      <w:r>
        <w:rPr>
          <w:rFonts w:hint="eastAsia"/>
          <w:sz w:val="21"/>
          <w:szCs w:val="21"/>
        </w:rPr>
        <w:t>S1</w:t>
      </w:r>
      <w:r>
        <w:rPr>
          <w:sz w:val="21"/>
          <w:szCs w:val="21"/>
        </w:rPr>
        <w:t xml:space="preserve">. The comparison of </w:t>
      </w:r>
      <w:r>
        <w:rPr>
          <w:rFonts w:hint="eastAsia"/>
          <w:sz w:val="21"/>
          <w:szCs w:val="21"/>
        </w:rPr>
        <w:t>s</w:t>
      </w:r>
      <w:r>
        <w:rPr>
          <w:sz w:val="21"/>
          <w:szCs w:val="21"/>
        </w:rPr>
        <w:t xml:space="preserve">yndencan-4 concentrations </w:t>
      </w:r>
      <w:r>
        <w:rPr>
          <w:rFonts w:hint="eastAsia"/>
          <w:sz w:val="21"/>
          <w:szCs w:val="21"/>
        </w:rPr>
        <w:t>in paired serum and SF samples from 23 RA patients</w:t>
      </w:r>
      <w:r>
        <w:rPr>
          <w:sz w:val="21"/>
          <w:szCs w:val="21"/>
        </w:rPr>
        <w:t xml:space="preserve">. </w:t>
      </w:r>
      <w:r>
        <w:rPr>
          <w:rFonts w:hint="eastAsia"/>
          <w:sz w:val="21"/>
          <w:szCs w:val="21"/>
        </w:rPr>
        <w:t>RA: rheumatoid arthritis; SF: synovial fluid.</w:t>
      </w:r>
    </w:p>
    <w:p w14:paraId="408AB47F" w14:textId="77777777" w:rsidR="00C151CF" w:rsidRDefault="00C151CF" w:rsidP="00C151CF">
      <w:pPr>
        <w:autoSpaceDE w:val="0"/>
        <w:autoSpaceDN w:val="0"/>
        <w:adjustRightInd w:val="0"/>
        <w:jc w:val="left"/>
        <w:rPr>
          <w:sz w:val="21"/>
          <w:szCs w:val="21"/>
        </w:rPr>
      </w:pPr>
    </w:p>
    <w:p w14:paraId="243B4D8C" w14:textId="446D6E66" w:rsidR="00C151CF" w:rsidRDefault="00C151CF" w:rsidP="00C151CF">
      <w:pPr>
        <w:tabs>
          <w:tab w:val="left" w:pos="5865"/>
        </w:tabs>
        <w:spacing w:line="300" w:lineRule="auto"/>
        <w:jc w:val="left"/>
        <w:rPr>
          <w:sz w:val="21"/>
          <w:szCs w:val="21"/>
        </w:rPr>
      </w:pPr>
      <w:r>
        <w:rPr>
          <w:sz w:val="21"/>
          <w:szCs w:val="21"/>
        </w:rPr>
        <w:br w:type="page"/>
      </w:r>
      <w:r>
        <w:rPr>
          <w:noProof/>
          <w:sz w:val="21"/>
          <w:szCs w:val="21"/>
        </w:rPr>
        <w:lastRenderedPageBreak/>
        <w:drawing>
          <wp:inline distT="0" distB="0" distL="0" distR="0" wp14:anchorId="516E7539" wp14:editId="077591F7">
            <wp:extent cx="5688330" cy="4486910"/>
            <wp:effectExtent l="0" t="0" r="7620" b="8890"/>
            <wp:docPr id="2" name="Picture 2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图片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8330" cy="4486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1AAC6F" w14:textId="77777777" w:rsidR="00C151CF" w:rsidRDefault="00C151CF" w:rsidP="00C151CF">
      <w:pPr>
        <w:autoSpaceDE w:val="0"/>
        <w:autoSpaceDN w:val="0"/>
        <w:adjustRightInd w:val="0"/>
        <w:jc w:val="left"/>
        <w:rPr>
          <w:rFonts w:hint="eastAsia"/>
          <w:sz w:val="21"/>
          <w:szCs w:val="21"/>
        </w:rPr>
      </w:pPr>
      <w:r>
        <w:rPr>
          <w:sz w:val="21"/>
          <w:szCs w:val="21"/>
        </w:rPr>
        <w:t xml:space="preserve">Figure </w:t>
      </w:r>
      <w:r>
        <w:rPr>
          <w:rFonts w:hint="eastAsia"/>
          <w:sz w:val="21"/>
          <w:szCs w:val="21"/>
        </w:rPr>
        <w:t>S2</w:t>
      </w:r>
      <w:r>
        <w:rPr>
          <w:sz w:val="21"/>
          <w:szCs w:val="21"/>
        </w:rPr>
        <w:t xml:space="preserve">. Immunofluorescence: Syndecan-4 can be expressed in the cultured </w:t>
      </w:r>
      <w:r>
        <w:rPr>
          <w:rFonts w:hint="eastAsia"/>
          <w:sz w:val="21"/>
          <w:szCs w:val="21"/>
        </w:rPr>
        <w:t>s</w:t>
      </w:r>
      <w:r>
        <w:rPr>
          <w:sz w:val="21"/>
          <w:szCs w:val="21"/>
        </w:rPr>
        <w:t>ynovial fibroblast of RA and OA patients.</w:t>
      </w:r>
      <w:r>
        <w:rPr>
          <w:rFonts w:hint="eastAsia"/>
          <w:sz w:val="21"/>
          <w:szCs w:val="21"/>
        </w:rPr>
        <w:t xml:space="preserve"> RA: rheumatoid arthritis; OA: osteoarthritis.</w:t>
      </w:r>
    </w:p>
    <w:p w14:paraId="2455D71F" w14:textId="77777777" w:rsidR="00C151CF" w:rsidRDefault="00C151CF" w:rsidP="00C151CF"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br w:type="page"/>
      </w:r>
    </w:p>
    <w:p w14:paraId="0C2A8DF7" w14:textId="5D91A73A" w:rsidR="00C151CF" w:rsidRDefault="00C151CF" w:rsidP="00C151CF">
      <w:pPr>
        <w:autoSpaceDE w:val="0"/>
        <w:autoSpaceDN w:val="0"/>
        <w:adjustRightInd w:val="0"/>
        <w:jc w:val="left"/>
      </w:pPr>
      <w:r>
        <w:rPr>
          <w:noProof/>
        </w:rPr>
        <w:lastRenderedPageBreak/>
        <w:drawing>
          <wp:inline distT="0" distB="0" distL="0" distR="0" wp14:anchorId="1593E267" wp14:editId="70ED603B">
            <wp:extent cx="3966210" cy="266890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0" t="-874" r="-320" b="89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6210" cy="2668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94FE11" w14:textId="77777777" w:rsidR="00C151CF" w:rsidRDefault="00C151CF" w:rsidP="00C151CF">
      <w:pPr>
        <w:autoSpaceDE w:val="0"/>
        <w:autoSpaceDN w:val="0"/>
        <w:adjustRightInd w:val="0"/>
        <w:jc w:val="left"/>
        <w:rPr>
          <w:sz w:val="21"/>
          <w:szCs w:val="21"/>
        </w:rPr>
      </w:pPr>
      <w:r>
        <w:rPr>
          <w:sz w:val="21"/>
          <w:szCs w:val="21"/>
        </w:rPr>
        <w:t xml:space="preserve">Figure </w:t>
      </w:r>
      <w:r>
        <w:rPr>
          <w:rFonts w:hint="eastAsia"/>
          <w:sz w:val="21"/>
          <w:szCs w:val="21"/>
        </w:rPr>
        <w:t>S3</w:t>
      </w:r>
      <w:r>
        <w:rPr>
          <w:sz w:val="21"/>
          <w:szCs w:val="21"/>
        </w:rPr>
        <w:t xml:space="preserve">. The comparison of serum </w:t>
      </w:r>
      <w:r>
        <w:rPr>
          <w:rFonts w:hint="eastAsia"/>
          <w:sz w:val="21"/>
          <w:szCs w:val="21"/>
        </w:rPr>
        <w:t>s</w:t>
      </w:r>
      <w:r>
        <w:rPr>
          <w:sz w:val="21"/>
          <w:szCs w:val="21"/>
        </w:rPr>
        <w:t xml:space="preserve">yndecan-4 between sera-positive and sera-negative RA patients. </w:t>
      </w:r>
      <w:r>
        <w:rPr>
          <w:rFonts w:hint="eastAsia"/>
          <w:sz w:val="21"/>
          <w:szCs w:val="21"/>
        </w:rPr>
        <w:t xml:space="preserve">RA: rheumatoid arthritis. RF: rheumatoid factor; anti-CCP: </w:t>
      </w:r>
      <w:r>
        <w:rPr>
          <w:sz w:val="21"/>
          <w:szCs w:val="21"/>
        </w:rPr>
        <w:t>anti-cyclic citrullinated peptide</w:t>
      </w:r>
      <w:r>
        <w:rPr>
          <w:rFonts w:hint="eastAsia"/>
          <w:sz w:val="21"/>
          <w:szCs w:val="21"/>
        </w:rPr>
        <w:t>.</w:t>
      </w:r>
    </w:p>
    <w:p w14:paraId="4321386E" w14:textId="77777777" w:rsidR="00C151CF" w:rsidRDefault="00C151CF"/>
    <w:sectPr w:rsidR="00C151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1CF"/>
    <w:rsid w:val="003107CE"/>
    <w:rsid w:val="00316534"/>
    <w:rsid w:val="00373D83"/>
    <w:rsid w:val="00622525"/>
    <w:rsid w:val="006B2C4D"/>
    <w:rsid w:val="007A60A6"/>
    <w:rsid w:val="00A0389B"/>
    <w:rsid w:val="00B1250C"/>
    <w:rsid w:val="00C151CF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FBF10F"/>
  <w15:chartTrackingRefBased/>
  <w15:docId w15:val="{47A7BD19-57B5-4808-A452-CD4960A20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51CF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276</Words>
  <Characters>1576</Characters>
  <Application>Microsoft Office Word</Application>
  <DocSecurity>0</DocSecurity>
  <Lines>13</Lines>
  <Paragraphs>3</Paragraphs>
  <ScaleCrop>false</ScaleCrop>
  <Company/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2021-02-26T20:15:00Z</dcterms:created>
  <dcterms:modified xsi:type="dcterms:W3CDTF">2021-02-26T20:15:00Z</dcterms:modified>
</cp:coreProperties>
</file>