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E570F" w14:textId="77777777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</w:rPr>
      </w:pPr>
    </w:p>
    <w:p w14:paraId="6C7D8BA1" w14:textId="47CF1C59" w:rsid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</w:rPr>
      </w:pPr>
    </w:p>
    <w:p w14:paraId="6F7F5A4C" w14:textId="03B7F8E5" w:rsid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</w:rPr>
      </w:pPr>
    </w:p>
    <w:p w14:paraId="61B64C54" w14:textId="12A1C0B9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626B269D" w14:textId="43B531B9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19415423" w14:textId="7A457297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4CFBF6DA" w14:textId="77777777" w:rsidR="00D74FE0" w:rsidRPr="00D74FE0" w:rsidRDefault="00D74FE0" w:rsidP="00D74FE0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7939EAAD" w14:textId="77777777" w:rsidR="00D74FE0" w:rsidRPr="00D74FE0" w:rsidRDefault="00D74FE0" w:rsidP="00D74FE0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3DECD4C0" w14:textId="77777777" w:rsidR="00D74FE0" w:rsidRPr="00D74FE0" w:rsidRDefault="00D74FE0" w:rsidP="00D74FE0">
      <w:pPr>
        <w:jc w:val="center"/>
        <w:rPr>
          <w:rFonts w:ascii="Times New Roman" w:hAnsi="Times New Roman"/>
          <w:b/>
          <w:bCs/>
          <w:color w:val="000000" w:themeColor="text1"/>
          <w:sz w:val="44"/>
          <w:szCs w:val="48"/>
          <w:lang w:val="en-IN" w:eastAsia="en-IN"/>
        </w:rPr>
      </w:pPr>
      <w:r w:rsidRPr="00D74FE0">
        <w:rPr>
          <w:rFonts w:ascii="Times New Roman" w:hAnsi="Times New Roman"/>
          <w:b/>
          <w:bCs/>
          <w:color w:val="000000" w:themeColor="text1"/>
          <w:sz w:val="44"/>
          <w:szCs w:val="48"/>
          <w:lang w:val="en-IN" w:eastAsia="en-IN"/>
        </w:rPr>
        <w:t>Supporting Information</w:t>
      </w:r>
    </w:p>
    <w:p w14:paraId="41AAA4CA" w14:textId="77777777" w:rsidR="00D74FE0" w:rsidRPr="00D74FE0" w:rsidRDefault="00D74FE0" w:rsidP="00D74FE0">
      <w:pPr>
        <w:jc w:val="center"/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</w:pPr>
    </w:p>
    <w:p w14:paraId="4A80A775" w14:textId="77777777" w:rsidR="00D74FE0" w:rsidRPr="00D74FE0" w:rsidRDefault="00D74FE0" w:rsidP="00D74FE0">
      <w:pPr>
        <w:jc w:val="center"/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</w:pPr>
    </w:p>
    <w:p w14:paraId="44A517AF" w14:textId="77777777" w:rsidR="00D74FE0" w:rsidRPr="00D74FE0" w:rsidRDefault="00D74FE0" w:rsidP="00D74FE0">
      <w:pPr>
        <w:jc w:val="center"/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</w:pPr>
      <w:r w:rsidRPr="00D74FE0"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  <w:t xml:space="preserve">NG2-positive pericytes regulate homeostatic maintenance of slow-type skeletal muscle with rapid myonuclear turnover   </w:t>
      </w:r>
    </w:p>
    <w:p w14:paraId="0C8A68CC" w14:textId="77777777" w:rsidR="00D74FE0" w:rsidRPr="00D74FE0" w:rsidRDefault="00D74FE0" w:rsidP="00D74FE0">
      <w:pPr>
        <w:jc w:val="center"/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</w:pPr>
    </w:p>
    <w:p w14:paraId="34E313E1" w14:textId="77777777" w:rsidR="00D74FE0" w:rsidRPr="00D74FE0" w:rsidRDefault="00D74FE0" w:rsidP="00D74FE0">
      <w:pPr>
        <w:jc w:val="center"/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</w:pPr>
    </w:p>
    <w:p w14:paraId="067E7A4E" w14:textId="77777777" w:rsidR="00D74FE0" w:rsidRPr="00D74FE0" w:rsidRDefault="00D74FE0" w:rsidP="00D74FE0">
      <w:pPr>
        <w:jc w:val="center"/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</w:pPr>
      <w:proofErr w:type="spellStart"/>
      <w:r w:rsidRPr="00D74FE0"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  <w:t>Takamitsu</w:t>
      </w:r>
      <w:proofErr w:type="spellEnd"/>
      <w:r w:rsidRPr="00D74FE0"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  <w:t xml:space="preserve"> </w:t>
      </w:r>
      <w:proofErr w:type="spellStart"/>
      <w:r w:rsidRPr="00D74FE0"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  <w:t>Tatsukawa</w:t>
      </w:r>
      <w:proofErr w:type="spellEnd"/>
      <w:r w:rsidRPr="00D74FE0">
        <w:rPr>
          <w:rFonts w:ascii="Times New Roman" w:hAnsi="Times New Roman"/>
          <w:b/>
          <w:bCs/>
          <w:color w:val="000000" w:themeColor="text1"/>
          <w:sz w:val="36"/>
          <w:szCs w:val="40"/>
          <w:lang w:val="en-IN" w:eastAsia="en-IN"/>
        </w:rPr>
        <w:t xml:space="preserve"> et al. </w:t>
      </w:r>
    </w:p>
    <w:p w14:paraId="3D26B477" w14:textId="77777777" w:rsidR="00D74FE0" w:rsidRPr="00D74FE0" w:rsidRDefault="00D74FE0" w:rsidP="00D74FE0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554A0DAE" w14:textId="14FBABBF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15F88892" w14:textId="7A9BF5C5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4C307144" w14:textId="79760A5A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407817EE" w14:textId="5A3ADB67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27FE21B9" w14:textId="5B607E5D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1FDC8C8E" w14:textId="6B08E419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4F237BFB" w14:textId="1F58316A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156C7232" w14:textId="7C65B4F6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64DC4889" w14:textId="71D7A3AE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78AF4A56" w14:textId="77C3B675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2A3B9207" w14:textId="4A5DE332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0EE1C80A" w14:textId="06C3D711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2C88CF1C" w14:textId="77777777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416B94B9" w14:textId="57355C97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352DEF76" w14:textId="1A30AF75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58C7E203" w14:textId="07366403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4CA76F2D" w14:textId="4E60F201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7830F656" w14:textId="0967499E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5A7FD5FD" w14:textId="75412F76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60C6B8ED" w14:textId="42B14E10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270CA038" w14:textId="21826ADD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7093AA93" w14:textId="234A60F3" w:rsidR="005D2A1F" w:rsidRPr="005D2A1F" w:rsidRDefault="009C7E7C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  <w:r>
        <w:rPr>
          <w:rFonts w:ascii="Times New Roman" w:hAnsi="Times New Roman"/>
          <w:b/>
          <w:bCs/>
          <w:noProof/>
          <w:color w:val="000000" w:themeColor="text1"/>
          <w:sz w:val="28"/>
          <w:szCs w:val="32"/>
          <w:lang w:val="en-IN" w:eastAsia="en-IN"/>
        </w:rPr>
        <w:drawing>
          <wp:anchor distT="0" distB="0" distL="114300" distR="114300" simplePos="0" relativeHeight="251658240" behindDoc="0" locked="0" layoutInCell="1" allowOverlap="1" wp14:anchorId="02F38FCB" wp14:editId="03F756B9">
            <wp:simplePos x="0" y="0"/>
            <wp:positionH relativeFrom="margin">
              <wp:align>center</wp:align>
            </wp:positionH>
            <wp:positionV relativeFrom="paragraph">
              <wp:posOffset>75383</wp:posOffset>
            </wp:positionV>
            <wp:extent cx="5340240" cy="3335040"/>
            <wp:effectExtent l="0" t="0" r="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240" cy="33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756748" w14:textId="36081ECE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7092A305" w14:textId="4484DD05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381FD95D" w14:textId="38E2A8BE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6A704056" w14:textId="6F610FBC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79A5A018" w14:textId="77777777" w:rsidR="005D2A1F" w:rsidRPr="005D2A1F" w:rsidRDefault="005D2A1F" w:rsidP="005D2A1F">
      <w:pPr>
        <w:jc w:val="center"/>
        <w:rPr>
          <w:rFonts w:ascii="Times New Roman" w:hAnsi="Times New Roman"/>
          <w:b/>
          <w:bCs/>
          <w:color w:val="000000" w:themeColor="text1"/>
          <w:sz w:val="28"/>
          <w:szCs w:val="32"/>
          <w:lang w:val="en-IN" w:eastAsia="en-IN"/>
        </w:rPr>
      </w:pPr>
    </w:p>
    <w:p w14:paraId="0D317A15" w14:textId="77777777" w:rsidR="005D2A1F" w:rsidRPr="005D2A1F" w:rsidRDefault="005D2A1F" w:rsidP="005D2A1F">
      <w:pPr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>Supplementary Figure 1. Localization of NG2</w:t>
      </w: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  <w:vertAlign w:val="superscript"/>
        </w:rPr>
        <w:t>+</w:t>
      </w: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 xml:space="preserve"> cells in adult skeletal muscle tissues.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Circulating vessels in NG2-DsRed mice were visualized by intravenous injection of FITC-conjugated lectin. The lower limb skeletal muscles (gastrocnemius and soleus) were fixed and transparentized with </w:t>
      </w:r>
      <w:proofErr w:type="spellStart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RapiClear</w:t>
      </w:r>
      <w:proofErr w:type="spellEnd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 reagent. </w:t>
      </w:r>
      <w:proofErr w:type="spellStart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Microvessels</w:t>
      </w:r>
      <w:proofErr w:type="spellEnd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, lectin-labeled endothelium tubes (lectin; green), and NG2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cells (</w:t>
      </w:r>
      <w:proofErr w:type="spellStart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DsRed</w:t>
      </w:r>
      <w:proofErr w:type="spellEnd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; red) within transparent muscles were visualized in a 3D view using confocal fluorescent microscopy. The nuclei were counterstained with DAPI. Scale bar = 50 </w:t>
      </w:r>
      <w:r w:rsidRPr="005D2A1F">
        <w:rPr>
          <w:rFonts w:ascii="Symbol" w:eastAsia="HG丸ｺﾞｼｯｸM-PRO" w:hAnsi="Symbol" w:hint="eastAsia"/>
          <w:color w:val="000000" w:themeColor="text1"/>
          <w:sz w:val="24"/>
          <w:szCs w:val="24"/>
        </w:rPr>
        <w:t>m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m. </w:t>
      </w:r>
    </w:p>
    <w:p w14:paraId="3E252749" w14:textId="61FBC236" w:rsidR="005D2A1F" w:rsidRPr="005D2A1F" w:rsidRDefault="005D2A1F">
      <w:pPr>
        <w:widowControl/>
        <w:jc w:val="left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br w:type="page"/>
      </w:r>
    </w:p>
    <w:p w14:paraId="12567773" w14:textId="0F69A6A3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6A517B3E" w14:textId="127DE416" w:rsidR="005D2A1F" w:rsidRPr="005D2A1F" w:rsidRDefault="009C7E7C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  <w:r>
        <w:rPr>
          <w:rFonts w:ascii="Times New Roman" w:eastAsia="HG丸ｺﾞｼｯｸM-PRO" w:hAnsi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3925F4B" wp14:editId="712C0EC9">
            <wp:simplePos x="0" y="0"/>
            <wp:positionH relativeFrom="margin">
              <wp:posOffset>248738</wp:posOffset>
            </wp:positionH>
            <wp:positionV relativeFrom="paragraph">
              <wp:posOffset>365760</wp:posOffset>
            </wp:positionV>
            <wp:extent cx="5921375" cy="4700905"/>
            <wp:effectExtent l="0" t="0" r="3175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1375" cy="470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333419" w14:textId="28627C53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65483C70" w14:textId="1F438F0C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7DD38A95" w14:textId="3778846B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257CD450" w14:textId="40E9D9ED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665A4345" w14:textId="77777777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3260E314" w14:textId="77777777" w:rsidR="005D2A1F" w:rsidRPr="005D2A1F" w:rsidRDefault="005D2A1F" w:rsidP="005D2A1F">
      <w:pPr>
        <w:rPr>
          <w:color w:val="000000" w:themeColor="text1"/>
          <w:sz w:val="24"/>
          <w:szCs w:val="24"/>
        </w:rPr>
      </w:pP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>Supplementary Figure 2. NG2</w:t>
      </w: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  <w:vertAlign w:val="superscript"/>
        </w:rPr>
        <w:t>+</w:t>
      </w: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 xml:space="preserve"> cell lineage tracing within the skeletal muscle.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The </w:t>
      </w:r>
      <w:proofErr w:type="spellStart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tdTomato</w:t>
      </w:r>
      <w:proofErr w:type="spellEnd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 expression driven by the universal Rosa26 promoter was specifically induced in NG2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cells using NG2-CreERT/Rosa-</w:t>
      </w:r>
      <w:proofErr w:type="spellStart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tdTomato</w:t>
      </w:r>
      <w:proofErr w:type="spellEnd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 mice. After five days of constitutive treatment with Tam, NG2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>+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 cells were expressed. </w:t>
      </w: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 xml:space="preserve">B.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On day 1 of the observation period, </w:t>
      </w:r>
      <w:proofErr w:type="spellStart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tdTomato</w:t>
      </w:r>
      <w:proofErr w:type="spellEnd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cells were observed only at perivascular sites, such as PCs. On day 21, </w:t>
      </w:r>
      <w:proofErr w:type="spellStart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tdTomato</w:t>
      </w:r>
      <w:proofErr w:type="spellEnd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-expressing myofibers were observed in most muscle tissues. The ratio of </w:t>
      </w:r>
      <w:proofErr w:type="spellStart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tdTomato</w:t>
      </w:r>
      <w:proofErr w:type="spellEnd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>+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 myofibers to total myofibers varied by muscle site, </w:t>
      </w:r>
      <w:r w:rsidRPr="005D2A1F">
        <w:rPr>
          <w:rFonts w:ascii="Times New Roman" w:eastAsia="HG丸ｺﾞｼｯｸM-PRO" w:hAnsi="Times New Roman"/>
          <w:i/>
          <w:iCs/>
          <w:color w:val="000000" w:themeColor="text1"/>
          <w:sz w:val="24"/>
          <w:szCs w:val="24"/>
        </w:rPr>
        <w:t>i.e.,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 over 80% of </w:t>
      </w:r>
      <w:proofErr w:type="spellStart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tdTomato</w:t>
      </w:r>
      <w:proofErr w:type="spellEnd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myofibers in the soleus and diaphragm and 20–30% in the gastrocnemius and rectus abdominal muscles. Scale bar = 200 </w:t>
      </w:r>
      <w:r w:rsidRPr="005D2A1F">
        <w:rPr>
          <w:rFonts w:ascii="Symbol" w:eastAsia="HG丸ｺﾞｼｯｸM-PRO" w:hAnsi="Symbol" w:hint="eastAsia"/>
          <w:color w:val="000000" w:themeColor="text1"/>
          <w:sz w:val="24"/>
          <w:szCs w:val="24"/>
        </w:rPr>
        <w:t>m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m. </w:t>
      </w:r>
    </w:p>
    <w:p w14:paraId="49F43BA6" w14:textId="2FD396AB" w:rsidR="005D2A1F" w:rsidRPr="005D2A1F" w:rsidRDefault="005D2A1F">
      <w:pPr>
        <w:widowControl/>
        <w:jc w:val="left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br w:type="page"/>
      </w:r>
    </w:p>
    <w:p w14:paraId="6347E779" w14:textId="5888067D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756DDB13" w14:textId="6ED3BE9A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7A60A35A" w14:textId="4BBCEB8C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6C4AFD70" w14:textId="13E9933F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489157B3" w14:textId="4CD4B04A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0ACB9498" w14:textId="52ACA261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6D3964B9" w14:textId="3E1E8DA6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3D4A949E" w14:textId="4C43FA9A" w:rsidR="005D2A1F" w:rsidRPr="005D2A1F" w:rsidRDefault="009C7E7C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  <w:r>
        <w:rPr>
          <w:rFonts w:ascii="Times New Roman" w:eastAsia="HG丸ｺﾞｼｯｸM-PRO" w:hAnsi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82851F5" wp14:editId="490F08AD">
            <wp:simplePos x="0" y="0"/>
            <wp:positionH relativeFrom="margin">
              <wp:posOffset>-128632</wp:posOffset>
            </wp:positionH>
            <wp:positionV relativeFrom="paragraph">
              <wp:posOffset>372927</wp:posOffset>
            </wp:positionV>
            <wp:extent cx="5921375" cy="2761615"/>
            <wp:effectExtent l="0" t="0" r="3175" b="0"/>
            <wp:wrapSquare wrapText="bothSides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1375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C6C2DA" w14:textId="37598621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5ABB9067" w14:textId="689F94D6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4D1DB247" w14:textId="074D3426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37D64DED" w14:textId="337858D0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2AF3E3A1" w14:textId="69705693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15B6435C" w14:textId="77777777" w:rsidR="005D2A1F" w:rsidRPr="005D2A1F" w:rsidRDefault="005D2A1F" w:rsidP="005D2A1F">
      <w:pPr>
        <w:pStyle w:val="a7"/>
        <w:tabs>
          <w:tab w:val="left" w:pos="426"/>
        </w:tabs>
        <w:ind w:leftChars="0" w:left="0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39A130C9" w14:textId="77777777" w:rsidR="005D2A1F" w:rsidRPr="005D2A1F" w:rsidRDefault="005D2A1F" w:rsidP="005D2A1F">
      <w:pPr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 xml:space="preserve">Supplementary Figure 3. Schematic diagram for the </w:t>
      </w:r>
      <w:r w:rsidRPr="005D2A1F">
        <w:rPr>
          <w:rFonts w:ascii="Times New Roman" w:eastAsia="HG丸ｺﾞｼｯｸM-PRO" w:hAnsi="Times New Roman"/>
          <w:b/>
          <w:bCs/>
          <w:i/>
          <w:iCs/>
          <w:color w:val="000000" w:themeColor="text1"/>
          <w:sz w:val="24"/>
          <w:szCs w:val="24"/>
        </w:rPr>
        <w:t>in vitro</w:t>
      </w: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 xml:space="preserve"> muscular differentiation assay.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Myofibers were isolated from the soleus of NG2-CreERT/Rosa-</w:t>
      </w:r>
      <w:proofErr w:type="spellStart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tdTomato</w:t>
      </w:r>
      <w:proofErr w:type="spellEnd"/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 mice by using a collagenase-containing medium. Isolated myofibers were incubated in DMEM-containing 10% FBS and Tam (2 µM) for three days to label NG2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PCs. The medium was then changed to a differentiation medium containing 2% horse serum. After six days of induction, the myogenesis of NG2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PCs was observed.</w:t>
      </w:r>
    </w:p>
    <w:p w14:paraId="77D974EB" w14:textId="0C42E0DD" w:rsidR="005D2A1F" w:rsidRPr="005D2A1F" w:rsidRDefault="005D2A1F">
      <w:pPr>
        <w:widowControl/>
        <w:jc w:val="left"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br w:type="page"/>
      </w:r>
    </w:p>
    <w:p w14:paraId="7CB939DA" w14:textId="68ED498B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722B4251" w14:textId="009C220E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00D313AF" w14:textId="3CA6D493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6735F2FC" w14:textId="1BB7AE80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70AE2F20" w14:textId="196D7CC9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36BCC274" w14:textId="361567FA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04C5D6B7" w14:textId="1A36F4D5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6421BAAD" w14:textId="6E42A15B" w:rsidR="005D2A1F" w:rsidRPr="005D2A1F" w:rsidRDefault="004411A4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  <w:r>
        <w:rPr>
          <w:rFonts w:ascii="Times New Roman" w:eastAsia="HG丸ｺﾞｼｯｸM-PRO" w:hAnsi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7E8657E1" wp14:editId="09B508E6">
            <wp:simplePos x="0" y="0"/>
            <wp:positionH relativeFrom="margin">
              <wp:align>right</wp:align>
            </wp:positionH>
            <wp:positionV relativeFrom="paragraph">
              <wp:posOffset>109220</wp:posOffset>
            </wp:positionV>
            <wp:extent cx="5516880" cy="3810000"/>
            <wp:effectExtent l="0" t="0" r="7620" b="0"/>
            <wp:wrapSquare wrapText="bothSides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88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513F66" w14:textId="2A8D8FB4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422716ED" w14:textId="70A7666D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611145C1" w14:textId="6EADD527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1DD7236B" w14:textId="61768939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1B7B493E" w14:textId="496530D4" w:rsid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4A0F2303" w14:textId="6D7BDAC0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4383D795" w14:textId="33F25542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72BD8E8E" w14:textId="6D12C5A9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0435C9C7" w14:textId="1E8A81A1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429BC904" w14:textId="6D7B7BE3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354CA0B6" w14:textId="57BE39A9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37B6F68A" w14:textId="011CE66D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4CC0925A" w14:textId="12BB6DBA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3B6D2E25" w14:textId="66901668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40B8933C" w14:textId="03F53D84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7245A6D3" w14:textId="4BCE681E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15C719E5" w14:textId="1239280E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35C26DF7" w14:textId="2A120F3E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72857ADE" w14:textId="05C79728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54FE7A6C" w14:textId="41AB7779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6A13288F" w14:textId="7C07DA5A" w:rsidR="00C06DBA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545097D2" w14:textId="77777777" w:rsidR="00C06DBA" w:rsidRPr="005D2A1F" w:rsidRDefault="00C06DBA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</w:p>
    <w:p w14:paraId="6C675CC5" w14:textId="77777777" w:rsidR="005D2A1F" w:rsidRPr="005D2A1F" w:rsidRDefault="005D2A1F" w:rsidP="005D2A1F">
      <w:pPr>
        <w:widowControl/>
        <w:rPr>
          <w:rFonts w:ascii="Times New Roman" w:eastAsia="HG丸ｺﾞｼｯｸM-PRO" w:hAnsi="Times New Roman"/>
          <w:color w:val="000000" w:themeColor="text1"/>
          <w:sz w:val="24"/>
          <w:szCs w:val="24"/>
        </w:rPr>
      </w:pP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>Supplementary Figure 4.</w:t>
      </w:r>
      <w:r w:rsidRPr="005D2A1F">
        <w:rPr>
          <w:rFonts w:ascii="Times New Roman" w:eastAsia="HG丸ｺﾞｼｯｸM-PRO" w:hAnsi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>Tam treatment induces deletion of NG2</w:t>
      </w: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  <w:vertAlign w:val="superscript"/>
        </w:rPr>
        <w:t xml:space="preserve">+ </w:t>
      </w: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 xml:space="preserve">cells. A. </w:t>
      </w:r>
      <w:r w:rsidRPr="005D2A1F">
        <w:rPr>
          <w:rFonts w:ascii="Times New Roman" w:eastAsia="HG丸ｺﾞｼｯｸM-PRO" w:hAnsi="Times New Roman"/>
          <w:i/>
          <w:iCs/>
          <w:color w:val="000000" w:themeColor="text1"/>
          <w:sz w:val="24"/>
          <w:szCs w:val="24"/>
        </w:rPr>
        <w:t xml:space="preserve">In vitro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effects of </w:t>
      </w:r>
      <w:r w:rsidRPr="005D2A1F">
        <w:rPr>
          <w:rFonts w:ascii="Times New Roman" w:hAnsi="Times New Roman"/>
          <w:color w:val="000000" w:themeColor="text1"/>
          <w:sz w:val="24"/>
          <w:szCs w:val="24"/>
        </w:rPr>
        <w:t>4-hydroxytamoxifen (4-HT</w:t>
      </w:r>
      <w:r w:rsidRPr="005D2A1F">
        <w:rPr>
          <w:rFonts w:ascii="Times New Roman" w:hAnsi="Times New Roman" w:hint="eastAsia"/>
          <w:color w:val="000000" w:themeColor="text1"/>
          <w:sz w:val="24"/>
          <w:szCs w:val="24"/>
        </w:rPr>
        <w:t>)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 on NG2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cells isolated from subcutaneous adipose tissues of NG2-CreERT/Rosa26-DTA mice. Cells at confluent were incubated in medium containing hydroxy-Tam for 5 days, and the number of cells were counted. </w:t>
      </w:r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>B.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 Gene expression of NG2 in NG2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cells with Tam was esteemed by qPCR. </w:t>
      </w:r>
    </w:p>
    <w:p w14:paraId="545EE614" w14:textId="63B59AD3" w:rsidR="005D2A1F" w:rsidRPr="005D2A1F" w:rsidRDefault="005D2A1F">
      <w:pPr>
        <w:widowControl/>
        <w:jc w:val="left"/>
        <w:rPr>
          <w:rFonts w:ascii="Times New Roman" w:eastAsia="HG丸ｺﾞｼｯｸM-PRO" w:hAnsi="Times New Roman"/>
          <w:b/>
          <w:bCs/>
          <w:noProof/>
          <w:color w:val="000000" w:themeColor="text1"/>
          <w:sz w:val="24"/>
          <w:szCs w:val="24"/>
        </w:rPr>
      </w:pPr>
      <w:r w:rsidRPr="005D2A1F">
        <w:rPr>
          <w:rFonts w:ascii="Times New Roman" w:eastAsia="HG丸ｺﾞｼｯｸM-PRO" w:hAnsi="Times New Roman"/>
          <w:b/>
          <w:bCs/>
          <w:noProof/>
          <w:color w:val="000000" w:themeColor="text1"/>
          <w:sz w:val="24"/>
          <w:szCs w:val="24"/>
        </w:rPr>
        <w:br w:type="page"/>
      </w:r>
    </w:p>
    <w:p w14:paraId="49017F8C" w14:textId="677C50C4" w:rsidR="005D2A1F" w:rsidRPr="005D2A1F" w:rsidRDefault="005D2A1F" w:rsidP="005D2A1F">
      <w:pPr>
        <w:rPr>
          <w:rFonts w:ascii="Times New Roman" w:eastAsia="HG丸ｺﾞｼｯｸM-PRO" w:hAnsi="Times New Roman"/>
          <w:b/>
          <w:bCs/>
          <w:noProof/>
          <w:color w:val="000000" w:themeColor="text1"/>
          <w:sz w:val="24"/>
          <w:szCs w:val="24"/>
        </w:rPr>
      </w:pPr>
    </w:p>
    <w:p w14:paraId="28857750" w14:textId="0F288C3A" w:rsidR="005D2A1F" w:rsidRPr="005D2A1F" w:rsidRDefault="005D2A1F" w:rsidP="005D2A1F">
      <w:pPr>
        <w:rPr>
          <w:rFonts w:ascii="Times New Roman" w:eastAsia="HG丸ｺﾞｼｯｸM-PRO" w:hAnsi="Times New Roman"/>
          <w:b/>
          <w:bCs/>
          <w:noProof/>
          <w:color w:val="000000" w:themeColor="text1"/>
          <w:sz w:val="24"/>
          <w:szCs w:val="24"/>
        </w:rPr>
      </w:pPr>
    </w:p>
    <w:p w14:paraId="41ADA9FC" w14:textId="49238E8F" w:rsidR="005D2A1F" w:rsidRPr="005D2A1F" w:rsidRDefault="004411A4" w:rsidP="005D2A1F">
      <w:pPr>
        <w:rPr>
          <w:rFonts w:ascii="Times New Roman" w:eastAsia="HG丸ｺﾞｼｯｸM-PRO" w:hAnsi="Times New Roman"/>
          <w:b/>
          <w:bCs/>
          <w:noProof/>
          <w:color w:val="000000" w:themeColor="text1"/>
          <w:sz w:val="24"/>
          <w:szCs w:val="24"/>
        </w:rPr>
      </w:pPr>
      <w:r>
        <w:rPr>
          <w:rFonts w:ascii="Times New Roman" w:eastAsia="HG丸ｺﾞｼｯｸM-PRO" w:hAnsi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150F69BD" wp14:editId="0D7E80E5">
            <wp:extent cx="5755005" cy="5346700"/>
            <wp:effectExtent l="0" t="0" r="0" b="635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534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815F0" w14:textId="08DE92C6" w:rsidR="005D2A1F" w:rsidRPr="005D2A1F" w:rsidRDefault="005D2A1F" w:rsidP="005D2A1F">
      <w:pPr>
        <w:rPr>
          <w:rFonts w:ascii="Times New Roman" w:eastAsia="HG丸ｺﾞｼｯｸM-PRO" w:hAnsi="Times New Roman"/>
          <w:b/>
          <w:bCs/>
          <w:noProof/>
          <w:color w:val="000000" w:themeColor="text1"/>
          <w:sz w:val="24"/>
          <w:szCs w:val="24"/>
        </w:rPr>
      </w:pPr>
    </w:p>
    <w:p w14:paraId="4D5DBF78" w14:textId="20874852" w:rsidR="005D2A1F" w:rsidRPr="005D2A1F" w:rsidRDefault="005D2A1F" w:rsidP="005D2A1F">
      <w:pPr>
        <w:rPr>
          <w:rFonts w:ascii="Times New Roman" w:eastAsia="HG丸ｺﾞｼｯｸM-PRO" w:hAnsi="Times New Roman"/>
          <w:b/>
          <w:bCs/>
          <w:noProof/>
          <w:color w:val="000000" w:themeColor="text1"/>
          <w:sz w:val="24"/>
          <w:szCs w:val="24"/>
        </w:rPr>
      </w:pPr>
    </w:p>
    <w:p w14:paraId="00EE3095" w14:textId="4CCA7FD9" w:rsidR="005D2A1F" w:rsidRPr="005D2A1F" w:rsidRDefault="005D2A1F" w:rsidP="005D2A1F">
      <w:pPr>
        <w:rPr>
          <w:rFonts w:ascii="Times New Roman" w:eastAsia="HG丸ｺﾞｼｯｸM-PRO" w:hAnsi="Times New Roman"/>
          <w:b/>
          <w:bCs/>
          <w:noProof/>
          <w:color w:val="000000" w:themeColor="text1"/>
          <w:sz w:val="24"/>
          <w:szCs w:val="24"/>
        </w:rPr>
      </w:pPr>
    </w:p>
    <w:p w14:paraId="0F9778C2" w14:textId="77777777" w:rsidR="005D2A1F" w:rsidRPr="005D2A1F" w:rsidRDefault="005D2A1F" w:rsidP="005D2A1F">
      <w:pPr>
        <w:rPr>
          <w:rFonts w:ascii="Times New Roman" w:eastAsia="HG丸ｺﾞｼｯｸM-PRO" w:hAnsi="Times New Roman"/>
          <w:b/>
          <w:bCs/>
          <w:noProof/>
          <w:color w:val="000000" w:themeColor="text1"/>
          <w:sz w:val="24"/>
          <w:szCs w:val="24"/>
        </w:rPr>
      </w:pPr>
    </w:p>
    <w:p w14:paraId="5C8CD8E6" w14:textId="57AD787D" w:rsidR="005E69E4" w:rsidRPr="005D2A1F" w:rsidRDefault="005D2A1F" w:rsidP="005D2A1F">
      <w:pPr>
        <w:rPr>
          <w:color w:val="000000" w:themeColor="text1"/>
        </w:rPr>
      </w:pPr>
      <w:bookmarkStart w:id="0" w:name="_Hlk116636965"/>
      <w:r w:rsidRPr="005D2A1F">
        <w:rPr>
          <w:rFonts w:ascii="Times New Roman" w:eastAsia="HG丸ｺﾞｼｯｸM-PRO" w:hAnsi="Times New Roman"/>
          <w:b/>
          <w:bCs/>
          <w:color w:val="000000" w:themeColor="text1"/>
          <w:sz w:val="24"/>
          <w:szCs w:val="24"/>
        </w:rPr>
        <w:t xml:space="preserve">Supplementary Figure 5. Microarray enrichment analysis in response to PC deletion.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>After induction of NG2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  <w:vertAlign w:val="superscript"/>
        </w:rPr>
        <w:t xml:space="preserve">+ </w:t>
      </w:r>
      <w:r w:rsidRPr="005D2A1F">
        <w:rPr>
          <w:rFonts w:ascii="Times New Roman" w:eastAsia="HG丸ｺﾞｼｯｸM-PRO" w:hAnsi="Times New Roman"/>
          <w:color w:val="000000" w:themeColor="text1"/>
          <w:sz w:val="24"/>
          <w:szCs w:val="24"/>
        </w:rPr>
        <w:t xml:space="preserve">PC deletion for one month, microarray analysis of the soleus of PC-deletion and control mice was performed. The top 20 upregulated and downregulated pathway-related gene sets are listed. </w:t>
      </w:r>
      <w:bookmarkEnd w:id="0"/>
    </w:p>
    <w:sectPr w:rsidR="005E69E4" w:rsidRPr="005D2A1F" w:rsidSect="005D2A1F">
      <w:footerReference w:type="default" r:id="rId12"/>
      <w:pgSz w:w="11906" w:h="16838"/>
      <w:pgMar w:top="1418" w:right="1416" w:bottom="1985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91CDC" w14:textId="77777777" w:rsidR="001B473A" w:rsidRDefault="001B473A" w:rsidP="005D2A1F">
      <w:r>
        <w:separator/>
      </w:r>
    </w:p>
  </w:endnote>
  <w:endnote w:type="continuationSeparator" w:id="0">
    <w:p w14:paraId="73CA1089" w14:textId="77777777" w:rsidR="001B473A" w:rsidRDefault="001B473A" w:rsidP="005D2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26479752"/>
      <w:docPartObj>
        <w:docPartGallery w:val="Page Numbers (Bottom of Page)"/>
        <w:docPartUnique/>
      </w:docPartObj>
    </w:sdtPr>
    <w:sdtContent>
      <w:p w14:paraId="3D2591C5" w14:textId="2A8DC25C" w:rsidR="005D2A1F" w:rsidRDefault="005D2A1F">
        <w:pPr>
          <w:pStyle w:val="a5"/>
          <w:jc w:val="center"/>
        </w:pPr>
        <w:r>
          <w:t xml:space="preserve">Page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E1D2456" w14:textId="77777777" w:rsidR="005D2A1F" w:rsidRDefault="005D2A1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9197C" w14:textId="77777777" w:rsidR="001B473A" w:rsidRDefault="001B473A" w:rsidP="005D2A1F">
      <w:r>
        <w:separator/>
      </w:r>
    </w:p>
  </w:footnote>
  <w:footnote w:type="continuationSeparator" w:id="0">
    <w:p w14:paraId="6E1AC962" w14:textId="77777777" w:rsidR="001B473A" w:rsidRDefault="001B473A" w:rsidP="005D2A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490"/>
    <w:rsid w:val="001B473A"/>
    <w:rsid w:val="001D3B91"/>
    <w:rsid w:val="001D3D22"/>
    <w:rsid w:val="00422490"/>
    <w:rsid w:val="004411A4"/>
    <w:rsid w:val="005D2A1F"/>
    <w:rsid w:val="005E69E4"/>
    <w:rsid w:val="008562B1"/>
    <w:rsid w:val="00896049"/>
    <w:rsid w:val="009C7E7C"/>
    <w:rsid w:val="00A80481"/>
    <w:rsid w:val="00B3267C"/>
    <w:rsid w:val="00C06DBA"/>
    <w:rsid w:val="00D74FE0"/>
    <w:rsid w:val="00DF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151137"/>
  <w15:chartTrackingRefBased/>
  <w15:docId w15:val="{9DA2A1D4-23BC-4B09-AC69-1ACB59D1A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2A1F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2A1F"/>
    <w:pPr>
      <w:tabs>
        <w:tab w:val="center" w:pos="4252"/>
        <w:tab w:val="right" w:pos="8504"/>
      </w:tabs>
      <w:snapToGrid w:val="0"/>
    </w:pPr>
    <w:rPr>
      <w:rFonts w:cstheme="minorBidi"/>
    </w:rPr>
  </w:style>
  <w:style w:type="character" w:customStyle="1" w:styleId="a4">
    <w:name w:val="ヘッダー (文字)"/>
    <w:basedOn w:val="a0"/>
    <w:link w:val="a3"/>
    <w:uiPriority w:val="99"/>
    <w:rsid w:val="005D2A1F"/>
  </w:style>
  <w:style w:type="paragraph" w:styleId="a5">
    <w:name w:val="footer"/>
    <w:basedOn w:val="a"/>
    <w:link w:val="a6"/>
    <w:uiPriority w:val="99"/>
    <w:unhideWhenUsed/>
    <w:rsid w:val="005D2A1F"/>
    <w:pPr>
      <w:tabs>
        <w:tab w:val="center" w:pos="4252"/>
        <w:tab w:val="right" w:pos="8504"/>
      </w:tabs>
      <w:snapToGrid w:val="0"/>
    </w:pPr>
    <w:rPr>
      <w:rFonts w:cstheme="minorBidi"/>
    </w:rPr>
  </w:style>
  <w:style w:type="character" w:customStyle="1" w:styleId="a6">
    <w:name w:val="フッター (文字)"/>
    <w:basedOn w:val="a0"/>
    <w:link w:val="a5"/>
    <w:uiPriority w:val="99"/>
    <w:rsid w:val="005D2A1F"/>
  </w:style>
  <w:style w:type="paragraph" w:styleId="a7">
    <w:name w:val="List Paragraph"/>
    <w:basedOn w:val="a"/>
    <w:uiPriority w:val="34"/>
    <w:qFormat/>
    <w:rsid w:val="005D2A1F"/>
    <w:pPr>
      <w:ind w:leftChars="400" w:left="840"/>
    </w:pPr>
  </w:style>
  <w:style w:type="paragraph" w:styleId="a8">
    <w:name w:val="annotation text"/>
    <w:basedOn w:val="a"/>
    <w:link w:val="a9"/>
    <w:uiPriority w:val="99"/>
    <w:unhideWhenUsed/>
    <w:rsid w:val="005D2A1F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rsid w:val="005D2A1F"/>
    <w:rPr>
      <w:rFonts w:cs="Times New Roman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5D2A1F"/>
    <w:rPr>
      <w:rFonts w:cs="Times New Roman"/>
      <w:sz w:val="18"/>
      <w:szCs w:val="18"/>
    </w:rPr>
  </w:style>
  <w:style w:type="paragraph" w:styleId="ab">
    <w:name w:val="No Spacing"/>
    <w:uiPriority w:val="1"/>
    <w:qFormat/>
    <w:rsid w:val="005D2A1F"/>
    <w:pPr>
      <w:widowControl w:val="0"/>
      <w:jc w:val="both"/>
    </w:pPr>
    <w:rPr>
      <w:rFonts w:cs="Times New Roman"/>
    </w:rPr>
  </w:style>
  <w:style w:type="paragraph" w:styleId="ac">
    <w:name w:val="Revision"/>
    <w:hidden/>
    <w:uiPriority w:val="99"/>
    <w:semiHidden/>
    <w:rsid w:val="004411A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55277-0082-47E7-90E1-5FA0623EF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jk358</dc:creator>
  <cp:keywords/>
  <dc:description/>
  <cp:lastModifiedBy>jk358</cp:lastModifiedBy>
  <cp:revision>8</cp:revision>
  <dcterms:created xsi:type="dcterms:W3CDTF">2022-09-02T06:05:00Z</dcterms:created>
  <dcterms:modified xsi:type="dcterms:W3CDTF">2022-10-14T01:49:00Z</dcterms:modified>
</cp:coreProperties>
</file>