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CB0F4F" w14:textId="77777777" w:rsidR="004E38EF" w:rsidRPr="006605E2" w:rsidRDefault="004E38EF" w:rsidP="004E38EF">
      <w:pPr>
        <w:pStyle w:val="Authors"/>
        <w:rPr>
          <w:rFonts w:eastAsiaTheme="minorEastAsia"/>
          <w:b/>
          <w:color w:val="000000" w:themeColor="text1"/>
          <w:sz w:val="28"/>
          <w:lang w:eastAsia="ko-KR"/>
        </w:rPr>
      </w:pPr>
      <w:r w:rsidRPr="006605E2">
        <w:rPr>
          <w:rFonts w:eastAsiaTheme="minorEastAsia" w:hint="eastAsia"/>
          <w:b/>
          <w:color w:val="000000" w:themeColor="text1"/>
          <w:sz w:val="28"/>
          <w:lang w:eastAsia="ko-KR"/>
        </w:rPr>
        <w:t xml:space="preserve">Brain </w:t>
      </w:r>
      <w:proofErr w:type="spellStart"/>
      <w:r w:rsidRPr="006605E2">
        <w:rPr>
          <w:rFonts w:eastAsiaTheme="minorEastAsia"/>
          <w:b/>
          <w:color w:val="000000" w:themeColor="text1"/>
          <w:sz w:val="28"/>
          <w:lang w:eastAsia="ko-KR"/>
        </w:rPr>
        <w:t>c</w:t>
      </w:r>
      <w:r w:rsidRPr="006605E2">
        <w:rPr>
          <w:rFonts w:eastAsiaTheme="minorEastAsia" w:hint="eastAsia"/>
          <w:b/>
          <w:color w:val="000000" w:themeColor="text1"/>
          <w:sz w:val="28"/>
          <w:lang w:eastAsia="ko-KR"/>
        </w:rPr>
        <w:t>orticogenesis</w:t>
      </w:r>
      <w:proofErr w:type="spellEnd"/>
      <w:r w:rsidRPr="006605E2">
        <w:rPr>
          <w:rFonts w:eastAsiaTheme="minorEastAsia" w:hint="eastAsia"/>
          <w:b/>
          <w:color w:val="000000" w:themeColor="text1"/>
          <w:sz w:val="28"/>
          <w:lang w:eastAsia="ko-KR"/>
        </w:rPr>
        <w:t xml:space="preserve"> and </w:t>
      </w:r>
      <w:r w:rsidRPr="006605E2">
        <w:rPr>
          <w:rFonts w:eastAsiaTheme="minorEastAsia"/>
          <w:b/>
          <w:color w:val="000000" w:themeColor="text1"/>
          <w:sz w:val="28"/>
          <w:lang w:eastAsia="ko-KR"/>
        </w:rPr>
        <w:t>c</w:t>
      </w:r>
      <w:r w:rsidRPr="006605E2">
        <w:rPr>
          <w:rFonts w:eastAsiaTheme="minorEastAsia" w:hint="eastAsia"/>
          <w:b/>
          <w:color w:val="000000" w:themeColor="text1"/>
          <w:sz w:val="28"/>
          <w:lang w:eastAsia="ko-KR"/>
        </w:rPr>
        <w:t xml:space="preserve">holesterol </w:t>
      </w:r>
      <w:r w:rsidRPr="006605E2">
        <w:rPr>
          <w:rFonts w:eastAsiaTheme="minorEastAsia"/>
          <w:b/>
          <w:color w:val="000000" w:themeColor="text1"/>
          <w:sz w:val="28"/>
          <w:lang w:eastAsia="ko-KR"/>
        </w:rPr>
        <w:t>h</w:t>
      </w:r>
      <w:r w:rsidRPr="006605E2">
        <w:rPr>
          <w:rFonts w:eastAsiaTheme="minorEastAsia" w:hint="eastAsia"/>
          <w:b/>
          <w:color w:val="000000" w:themeColor="text1"/>
          <w:sz w:val="28"/>
          <w:lang w:eastAsia="ko-KR"/>
        </w:rPr>
        <w:t>omeostasis</w:t>
      </w:r>
      <w:r w:rsidRPr="006605E2">
        <w:rPr>
          <w:rFonts w:eastAsiaTheme="minorEastAsia"/>
          <w:b/>
          <w:color w:val="000000" w:themeColor="text1"/>
          <w:sz w:val="28"/>
          <w:lang w:val="vi-VN" w:eastAsia="ko-KR"/>
        </w:rPr>
        <w:t xml:space="preserve"> </w:t>
      </w:r>
      <w:r w:rsidRPr="006605E2">
        <w:rPr>
          <w:rFonts w:eastAsiaTheme="minorEastAsia" w:hint="eastAsia"/>
          <w:b/>
          <w:color w:val="000000" w:themeColor="text1"/>
          <w:sz w:val="28"/>
          <w:lang w:eastAsia="ko-KR"/>
        </w:rPr>
        <w:t>promotes SARS-CoV-2 infection and replication</w:t>
      </w:r>
    </w:p>
    <w:p w14:paraId="29171408" w14:textId="77777777" w:rsidR="004E38EF" w:rsidRPr="006605E2" w:rsidRDefault="004E38EF" w:rsidP="004E38EF">
      <w:pPr>
        <w:pStyle w:val="Authors"/>
        <w:rPr>
          <w:color w:val="000000" w:themeColor="text1"/>
        </w:rPr>
      </w:pPr>
    </w:p>
    <w:p w14:paraId="75683192" w14:textId="77777777" w:rsidR="004E38EF" w:rsidRPr="006605E2" w:rsidRDefault="004E38EF" w:rsidP="004E38EF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eastAsia="Times New Roman"/>
          <w:color w:val="000000" w:themeColor="text1"/>
          <w:sz w:val="24"/>
          <w:szCs w:val="24"/>
        </w:rPr>
      </w:pPr>
      <w:r w:rsidRPr="006605E2">
        <w:rPr>
          <w:rFonts w:eastAsia="Times New Roman"/>
          <w:color w:val="000000" w:themeColor="text1"/>
          <w:sz w:val="24"/>
          <w:szCs w:val="24"/>
        </w:rPr>
        <w:t>Byoung-San Moon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1,7,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sym w:font="Wingdings" w:char="F02A"/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Dae-Gyun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Ahn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2,7,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sym w:font="Wingdings" w:char="F02A"/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Jieun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Park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3,7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Nhu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Thi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Quynh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Mai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1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Ulziituya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Batjargal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1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맑은 고딕"/>
          <w:color w:val="000000" w:themeColor="text1"/>
          <w:sz w:val="24"/>
          <w:szCs w:val="24"/>
        </w:rPr>
        <w:t>Hyowon</w:t>
      </w:r>
      <w:proofErr w:type="spellEnd"/>
      <w:r w:rsidRPr="006605E2">
        <w:rPr>
          <w:rFonts w:eastAsia="맑은 고딕"/>
          <w:color w:val="000000" w:themeColor="text1"/>
          <w:sz w:val="24"/>
          <w:szCs w:val="24"/>
        </w:rPr>
        <w:t xml:space="preserve"> Hong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4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맑은 고딕"/>
          <w:color w:val="000000" w:themeColor="text1"/>
          <w:sz w:val="24"/>
          <w:szCs w:val="24"/>
        </w:rPr>
        <w:t>Sae-Bom</w:t>
      </w:r>
      <w:proofErr w:type="spellEnd"/>
      <w:r w:rsidRPr="006605E2">
        <w:rPr>
          <w:rFonts w:eastAsia="맑은 고딕"/>
          <w:color w:val="000000" w:themeColor="text1"/>
          <w:sz w:val="24"/>
          <w:szCs w:val="24"/>
        </w:rPr>
        <w:t xml:space="preserve"> Yoon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4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Sunhee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Lee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2,6</w:t>
      </w:r>
      <w:r w:rsidRPr="006605E2">
        <w:rPr>
          <w:rFonts w:eastAsia="Times New Roman"/>
          <w:color w:val="000000" w:themeColor="text1"/>
          <w:sz w:val="24"/>
          <w:szCs w:val="24"/>
        </w:rPr>
        <w:t>, Gun Young Yoon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2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Chonsaeng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Kim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2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Keun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Bon Ku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2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Hye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Jin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Nam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4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Ihn-Sil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Kwak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5</w:t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Seong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>-Jun Kim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2,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sym w:font="Wingdings" w:char="F02A"/>
      </w:r>
      <w:r w:rsidRPr="006605E2">
        <w:rPr>
          <w:rFonts w:eastAsia="Times New Roman"/>
          <w:color w:val="000000" w:themeColor="text1"/>
          <w:sz w:val="24"/>
          <w:szCs w:val="24"/>
        </w:rPr>
        <w:t xml:space="preserve">, </w:t>
      </w:r>
      <w:proofErr w:type="spellStart"/>
      <w:r w:rsidRPr="006605E2">
        <w:rPr>
          <w:rFonts w:eastAsia="Times New Roman"/>
          <w:color w:val="000000" w:themeColor="text1"/>
          <w:sz w:val="24"/>
          <w:szCs w:val="24"/>
        </w:rPr>
        <w:t>Heeyeong</w:t>
      </w:r>
      <w:proofErr w:type="spellEnd"/>
      <w:r w:rsidRPr="006605E2">
        <w:rPr>
          <w:rFonts w:eastAsia="Times New Roman"/>
          <w:color w:val="000000" w:themeColor="text1"/>
          <w:sz w:val="24"/>
          <w:szCs w:val="24"/>
        </w:rPr>
        <w:t xml:space="preserve"> Cho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t>4,</w:t>
      </w:r>
      <w:r w:rsidRPr="006605E2">
        <w:rPr>
          <w:rFonts w:eastAsia="Times New Roman"/>
          <w:color w:val="000000" w:themeColor="text1"/>
          <w:sz w:val="24"/>
          <w:szCs w:val="24"/>
          <w:vertAlign w:val="superscript"/>
        </w:rPr>
        <w:sym w:font="Wingdings" w:char="F02A"/>
      </w:r>
    </w:p>
    <w:p w14:paraId="3942B6DC" w14:textId="77777777" w:rsidR="004E38EF" w:rsidRPr="006605E2" w:rsidRDefault="004E38EF" w:rsidP="004E38EF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eastAsia="맑은 고딕"/>
          <w:color w:val="000000" w:themeColor="text1"/>
          <w:sz w:val="24"/>
          <w:szCs w:val="24"/>
        </w:rPr>
      </w:pPr>
    </w:p>
    <w:p w14:paraId="4F6DE379" w14:textId="77777777" w:rsidR="004E38EF" w:rsidRPr="006605E2" w:rsidRDefault="004E38EF" w:rsidP="004E38EF">
      <w:pPr>
        <w:pStyle w:val="Paragraph"/>
        <w:ind w:left="360" w:firstLine="0"/>
        <w:rPr>
          <w:b/>
          <w:bCs/>
          <w:color w:val="000000" w:themeColor="text1"/>
        </w:rPr>
      </w:pPr>
      <w:r w:rsidRPr="006605E2">
        <w:rPr>
          <w:b/>
          <w:bCs/>
          <w:color w:val="000000" w:themeColor="text1"/>
        </w:rPr>
        <w:t>Affiliations:</w:t>
      </w:r>
    </w:p>
    <w:p w14:paraId="45BC72B9" w14:textId="77777777" w:rsidR="004E38EF" w:rsidRPr="006605E2" w:rsidRDefault="004E38EF" w:rsidP="004E38EF">
      <w:pPr>
        <w:pStyle w:val="Paragraph"/>
        <w:ind w:left="360" w:firstLine="0"/>
        <w:rPr>
          <w:color w:val="000000" w:themeColor="text1"/>
        </w:rPr>
      </w:pPr>
      <w:r w:rsidRPr="006605E2">
        <w:rPr>
          <w:color w:val="000000" w:themeColor="text1"/>
          <w:vertAlign w:val="superscript"/>
        </w:rPr>
        <w:t>1</w:t>
      </w:r>
      <w:r w:rsidRPr="006605E2">
        <w:rPr>
          <w:color w:val="000000" w:themeColor="text1"/>
        </w:rPr>
        <w:t>Department of Integrative Biotechnology, Biotechnology and Chemical Engineering, Chonnam National University; Yeosu, 59626, Korea.</w:t>
      </w:r>
    </w:p>
    <w:p w14:paraId="6989EDE9" w14:textId="77777777" w:rsidR="004E38EF" w:rsidRPr="006605E2" w:rsidRDefault="004E38EF" w:rsidP="004E38EF">
      <w:pPr>
        <w:pStyle w:val="Paragraph"/>
        <w:ind w:left="360" w:firstLine="0"/>
        <w:rPr>
          <w:color w:val="000000" w:themeColor="text1"/>
        </w:rPr>
      </w:pPr>
      <w:r w:rsidRPr="006605E2">
        <w:rPr>
          <w:color w:val="000000" w:themeColor="text1"/>
          <w:vertAlign w:val="superscript"/>
        </w:rPr>
        <w:t>2</w:t>
      </w:r>
      <w:r w:rsidRPr="006605E2">
        <w:rPr>
          <w:color w:val="000000" w:themeColor="text1"/>
        </w:rPr>
        <w:t>Department of Convergent Research of Emerging Virus Infection, Therapeutics and Biotechnology Division, Korea Research Institute of Chemical Technology; Daejeon, 34114, Korea.</w:t>
      </w:r>
    </w:p>
    <w:p w14:paraId="6B78E127" w14:textId="77777777" w:rsidR="004E38EF" w:rsidRPr="006605E2" w:rsidRDefault="004E38EF" w:rsidP="004E38EF">
      <w:pPr>
        <w:pStyle w:val="Paragraph"/>
        <w:ind w:left="360" w:firstLine="0"/>
        <w:rPr>
          <w:color w:val="000000" w:themeColor="text1"/>
        </w:rPr>
      </w:pPr>
      <w:bookmarkStart w:id="0" w:name="_Hlk62201618"/>
      <w:r w:rsidRPr="006605E2">
        <w:rPr>
          <w:color w:val="000000" w:themeColor="text1"/>
          <w:vertAlign w:val="superscript"/>
        </w:rPr>
        <w:t>3</w:t>
      </w:r>
      <w:r w:rsidRPr="006605E2">
        <w:rPr>
          <w:color w:val="000000" w:themeColor="text1"/>
        </w:rPr>
        <w:t>Department of Cell Biology and Physiology, University of North Carolina at Chapel Hill; Chapel Hill, NC 27599, USA.</w:t>
      </w:r>
    </w:p>
    <w:p w14:paraId="17628962" w14:textId="77777777" w:rsidR="004E38EF" w:rsidRPr="006605E2" w:rsidRDefault="004E38EF" w:rsidP="004E38EF">
      <w:pPr>
        <w:pStyle w:val="Paragraph"/>
        <w:ind w:left="360" w:firstLine="0"/>
        <w:rPr>
          <w:color w:val="000000" w:themeColor="text1"/>
        </w:rPr>
      </w:pPr>
      <w:r w:rsidRPr="006605E2">
        <w:rPr>
          <w:color w:val="000000" w:themeColor="text1"/>
          <w:vertAlign w:val="superscript"/>
        </w:rPr>
        <w:t>4</w:t>
      </w:r>
      <w:r w:rsidRPr="006605E2">
        <w:rPr>
          <w:color w:val="000000" w:themeColor="text1"/>
        </w:rPr>
        <w:t>Drug Discovery Platform Research Center, Therapeutics and Biotechnology Division, Korea Research Institute of Chemical Technology; Daejeon, 34114, Korea.</w:t>
      </w:r>
    </w:p>
    <w:p w14:paraId="3A3D43F4" w14:textId="77777777" w:rsidR="004E38EF" w:rsidRPr="006605E2" w:rsidRDefault="004E38EF" w:rsidP="004E38EF">
      <w:pPr>
        <w:pStyle w:val="Paragraph"/>
        <w:ind w:left="360" w:firstLine="0"/>
        <w:rPr>
          <w:color w:val="000000" w:themeColor="text1"/>
        </w:rPr>
      </w:pPr>
      <w:r w:rsidRPr="006605E2">
        <w:rPr>
          <w:color w:val="000000" w:themeColor="text1"/>
          <w:vertAlign w:val="superscript"/>
        </w:rPr>
        <w:t>5</w:t>
      </w:r>
      <w:r w:rsidRPr="006605E2">
        <w:rPr>
          <w:color w:val="000000" w:themeColor="text1"/>
        </w:rPr>
        <w:t>Department of Ocean Integrated Science, Chonnam National University; Yeosu, 59626, Korea.</w:t>
      </w:r>
    </w:p>
    <w:p w14:paraId="5B64A8D4" w14:textId="77777777" w:rsidR="004E38EF" w:rsidRPr="006605E2" w:rsidRDefault="004E38EF" w:rsidP="004E38EF">
      <w:pPr>
        <w:pStyle w:val="Paragraph"/>
        <w:ind w:left="360" w:firstLine="0"/>
        <w:rPr>
          <w:color w:val="000000" w:themeColor="text1"/>
        </w:rPr>
      </w:pPr>
      <w:r w:rsidRPr="006605E2">
        <w:rPr>
          <w:color w:val="000000" w:themeColor="text1"/>
          <w:vertAlign w:val="superscript"/>
        </w:rPr>
        <w:t>6</w:t>
      </w:r>
      <w:r w:rsidRPr="006605E2">
        <w:rPr>
          <w:color w:val="000000" w:themeColor="text1"/>
        </w:rPr>
        <w:t>Current address: Division of Vaccine Clinical Research, Korea National Research Institute of Health, Korea Centers for Disease Control and Prevention; Cheongju, 28160, Korea.</w:t>
      </w:r>
    </w:p>
    <w:p w14:paraId="3FADA7E7" w14:textId="77777777" w:rsidR="004E38EF" w:rsidRPr="006605E2" w:rsidRDefault="004E38EF" w:rsidP="004E38EF">
      <w:pPr>
        <w:pStyle w:val="Paragraph"/>
        <w:ind w:left="360" w:firstLine="0"/>
        <w:rPr>
          <w:color w:val="000000" w:themeColor="text1"/>
        </w:rPr>
      </w:pPr>
      <w:r w:rsidRPr="006605E2">
        <w:rPr>
          <w:color w:val="000000" w:themeColor="text1"/>
          <w:vertAlign w:val="superscript"/>
        </w:rPr>
        <w:t>7</w:t>
      </w:r>
      <w:r w:rsidRPr="006605E2">
        <w:rPr>
          <w:color w:val="000000" w:themeColor="text1"/>
        </w:rPr>
        <w:t>These authors contributed equally.</w:t>
      </w:r>
    </w:p>
    <w:p w14:paraId="040F2F6D" w14:textId="77777777" w:rsidR="004E38EF" w:rsidRPr="006605E2" w:rsidRDefault="004E38EF" w:rsidP="004E38EF">
      <w:pPr>
        <w:pStyle w:val="Paragraph"/>
        <w:ind w:left="360" w:firstLine="0"/>
        <w:rPr>
          <w:b/>
          <w:bCs/>
          <w:color w:val="000000" w:themeColor="text1"/>
        </w:rPr>
      </w:pPr>
      <w:bookmarkStart w:id="1" w:name="_Hlk62201654"/>
      <w:bookmarkEnd w:id="0"/>
      <w:r w:rsidRPr="006605E2">
        <w:rPr>
          <w:color w:val="000000" w:themeColor="text1"/>
          <w:vertAlign w:val="superscript"/>
        </w:rPr>
        <w:sym w:font="Wingdings" w:char="F02A"/>
      </w:r>
      <w:r w:rsidRPr="006605E2">
        <w:rPr>
          <w:color w:val="000000" w:themeColor="text1"/>
        </w:rPr>
        <w:t>email: bsmoon@jnu.ac.kr; dgahn@krict.re.kr; sekim@krict.re.kr; hycho@krict.re.kr</w:t>
      </w:r>
      <w:bookmarkEnd w:id="1"/>
    </w:p>
    <w:p w14:paraId="6C539801" w14:textId="77777777" w:rsidR="004E38EF" w:rsidRPr="006605E2" w:rsidRDefault="004E38EF">
      <w:pPr>
        <w:spacing w:after="160" w:line="259" w:lineRule="auto"/>
        <w:rPr>
          <w:rFonts w:eastAsia="Times New Roman"/>
          <w:b/>
          <w:color w:val="000000" w:themeColor="text1"/>
          <w:sz w:val="24"/>
          <w:szCs w:val="24"/>
        </w:rPr>
      </w:pPr>
      <w:r w:rsidRPr="006605E2">
        <w:rPr>
          <w:b/>
          <w:color w:val="000000" w:themeColor="text1"/>
        </w:rPr>
        <w:br w:type="page"/>
      </w:r>
    </w:p>
    <w:p w14:paraId="7D9F1EAD" w14:textId="7C8097FC" w:rsidR="004E38EF" w:rsidRPr="006605E2" w:rsidRDefault="004E38EF" w:rsidP="004E38EF">
      <w:pPr>
        <w:pStyle w:val="SOMContent"/>
        <w:spacing w:after="240" w:line="480" w:lineRule="auto"/>
        <w:rPr>
          <w:rFonts w:eastAsiaTheme="minorEastAsia"/>
          <w:b/>
          <w:bCs/>
          <w:color w:val="000000" w:themeColor="text1"/>
          <w:lang w:eastAsia="ko-KR"/>
        </w:rPr>
      </w:pPr>
      <w:r w:rsidRPr="006605E2">
        <w:rPr>
          <w:b/>
          <w:color w:val="000000" w:themeColor="text1"/>
        </w:rPr>
        <w:lastRenderedPageBreak/>
        <w:t>SUPPLEMENTARY</w:t>
      </w:r>
      <w:r w:rsidRPr="006605E2">
        <w:rPr>
          <w:bCs/>
          <w:color w:val="000000" w:themeColor="text1"/>
        </w:rPr>
        <w:t xml:space="preserve"> </w:t>
      </w:r>
      <w:r w:rsidRPr="006605E2">
        <w:rPr>
          <w:rFonts w:eastAsiaTheme="minorEastAsia" w:hint="eastAsia"/>
          <w:b/>
          <w:bCs/>
          <w:color w:val="000000" w:themeColor="text1"/>
          <w:lang w:eastAsia="ko-KR"/>
        </w:rPr>
        <w:t>FIGURES</w:t>
      </w:r>
      <w:r w:rsidRPr="006605E2">
        <w:rPr>
          <w:noProof/>
          <w:color w:val="000000" w:themeColor="text1"/>
          <w:lang w:eastAsia="ko-KR"/>
        </w:rPr>
        <w:drawing>
          <wp:inline distT="0" distB="0" distL="0" distR="0" wp14:anchorId="04093C6C" wp14:editId="715FB201">
            <wp:extent cx="5867400" cy="5631815"/>
            <wp:effectExtent l="0" t="0" r="0" b="6985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563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8CF27" w14:textId="1B5CB056" w:rsidR="004E38EF" w:rsidRPr="006605E2" w:rsidRDefault="004E38EF" w:rsidP="004E38EF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adjustRightInd w:val="0"/>
        <w:spacing w:after="200" w:line="480" w:lineRule="auto"/>
        <w:ind w:leftChars="-5" w:left="-3" w:hangingChars="3" w:hanging="7"/>
        <w:jc w:val="both"/>
        <w:rPr>
          <w:rFonts w:eastAsia="바탕"/>
          <w:color w:val="000000" w:themeColor="text1"/>
          <w:sz w:val="22"/>
          <w:szCs w:val="22"/>
          <w:lang w:val="vi-VN" w:eastAsia="ko-KR"/>
        </w:rPr>
      </w:pPr>
      <w:r w:rsidRPr="006605E2">
        <w:rPr>
          <w:b/>
          <w:color w:val="000000" w:themeColor="text1"/>
          <w:sz w:val="22"/>
          <w:szCs w:val="22"/>
        </w:rPr>
        <w:t>Supplementary</w:t>
      </w:r>
      <w:r w:rsidRPr="006605E2">
        <w:rPr>
          <w:b/>
          <w:bCs/>
          <w:color w:val="000000" w:themeColor="text1"/>
          <w:sz w:val="22"/>
          <w:szCs w:val="22"/>
        </w:rPr>
        <w:t xml:space="preserve"> Fig.1 Neurotropism potential of SARS-CoV-2 in human 3D cerebral organoid (CBO). (</w:t>
      </w:r>
      <w:r w:rsidRPr="006605E2">
        <w:rPr>
          <w:rFonts w:eastAsia="바탕"/>
          <w:b/>
          <w:color w:val="000000" w:themeColor="text1"/>
          <w:sz w:val="22"/>
          <w:szCs w:val="22"/>
          <w:lang w:eastAsia="ko-KR"/>
        </w:rPr>
        <w:t>a)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Schematic</w:t>
      </w:r>
      <w:r w:rsidRPr="006605E2">
        <w:rPr>
          <w:rFonts w:eastAsia="바탕"/>
          <w:color w:val="000000" w:themeColor="text1"/>
          <w:sz w:val="22"/>
          <w:szCs w:val="22"/>
          <w:lang w:val="vi-VN" w:eastAsia="ko-KR"/>
        </w:rPr>
        <w:t xml:space="preserve"> 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showing stepwise differentiation process to generate CBOs from </w:t>
      </w:r>
      <w:proofErr w:type="spellStart"/>
      <w:r w:rsidRPr="006605E2">
        <w:rPr>
          <w:rFonts w:eastAsia="바탕"/>
          <w:color w:val="000000" w:themeColor="text1"/>
          <w:sz w:val="22"/>
          <w:szCs w:val="22"/>
          <w:lang w:eastAsia="ko-KR"/>
        </w:rPr>
        <w:t>HiPSCs</w:t>
      </w:r>
      <w:proofErr w:type="spellEnd"/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.  Embryoid bodies (EBs) were formed in ultra-low attachment plates. With the supplementation of the required growth factors, CBOs were driven to form neuroectoderm from day 6 to 25 of culture period (EB5-EB30) and start lineage differentiation from day 25 onwards (~EB60). For examination of SARS-CoV-2 infection, EB60 were exposed to SARS-CoV-2. After an hour, the medium was changed, and CBOs were monitored for 20 dpi. Culture media at specific time point were collected for viral titer analysis. </w:t>
      </w:r>
      <w:r w:rsidRPr="006605E2">
        <w:rPr>
          <w:rFonts w:eastAsia="바탕"/>
          <w:b/>
          <w:color w:val="000000" w:themeColor="text1"/>
          <w:sz w:val="22"/>
          <w:szCs w:val="22"/>
          <w:lang w:eastAsia="ko-KR"/>
        </w:rPr>
        <w:t>(b)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Immunostaining for antibodies against DAPI (blue), SATB2 (green), and NP (red) in infected and uninfected CBOs. Scale bar, 50 µm (yellow), 20 µm (white). </w:t>
      </w:r>
      <w:r w:rsidRPr="006605E2">
        <w:rPr>
          <w:rFonts w:eastAsia="바탕"/>
          <w:b/>
          <w:color w:val="000000" w:themeColor="text1"/>
          <w:sz w:val="22"/>
          <w:szCs w:val="22"/>
          <w:lang w:eastAsia="ko-KR"/>
        </w:rPr>
        <w:t>(c)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Detection of NP, Tuj1, MAP2, GFAP and GAPDH in the infected and non-infected CBOs by immunoblotting. </w:t>
      </w:r>
      <w:r w:rsidRPr="006605E2">
        <w:rPr>
          <w:rFonts w:eastAsia="바탕"/>
          <w:b/>
          <w:color w:val="000000" w:themeColor="text1"/>
          <w:sz w:val="22"/>
          <w:szCs w:val="22"/>
          <w:lang w:eastAsia="ko-KR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lang w:eastAsia="ko-KR"/>
        </w:rPr>
        <w:t>d)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Relative expression of NP</w:t>
      </w:r>
      <w:r w:rsidRPr="006605E2">
        <w:rPr>
          <w:rFonts w:eastAsia="바탕"/>
          <w:color w:val="000000" w:themeColor="text1"/>
          <w:sz w:val="22"/>
          <w:szCs w:val="22"/>
          <w:vertAlign w:val="superscript"/>
          <w:lang w:eastAsia="ko-KR"/>
        </w:rPr>
        <w:t>+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, MAP2</w:t>
      </w:r>
      <w:r w:rsidRPr="006605E2">
        <w:rPr>
          <w:rFonts w:eastAsia="바탕"/>
          <w:color w:val="000000" w:themeColor="text1"/>
          <w:sz w:val="22"/>
          <w:szCs w:val="22"/>
          <w:vertAlign w:val="superscript"/>
          <w:lang w:eastAsia="ko-KR"/>
        </w:rPr>
        <w:t>+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, GFAP</w:t>
      </w:r>
      <w:r w:rsidRPr="006605E2">
        <w:rPr>
          <w:rFonts w:eastAsia="바탕"/>
          <w:color w:val="000000" w:themeColor="text1"/>
          <w:sz w:val="22"/>
          <w:szCs w:val="22"/>
          <w:vertAlign w:val="superscript"/>
          <w:lang w:eastAsia="ko-KR"/>
        </w:rPr>
        <w:t>+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, and Tuj1</w:t>
      </w:r>
      <w:r w:rsidRPr="006605E2">
        <w:rPr>
          <w:rFonts w:eastAsia="바탕"/>
          <w:color w:val="000000" w:themeColor="text1"/>
          <w:sz w:val="22"/>
          <w:szCs w:val="22"/>
          <w:vertAlign w:val="superscript"/>
          <w:lang w:eastAsia="ko-KR"/>
        </w:rPr>
        <w:t>+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cells in the two groups. Data was quantified and analyzed using the two-tailed Student’s t-test to calculate statistical significance (**</w:t>
      </w:r>
      <w:r w:rsidRPr="006605E2">
        <w:rPr>
          <w:rFonts w:eastAsia="바탕"/>
          <w:i/>
          <w:iCs/>
          <w:color w:val="000000" w:themeColor="text1"/>
          <w:sz w:val="22"/>
          <w:szCs w:val="22"/>
          <w:lang w:eastAsia="ko-KR"/>
        </w:rPr>
        <w:t>p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&lt;0.01). N.S; not significant. </w:t>
      </w:r>
      <w:r w:rsidRPr="006605E2">
        <w:rPr>
          <w:rFonts w:eastAsia="바탕"/>
          <w:b/>
          <w:bCs/>
          <w:color w:val="000000" w:themeColor="text1"/>
          <w:sz w:val="22"/>
          <w:szCs w:val="22"/>
          <w:lang w:eastAsia="ko-KR"/>
        </w:rPr>
        <w:t xml:space="preserve">(e) 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CBO diameter was quantified by ImageJ Softwa</w:t>
      </w:r>
      <w:bookmarkStart w:id="2" w:name="_GoBack"/>
      <w:bookmarkEnd w:id="2"/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re, revealing a consistent increase over time (n &gt; </w:t>
      </w:r>
      <w:r w:rsidR="009D501B" w:rsidRPr="006605E2">
        <w:rPr>
          <w:rFonts w:eastAsia="바탕"/>
          <w:color w:val="000000" w:themeColor="text1"/>
          <w:sz w:val="22"/>
          <w:szCs w:val="22"/>
          <w:lang w:eastAsia="ko-KR"/>
        </w:rPr>
        <w:t>10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)</w:t>
      </w:r>
      <w:r w:rsidRPr="006605E2">
        <w:rPr>
          <w:rFonts w:eastAsia="바탕"/>
          <w:color w:val="000000" w:themeColor="text1"/>
          <w:sz w:val="22"/>
          <w:szCs w:val="22"/>
          <w:lang w:val="vi-VN" w:eastAsia="ko-KR"/>
        </w:rPr>
        <w:t xml:space="preserve">. Analysis of variance (One-way ANOVA) was 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conducted </w:t>
      </w:r>
      <w:r w:rsidRPr="006605E2">
        <w:rPr>
          <w:rFonts w:eastAsia="바탕"/>
          <w:color w:val="000000" w:themeColor="text1"/>
          <w:sz w:val="22"/>
          <w:szCs w:val="22"/>
          <w:lang w:val="vi-VN" w:eastAsia="ko-KR"/>
        </w:rPr>
        <w:t>to calculate significance (***</w:t>
      </w:r>
      <w:r w:rsidRPr="006605E2">
        <w:rPr>
          <w:rFonts w:eastAsia="바탕"/>
          <w:i/>
          <w:iCs/>
          <w:color w:val="000000" w:themeColor="text1"/>
          <w:sz w:val="22"/>
          <w:szCs w:val="22"/>
          <w:lang w:val="vi-VN" w:eastAsia="ko-KR"/>
        </w:rPr>
        <w:t>p</w:t>
      </w:r>
      <w:r w:rsidRPr="006605E2">
        <w:rPr>
          <w:rFonts w:eastAsia="바탕"/>
          <w:color w:val="000000" w:themeColor="text1"/>
          <w:sz w:val="22"/>
          <w:szCs w:val="22"/>
          <w:lang w:val="vi-VN" w:eastAsia="ko-KR"/>
        </w:rPr>
        <w:t>&lt;0.001).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All d</w:t>
      </w:r>
      <w:r w:rsidRPr="006605E2">
        <w:rPr>
          <w:rFonts w:eastAsia="바탕"/>
          <w:color w:val="000000" w:themeColor="text1"/>
          <w:sz w:val="22"/>
          <w:szCs w:val="22"/>
          <w:lang w:val="vi-VN" w:eastAsia="ko-KR"/>
        </w:rPr>
        <w:t>ata are presented as mean ± SD.</w:t>
      </w:r>
    </w:p>
    <w:p w14:paraId="01DB2E3E" w14:textId="36318FE7" w:rsidR="004E38EF" w:rsidRPr="006605E2" w:rsidRDefault="004E38EF" w:rsidP="004E38EF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adjustRightInd w:val="0"/>
        <w:spacing w:after="200" w:line="480" w:lineRule="auto"/>
        <w:ind w:leftChars="-5" w:left="-3" w:hangingChars="3" w:hanging="7"/>
        <w:jc w:val="both"/>
        <w:rPr>
          <w:rFonts w:eastAsia="바탕"/>
          <w:color w:val="000000" w:themeColor="text1"/>
          <w:sz w:val="22"/>
          <w:szCs w:val="22"/>
          <w:lang w:val="vi-VN" w:eastAsia="ko-KR"/>
        </w:rPr>
      </w:pPr>
    </w:p>
    <w:p w14:paraId="266A533B" w14:textId="77777777" w:rsidR="004E38EF" w:rsidRPr="006605E2" w:rsidRDefault="004E38EF" w:rsidP="004E38EF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adjustRightInd w:val="0"/>
        <w:spacing w:after="200" w:line="480" w:lineRule="auto"/>
        <w:ind w:leftChars="-5" w:left="-3" w:hangingChars="3" w:hanging="7"/>
        <w:jc w:val="both"/>
        <w:rPr>
          <w:rFonts w:eastAsia="바탕"/>
          <w:color w:val="000000" w:themeColor="text1"/>
          <w:sz w:val="22"/>
          <w:szCs w:val="22"/>
          <w:lang w:val="vi-VN" w:eastAsia="ko-KR"/>
        </w:rPr>
      </w:pPr>
    </w:p>
    <w:p w14:paraId="195B38A4" w14:textId="5DF3EF3A" w:rsidR="004E38EF" w:rsidRPr="006605E2" w:rsidRDefault="004E38EF" w:rsidP="004E38EF">
      <w:pPr>
        <w:spacing w:after="160" w:line="259" w:lineRule="auto"/>
        <w:rPr>
          <w:b/>
          <w:bCs/>
          <w:color w:val="000000" w:themeColor="text1"/>
        </w:rPr>
      </w:pPr>
      <w:r w:rsidRPr="006605E2">
        <w:rPr>
          <w:noProof/>
          <w:color w:val="000000" w:themeColor="text1"/>
          <w:lang w:eastAsia="ko-KR"/>
        </w:rPr>
        <w:drawing>
          <wp:inline distT="0" distB="0" distL="0" distR="0" wp14:anchorId="7F3CC818" wp14:editId="59D54B1C">
            <wp:extent cx="5943600" cy="2143760"/>
            <wp:effectExtent l="0" t="0" r="0" b="8890"/>
            <wp:docPr id="16" name="Picture 1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4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CDD50" w14:textId="77777777" w:rsidR="004E38EF" w:rsidRPr="006605E2" w:rsidRDefault="004E38EF" w:rsidP="004E38EF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adjustRightInd w:val="0"/>
        <w:spacing w:after="200" w:line="480" w:lineRule="auto"/>
        <w:ind w:leftChars="-5" w:left="-3" w:hangingChars="3" w:hanging="7"/>
        <w:jc w:val="both"/>
        <w:rPr>
          <w:b/>
          <w:color w:val="000000" w:themeColor="text1"/>
          <w:sz w:val="22"/>
          <w:szCs w:val="22"/>
        </w:rPr>
      </w:pPr>
    </w:p>
    <w:p w14:paraId="5B98A233" w14:textId="4C2D61C6" w:rsidR="004E38EF" w:rsidRPr="006605E2" w:rsidRDefault="004E38EF" w:rsidP="004E38EF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adjustRightInd w:val="0"/>
        <w:spacing w:after="200" w:line="480" w:lineRule="auto"/>
        <w:ind w:leftChars="-5" w:left="-3" w:hangingChars="3" w:hanging="7"/>
        <w:jc w:val="both"/>
        <w:rPr>
          <w:rFonts w:eastAsia="바탕"/>
          <w:color w:val="000000" w:themeColor="text1"/>
          <w:sz w:val="22"/>
          <w:szCs w:val="22"/>
          <w:lang w:eastAsia="ko-KR"/>
        </w:rPr>
      </w:pPr>
      <w:r w:rsidRPr="006605E2">
        <w:rPr>
          <w:b/>
          <w:color w:val="000000" w:themeColor="text1"/>
          <w:sz w:val="22"/>
          <w:szCs w:val="22"/>
        </w:rPr>
        <w:t>Supplementary</w:t>
      </w:r>
      <w:r w:rsidRPr="006605E2">
        <w:rPr>
          <w:b/>
          <w:bCs/>
          <w:color w:val="000000" w:themeColor="text1"/>
          <w:sz w:val="22"/>
          <w:szCs w:val="22"/>
        </w:rPr>
        <w:t xml:space="preserve"> 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>Fig</w:t>
      </w:r>
      <w:r w:rsidRPr="006605E2">
        <w:rPr>
          <w:rFonts w:eastAsia="맑은 고딕"/>
          <w:b/>
          <w:color w:val="000000" w:themeColor="text1"/>
          <w:sz w:val="22"/>
          <w:szCs w:val="22"/>
          <w:lang w:eastAsia="ko-KR"/>
        </w:rPr>
        <w:t>. 2 Expression of SARS-CoV-2 entry factors (ACE2, TMPRSS2) in EB60 and EB120. (a)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Immunostaining for antibodies against DAPI (blue), ACE2 (red) in EB60 and EB120 demonstrates expression of ACE2 entrance receptor on day 60 and 120 of CBOs differentiation. </w:t>
      </w:r>
      <w:r w:rsidRPr="006605E2">
        <w:rPr>
          <w:rFonts w:eastAsia="바탕"/>
          <w:b/>
          <w:color w:val="000000" w:themeColor="text1"/>
          <w:sz w:val="22"/>
          <w:szCs w:val="22"/>
          <w:lang w:eastAsia="ko-KR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lang w:eastAsia="ko-KR"/>
        </w:rPr>
        <w:t>b)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Dot plots displaying quantification for expression level of ACE2 in EB60 and EB120. Student’s t-test was performed to calculate significance (***</w:t>
      </w:r>
      <w:r w:rsidRPr="006605E2">
        <w:rPr>
          <w:rFonts w:eastAsia="바탕"/>
          <w:i/>
          <w:iCs/>
          <w:color w:val="000000" w:themeColor="text1"/>
          <w:sz w:val="22"/>
          <w:szCs w:val="22"/>
          <w:lang w:eastAsia="ko-KR"/>
        </w:rPr>
        <w:t>p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&lt;0.001</w:t>
      </w:r>
      <w:r w:rsidR="00803371" w:rsidRPr="006605E2">
        <w:rPr>
          <w:rFonts w:eastAsia="바탕"/>
          <w:color w:val="000000" w:themeColor="text1"/>
          <w:sz w:val="22"/>
          <w:szCs w:val="22"/>
          <w:lang w:eastAsia="ko-KR"/>
        </w:rPr>
        <w:t>; n &gt; 10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). </w:t>
      </w:r>
      <w:r w:rsidRPr="006605E2">
        <w:rPr>
          <w:rFonts w:eastAsia="바탕"/>
          <w:b/>
          <w:color w:val="000000" w:themeColor="text1"/>
          <w:sz w:val="22"/>
          <w:szCs w:val="22"/>
          <w:lang w:eastAsia="ko-KR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lang w:eastAsia="ko-KR"/>
        </w:rPr>
        <w:t>c)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Immunostaining for antibodies against DAPI (blue), TMPRSS2 (red) on day 60 and 120 of CBOs differentiation (n &gt; 3). </w:t>
      </w:r>
      <w:r w:rsidRPr="006605E2">
        <w:rPr>
          <w:rFonts w:eastAsia="바탕"/>
          <w:b/>
          <w:color w:val="000000" w:themeColor="text1"/>
          <w:sz w:val="22"/>
          <w:szCs w:val="22"/>
          <w:lang w:eastAsia="ko-KR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lang w:eastAsia="ko-KR"/>
        </w:rPr>
        <w:t>d)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 Corresponding quantification for expression level of TMPRSS2 in EB60 and EB120. Student’s t-test was performed to calculate significance. </w:t>
      </w:r>
      <w:proofErr w:type="spellStart"/>
      <w:r w:rsidRPr="006605E2">
        <w:rPr>
          <w:rFonts w:eastAsia="바탕"/>
          <w:color w:val="000000" w:themeColor="text1"/>
          <w:sz w:val="22"/>
          <w:szCs w:val="22"/>
          <w:lang w:eastAsia="ko-KR"/>
        </w:rPr>
        <w:t>n.s</w:t>
      </w:r>
      <w:proofErr w:type="spellEnd"/>
      <w:r w:rsidRPr="006605E2">
        <w:rPr>
          <w:rFonts w:eastAsia="바탕"/>
          <w:color w:val="000000" w:themeColor="text1"/>
          <w:sz w:val="22"/>
          <w:szCs w:val="22"/>
          <w:lang w:eastAsia="ko-KR"/>
        </w:rPr>
        <w:t>; not significant. All d</w:t>
      </w:r>
      <w:r w:rsidRPr="006605E2">
        <w:rPr>
          <w:rFonts w:eastAsia="바탕"/>
          <w:color w:val="000000" w:themeColor="text1"/>
          <w:sz w:val="22"/>
          <w:szCs w:val="22"/>
          <w:lang w:val="vi-VN" w:eastAsia="ko-KR"/>
        </w:rPr>
        <w:t>ata are presented as mean ± SD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.</w:t>
      </w:r>
    </w:p>
    <w:p w14:paraId="09936854" w14:textId="774E7C91" w:rsidR="004E38EF" w:rsidRPr="006605E2" w:rsidRDefault="004E38EF" w:rsidP="004E38EF">
      <w:pPr>
        <w:spacing w:after="160" w:line="480" w:lineRule="auto"/>
        <w:ind w:leftChars="-5" w:left="-4" w:hangingChars="3" w:hanging="6"/>
        <w:jc w:val="both"/>
        <w:rPr>
          <w:rFonts w:eastAsia="바탕"/>
          <w:color w:val="000000" w:themeColor="text1"/>
          <w:sz w:val="22"/>
          <w:szCs w:val="22"/>
          <w:shd w:val="clear" w:color="auto" w:fill="FFFFFF"/>
        </w:rPr>
      </w:pPr>
      <w:r w:rsidRPr="006605E2">
        <w:rPr>
          <w:noProof/>
          <w:color w:val="000000" w:themeColor="text1"/>
          <w:lang w:eastAsia="ko-KR"/>
        </w:rPr>
        <w:drawing>
          <wp:inline distT="0" distB="0" distL="0" distR="0" wp14:anchorId="66AF5DE4" wp14:editId="70B1E32B">
            <wp:extent cx="5943600" cy="5172075"/>
            <wp:effectExtent l="0" t="0" r="0" b="9525"/>
            <wp:docPr id="17" name="Picture 1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05E2">
        <w:rPr>
          <w:b/>
          <w:color w:val="000000" w:themeColor="text1"/>
          <w:sz w:val="24"/>
          <w:szCs w:val="24"/>
        </w:rPr>
        <w:t xml:space="preserve"> </w:t>
      </w:r>
      <w:r w:rsidRPr="006605E2">
        <w:rPr>
          <w:b/>
          <w:color w:val="000000" w:themeColor="text1"/>
          <w:sz w:val="22"/>
          <w:szCs w:val="22"/>
        </w:rPr>
        <w:t>Supplementary</w:t>
      </w:r>
      <w:r w:rsidRPr="006605E2">
        <w:rPr>
          <w:b/>
          <w:bCs/>
          <w:color w:val="000000" w:themeColor="text1"/>
          <w:sz w:val="22"/>
          <w:szCs w:val="22"/>
        </w:rPr>
        <w:t xml:space="preserve"> 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Fig. </w:t>
      </w:r>
      <w:r w:rsidR="0023665C"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>3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 EB120 suffered more damage than EB60 after SARS-CoV-2 infection. (a)</w:t>
      </w:r>
      <w:r w:rsidRPr="006605E2">
        <w:rPr>
          <w:rFonts w:eastAsia="바탕"/>
          <w:bCs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>Organoids of each pre-treated groups were stained with TUNEL to evaluate cell death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. Scale bar, 50</w:t>
      </w:r>
      <w:r w:rsidRPr="006605E2">
        <w:rPr>
          <w:rFonts w:ascii="Calibri" w:eastAsia="바탕" w:hAnsi="Calibri" w:cs="Calibri"/>
          <w:color w:val="000000" w:themeColor="text1"/>
          <w:sz w:val="22"/>
          <w:szCs w:val="22"/>
        </w:rPr>
        <w:t xml:space="preserve"> 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µm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>. </w:t>
      </w:r>
      <w:r w:rsidRPr="006605E2">
        <w:rPr>
          <w:rFonts w:eastAsia="바탕"/>
          <w:b/>
          <w:color w:val="000000" w:themeColor="text1"/>
          <w:sz w:val="22"/>
          <w:szCs w:val="22"/>
          <w:shd w:val="clear" w:color="auto" w:fill="FFFFFF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b) 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>Violin plot showing quantification of apoptotic cells percentage (n &gt; 3). Analysis of variance (One-way ANOVA) was performed to calculate significance (*</w:t>
      </w:r>
      <w:r w:rsidRPr="006605E2">
        <w:rPr>
          <w:rFonts w:eastAsia="바탕"/>
          <w:i/>
          <w:iCs/>
          <w:color w:val="000000" w:themeColor="text1"/>
          <w:sz w:val="22"/>
          <w:szCs w:val="22"/>
          <w:shd w:val="clear" w:color="auto" w:fill="FFFFFF"/>
        </w:rPr>
        <w:t>p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>&lt;0.05, **</w:t>
      </w:r>
      <w:r w:rsidRPr="006605E2">
        <w:rPr>
          <w:rFonts w:eastAsia="바탕"/>
          <w:i/>
          <w:iCs/>
          <w:color w:val="000000" w:themeColor="text1"/>
          <w:sz w:val="22"/>
          <w:szCs w:val="22"/>
          <w:shd w:val="clear" w:color="auto" w:fill="FFFFFF"/>
        </w:rPr>
        <w:t>p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>&lt;0.01, ***</w:t>
      </w:r>
      <w:r w:rsidRPr="006605E2">
        <w:rPr>
          <w:rFonts w:eastAsia="바탕"/>
          <w:i/>
          <w:iCs/>
          <w:color w:val="000000" w:themeColor="text1"/>
          <w:sz w:val="22"/>
          <w:szCs w:val="22"/>
          <w:shd w:val="clear" w:color="auto" w:fill="FFFFFF"/>
        </w:rPr>
        <w:t>p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&lt;0.001). </w:t>
      </w:r>
      <w:r w:rsidRPr="006605E2">
        <w:rPr>
          <w:rFonts w:eastAsia="바탕"/>
          <w:b/>
          <w:color w:val="000000" w:themeColor="text1"/>
          <w:sz w:val="22"/>
          <w:szCs w:val="22"/>
          <w:shd w:val="clear" w:color="auto" w:fill="FFFFFF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c) 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Schematic of the experiment proving pathogenicity of SARS-CoV-2 progeny. The infected EB60 and EB120 were harvested for supernatant to treat the Vero cells, using IgG as the control.  </w:t>
      </w:r>
      <w:r w:rsidRPr="006605E2">
        <w:rPr>
          <w:rFonts w:eastAsia="바탕"/>
          <w:b/>
          <w:color w:val="000000" w:themeColor="text1"/>
          <w:sz w:val="22"/>
          <w:szCs w:val="22"/>
          <w:shd w:val="clear" w:color="auto" w:fill="FFFFFF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>d)</w:t>
      </w:r>
      <w:r w:rsidRPr="006605E2">
        <w:rPr>
          <w:rFonts w:eastAsia="바탕"/>
          <w:bCs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Brightfield exhibits Vero cells population after 3 days treated with supernatant of SARS-CoV-2 infected CBO. EB120 showed the highest number of detached cells. Scale bar, 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>50</w:t>
      </w:r>
      <w:r w:rsidRPr="006605E2">
        <w:rPr>
          <w:rFonts w:ascii="Calibri" w:eastAsia="바탕" w:hAnsi="Calibri" w:cs="Calibri"/>
          <w:color w:val="000000" w:themeColor="text1"/>
          <w:sz w:val="22"/>
          <w:szCs w:val="22"/>
        </w:rPr>
        <w:t xml:space="preserve"> </w:t>
      </w:r>
      <w:r w:rsidRPr="006605E2">
        <w:rPr>
          <w:rFonts w:eastAsia="바탕"/>
          <w:color w:val="000000" w:themeColor="text1"/>
          <w:sz w:val="22"/>
          <w:szCs w:val="22"/>
          <w:lang w:eastAsia="ko-KR"/>
        </w:rPr>
        <w:t xml:space="preserve">µm. </w:t>
      </w:r>
      <w:r w:rsidRPr="006605E2">
        <w:rPr>
          <w:rFonts w:eastAsia="바탕"/>
          <w:b/>
          <w:color w:val="000000" w:themeColor="text1"/>
          <w:sz w:val="22"/>
          <w:szCs w:val="22"/>
          <w:lang w:eastAsia="ko-KR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e) 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Immunostaining for DAPI (blue), NP (green) shows infection in Vero cells in each examined group. </w:t>
      </w:r>
      <w:r w:rsidRPr="006605E2">
        <w:rPr>
          <w:rFonts w:eastAsia="바탕"/>
          <w:b/>
          <w:color w:val="000000" w:themeColor="text1"/>
          <w:sz w:val="22"/>
          <w:szCs w:val="22"/>
          <w:shd w:val="clear" w:color="auto" w:fill="FFFFFF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>f)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 Corresponding quantification for the percentage of infected cells (n&gt;3). Data are presented as mean ± SD. Analysis of variance (One-way ANOVA) was performed to calculate significance (*p&lt;0.05, **p&lt;0.01, ***p&lt;0.001).</w:t>
      </w:r>
    </w:p>
    <w:p w14:paraId="77162445" w14:textId="0747D554" w:rsidR="004E38EF" w:rsidRPr="006605E2" w:rsidRDefault="004E38EF">
      <w:pPr>
        <w:spacing w:after="160" w:line="259" w:lineRule="auto"/>
        <w:rPr>
          <w:rFonts w:eastAsia="바탕"/>
          <w:color w:val="000000" w:themeColor="text1"/>
          <w:sz w:val="22"/>
          <w:szCs w:val="22"/>
          <w:shd w:val="clear" w:color="auto" w:fill="FFFFFF"/>
        </w:rPr>
      </w:pPr>
    </w:p>
    <w:p w14:paraId="69CFAE36" w14:textId="09FD7B49" w:rsidR="004E38EF" w:rsidRPr="006605E2" w:rsidRDefault="004E38EF">
      <w:pPr>
        <w:spacing w:after="160" w:line="259" w:lineRule="auto"/>
        <w:rPr>
          <w:rFonts w:eastAsia="바탕"/>
          <w:color w:val="000000" w:themeColor="text1"/>
          <w:sz w:val="22"/>
          <w:szCs w:val="22"/>
          <w:shd w:val="clear" w:color="auto" w:fill="FFFFFF"/>
        </w:rPr>
      </w:pPr>
    </w:p>
    <w:p w14:paraId="5C6F46EE" w14:textId="665FA1EF" w:rsidR="004E38EF" w:rsidRPr="006605E2" w:rsidRDefault="004E38EF">
      <w:pPr>
        <w:spacing w:after="160" w:line="259" w:lineRule="auto"/>
        <w:rPr>
          <w:rFonts w:eastAsia="바탕"/>
          <w:color w:val="000000" w:themeColor="text1"/>
          <w:sz w:val="22"/>
          <w:szCs w:val="22"/>
          <w:shd w:val="clear" w:color="auto" w:fill="FFFFFF"/>
        </w:rPr>
      </w:pPr>
    </w:p>
    <w:p w14:paraId="7DD43778" w14:textId="6B55CC93" w:rsidR="004E38EF" w:rsidRPr="006605E2" w:rsidRDefault="004E38EF">
      <w:pPr>
        <w:spacing w:after="160" w:line="259" w:lineRule="auto"/>
        <w:rPr>
          <w:rFonts w:eastAsia="바탕"/>
          <w:color w:val="000000" w:themeColor="text1"/>
          <w:sz w:val="22"/>
          <w:szCs w:val="22"/>
          <w:shd w:val="clear" w:color="auto" w:fill="FFFFFF"/>
        </w:rPr>
      </w:pPr>
    </w:p>
    <w:p w14:paraId="5596033C" w14:textId="05015DC8" w:rsidR="004E38EF" w:rsidRPr="006605E2" w:rsidRDefault="004E38EF">
      <w:pPr>
        <w:spacing w:after="160" w:line="259" w:lineRule="auto"/>
        <w:rPr>
          <w:rFonts w:eastAsia="바탕"/>
          <w:color w:val="000000" w:themeColor="text1"/>
          <w:sz w:val="22"/>
          <w:szCs w:val="22"/>
          <w:shd w:val="clear" w:color="auto" w:fill="FFFFFF"/>
        </w:rPr>
      </w:pPr>
    </w:p>
    <w:p w14:paraId="20778312" w14:textId="77777777" w:rsidR="004E38EF" w:rsidRPr="006605E2" w:rsidRDefault="004E38EF">
      <w:pPr>
        <w:spacing w:after="160" w:line="259" w:lineRule="auto"/>
        <w:rPr>
          <w:rFonts w:eastAsia="바탕"/>
          <w:color w:val="000000" w:themeColor="text1"/>
          <w:sz w:val="22"/>
          <w:szCs w:val="22"/>
          <w:shd w:val="clear" w:color="auto" w:fill="FFFFFF"/>
        </w:rPr>
      </w:pPr>
    </w:p>
    <w:p w14:paraId="277A6F64" w14:textId="5816ED8D" w:rsidR="004E38EF" w:rsidRPr="006605E2" w:rsidRDefault="004E38EF" w:rsidP="004E38EF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leftChars="-5" w:left="-3" w:hangingChars="3" w:hanging="7"/>
        <w:jc w:val="both"/>
        <w:rPr>
          <w:rFonts w:eastAsia="바탕"/>
          <w:color w:val="000000" w:themeColor="text1"/>
          <w:sz w:val="22"/>
          <w:szCs w:val="22"/>
          <w:shd w:val="clear" w:color="auto" w:fill="FFFFFF"/>
        </w:rPr>
      </w:pPr>
      <w:r w:rsidRPr="006605E2">
        <w:rPr>
          <w:rFonts w:eastAsia="바탕"/>
          <w:noProof/>
          <w:color w:val="000000" w:themeColor="text1"/>
          <w:sz w:val="22"/>
          <w:szCs w:val="22"/>
          <w:shd w:val="clear" w:color="auto" w:fill="FFFFFF"/>
          <w:lang w:eastAsia="ko-KR"/>
        </w:rPr>
        <w:drawing>
          <wp:inline distT="0" distB="0" distL="0" distR="0" wp14:anchorId="25B721F9" wp14:editId="1E199FDF">
            <wp:extent cx="5943600" cy="3619500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020C7" w14:textId="7C2E7546" w:rsidR="004E38EF" w:rsidRPr="006605E2" w:rsidRDefault="004E38EF" w:rsidP="004E38EF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leftChars="-5" w:left="-3" w:hangingChars="3" w:hanging="7"/>
        <w:jc w:val="both"/>
        <w:rPr>
          <w:rFonts w:eastAsia="바탕"/>
          <w:color w:val="000000" w:themeColor="text1"/>
          <w:sz w:val="22"/>
          <w:szCs w:val="22"/>
          <w:shd w:val="clear" w:color="auto" w:fill="FFFFFF"/>
        </w:rPr>
      </w:pPr>
      <w:r w:rsidRPr="006605E2">
        <w:rPr>
          <w:b/>
          <w:color w:val="000000" w:themeColor="text1"/>
          <w:sz w:val="22"/>
          <w:szCs w:val="22"/>
        </w:rPr>
        <w:t>Supplementary</w:t>
      </w:r>
      <w:r w:rsidRPr="006605E2">
        <w:rPr>
          <w:b/>
          <w:bCs/>
          <w:color w:val="000000" w:themeColor="text1"/>
          <w:sz w:val="22"/>
          <w:szCs w:val="22"/>
        </w:rPr>
        <w:t xml:space="preserve"> 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Fig. 4 Comparing CBO cell populations to reference CBO atlas. (a) 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>Heatmap showing the structural similarities between the defined clusters with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the embryonic day 15 developing mouse brain ISH atlas. </w:t>
      </w:r>
      <w:r w:rsidRPr="006605E2">
        <w:rPr>
          <w:rFonts w:eastAsia="바탕"/>
          <w:b/>
          <w:color w:val="000000" w:themeColor="text1"/>
          <w:sz w:val="22"/>
          <w:szCs w:val="22"/>
          <w:shd w:val="clear" w:color="auto" w:fill="FFFFFF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>b)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 Spatial similarity maps of the defined clusters to the embryonic day 15 developing mouse brain ISH atlas. </w:t>
      </w:r>
      <w:r w:rsidRPr="006605E2">
        <w:rPr>
          <w:rFonts w:eastAsia="바탕"/>
          <w:b/>
          <w:color w:val="000000" w:themeColor="text1"/>
          <w:sz w:val="22"/>
          <w:szCs w:val="22"/>
          <w:shd w:val="clear" w:color="auto" w:fill="FFFFFF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>c)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 Heatmap showing the structural similarities between the defined clusters with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the postnatal day 4 developing mouse brain ISH atlas. </w:t>
      </w:r>
      <w:r w:rsidRPr="006605E2">
        <w:rPr>
          <w:rFonts w:eastAsia="바탕"/>
          <w:b/>
          <w:color w:val="000000" w:themeColor="text1"/>
          <w:sz w:val="22"/>
          <w:szCs w:val="22"/>
          <w:shd w:val="clear" w:color="auto" w:fill="FFFFFF"/>
        </w:rPr>
        <w:t>(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>d)</w:t>
      </w:r>
      <w:r w:rsidRPr="006605E2">
        <w:rPr>
          <w:rFonts w:eastAsia="바탕"/>
          <w:color w:val="000000" w:themeColor="text1"/>
          <w:sz w:val="22"/>
          <w:szCs w:val="22"/>
          <w:shd w:val="clear" w:color="auto" w:fill="FFFFFF"/>
        </w:rPr>
        <w:t xml:space="preserve"> Spatial similarity maps of the defined clusters to the postnatal day 4 developing mouse brain ISH atlas. </w:t>
      </w:r>
    </w:p>
    <w:p w14:paraId="48C636C7" w14:textId="77777777" w:rsidR="004E38EF" w:rsidRPr="006605E2" w:rsidRDefault="004E38EF" w:rsidP="004E38EF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leftChars="-5" w:left="-3" w:hangingChars="3" w:hanging="7"/>
        <w:jc w:val="both"/>
        <w:rPr>
          <w:rFonts w:eastAsia="바탕"/>
          <w:color w:val="000000" w:themeColor="text1"/>
          <w:sz w:val="22"/>
          <w:szCs w:val="22"/>
          <w:shd w:val="clear" w:color="auto" w:fill="FFFFFF"/>
        </w:rPr>
      </w:pPr>
    </w:p>
    <w:p w14:paraId="77304AE1" w14:textId="77777777" w:rsidR="004E38EF" w:rsidRPr="006605E2" w:rsidRDefault="004E38EF" w:rsidP="004E38EF">
      <w:pPr>
        <w:pStyle w:val="SOMContent"/>
        <w:spacing w:line="480" w:lineRule="auto"/>
        <w:rPr>
          <w:b/>
          <w:bCs/>
          <w:color w:val="000000" w:themeColor="text1"/>
        </w:rPr>
      </w:pPr>
      <w:r w:rsidRPr="006605E2">
        <w:rPr>
          <w:noProof/>
          <w:color w:val="000000" w:themeColor="text1"/>
          <w:lang w:eastAsia="ko-KR"/>
        </w:rPr>
        <w:drawing>
          <wp:inline distT="0" distB="0" distL="0" distR="0" wp14:anchorId="7364E5AC" wp14:editId="00CBFDD6">
            <wp:extent cx="5943600" cy="2780030"/>
            <wp:effectExtent l="0" t="0" r="0" b="1270"/>
            <wp:docPr id="19" name="Picture 19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8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58ABC" w14:textId="39DF2612" w:rsidR="004E38EF" w:rsidRPr="006605E2" w:rsidRDefault="004E38EF" w:rsidP="004E38EF">
      <w:pPr>
        <w:spacing w:after="160" w:line="480" w:lineRule="auto"/>
        <w:ind w:leftChars="-5" w:left="-3" w:hangingChars="3" w:hanging="7"/>
        <w:jc w:val="both"/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</w:pPr>
      <w:r w:rsidRPr="006605E2">
        <w:rPr>
          <w:b/>
          <w:color w:val="000000" w:themeColor="text1"/>
          <w:sz w:val="22"/>
          <w:szCs w:val="22"/>
        </w:rPr>
        <w:t>Supplementary</w:t>
      </w:r>
      <w:r w:rsidRPr="006605E2">
        <w:rPr>
          <w:b/>
          <w:bCs/>
          <w:color w:val="000000" w:themeColor="text1"/>
          <w:sz w:val="22"/>
          <w:szCs w:val="22"/>
        </w:rPr>
        <w:t xml:space="preserve"> 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Fig. 5 GO analysis of signatures enriched in differentially expressed genes upregulated in ventral progenitors and neurons 2 cluster of EB120 compared to EB60. </w:t>
      </w:r>
    </w:p>
    <w:p w14:paraId="5997FE79" w14:textId="10E744D4" w:rsidR="004E38EF" w:rsidRPr="006605E2" w:rsidRDefault="004E38EF" w:rsidP="004E38EF">
      <w:pPr>
        <w:pStyle w:val="SOMContent"/>
        <w:spacing w:line="480" w:lineRule="auto"/>
        <w:rPr>
          <w:b/>
          <w:bCs/>
          <w:color w:val="000000" w:themeColor="text1"/>
        </w:rPr>
      </w:pPr>
    </w:p>
    <w:p w14:paraId="1348436C" w14:textId="1E6A681C" w:rsidR="004E38EF" w:rsidRPr="006605E2" w:rsidRDefault="004E38EF" w:rsidP="004E38EF">
      <w:pPr>
        <w:pStyle w:val="SOMContent"/>
        <w:spacing w:line="480" w:lineRule="auto"/>
        <w:rPr>
          <w:b/>
          <w:bCs/>
          <w:color w:val="000000" w:themeColor="text1"/>
        </w:rPr>
      </w:pPr>
    </w:p>
    <w:p w14:paraId="433F2FBF" w14:textId="77777777" w:rsidR="004E38EF" w:rsidRPr="006605E2" w:rsidRDefault="004E38EF" w:rsidP="004E38EF">
      <w:pPr>
        <w:pStyle w:val="SOMContent"/>
        <w:spacing w:line="480" w:lineRule="auto"/>
        <w:rPr>
          <w:b/>
          <w:color w:val="000000" w:themeColor="text1"/>
          <w:sz w:val="22"/>
          <w:szCs w:val="22"/>
        </w:rPr>
      </w:pPr>
    </w:p>
    <w:p w14:paraId="6D2AFF44" w14:textId="77777777" w:rsidR="00ED5992" w:rsidRPr="006605E2" w:rsidRDefault="00ED5992">
      <w:pPr>
        <w:spacing w:after="160" w:line="259" w:lineRule="auto"/>
        <w:rPr>
          <w:rFonts w:eastAsia="Times New Roman"/>
          <w:b/>
          <w:color w:val="000000" w:themeColor="text1"/>
          <w:sz w:val="24"/>
          <w:szCs w:val="24"/>
        </w:rPr>
      </w:pPr>
      <w:r w:rsidRPr="006605E2">
        <w:rPr>
          <w:b/>
          <w:color w:val="000000" w:themeColor="text1"/>
        </w:rPr>
        <w:br w:type="page"/>
      </w:r>
    </w:p>
    <w:p w14:paraId="5D7C6D91" w14:textId="0CA9E7B7" w:rsidR="004E38EF" w:rsidRPr="006605E2" w:rsidRDefault="004E38EF" w:rsidP="004E38EF">
      <w:pPr>
        <w:pStyle w:val="SOMContent"/>
        <w:spacing w:line="480" w:lineRule="auto"/>
        <w:rPr>
          <w:b/>
          <w:color w:val="000000" w:themeColor="text1"/>
          <w:sz w:val="22"/>
          <w:szCs w:val="22"/>
        </w:rPr>
      </w:pPr>
      <w:r w:rsidRPr="006605E2">
        <w:rPr>
          <w:b/>
          <w:color w:val="000000" w:themeColor="text1"/>
        </w:rPr>
        <w:t>SUPPLEMENTARY</w:t>
      </w:r>
      <w:r w:rsidRPr="006605E2">
        <w:rPr>
          <w:bCs/>
          <w:color w:val="000000" w:themeColor="text1"/>
        </w:rPr>
        <w:t xml:space="preserve"> </w:t>
      </w:r>
      <w:r w:rsidRPr="006605E2">
        <w:rPr>
          <w:rFonts w:eastAsiaTheme="minorEastAsia"/>
          <w:b/>
          <w:bCs/>
          <w:color w:val="000000" w:themeColor="text1"/>
          <w:lang w:eastAsia="ko-KR"/>
        </w:rPr>
        <w:t>TABLE</w:t>
      </w:r>
    </w:p>
    <w:p w14:paraId="370A604B" w14:textId="6B9C8029" w:rsidR="004E38EF" w:rsidRPr="006605E2" w:rsidRDefault="004E38EF" w:rsidP="004E38EF">
      <w:pPr>
        <w:pStyle w:val="SOMContent"/>
        <w:spacing w:line="480" w:lineRule="auto"/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</w:pPr>
      <w:r w:rsidRPr="006605E2">
        <w:rPr>
          <w:b/>
          <w:color w:val="000000" w:themeColor="text1"/>
          <w:sz w:val="22"/>
          <w:szCs w:val="22"/>
        </w:rPr>
        <w:t>Supplementary</w:t>
      </w:r>
      <w:r w:rsidRPr="006605E2">
        <w:rPr>
          <w:b/>
          <w:bCs/>
          <w:color w:val="000000" w:themeColor="text1"/>
          <w:sz w:val="22"/>
          <w:szCs w:val="22"/>
        </w:rPr>
        <w:t xml:space="preserve"> Table 1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 List of primer sequences used in the current </w:t>
      </w:r>
      <w:r w:rsidR="002E4287"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>study.</w:t>
      </w:r>
      <w:r w:rsidRPr="006605E2">
        <w:rPr>
          <w:rFonts w:eastAsia="바탕"/>
          <w:b/>
          <w:bCs/>
          <w:color w:val="000000" w:themeColor="text1"/>
          <w:sz w:val="22"/>
          <w:szCs w:val="22"/>
          <w:shd w:val="clear" w:color="auto" w:fill="FFFFFF"/>
        </w:rPr>
        <w:t xml:space="preserve"> </w:t>
      </w:r>
    </w:p>
    <w:tbl>
      <w:tblPr>
        <w:tblStyle w:val="a5"/>
        <w:tblW w:w="8489" w:type="dxa"/>
        <w:tblInd w:w="720" w:type="dxa"/>
        <w:tblLook w:val="0400" w:firstRow="0" w:lastRow="0" w:firstColumn="0" w:lastColumn="0" w:noHBand="0" w:noVBand="1"/>
      </w:tblPr>
      <w:tblGrid>
        <w:gridCol w:w="1951"/>
        <w:gridCol w:w="6538"/>
      </w:tblGrid>
      <w:tr w:rsidR="006605E2" w:rsidRPr="006605E2" w14:paraId="763F671C" w14:textId="77777777" w:rsidTr="00992BCC">
        <w:tc>
          <w:tcPr>
            <w:tcW w:w="1951" w:type="dxa"/>
            <w:vAlign w:val="center"/>
          </w:tcPr>
          <w:p w14:paraId="241CEC26" w14:textId="77777777" w:rsidR="004E38EF" w:rsidRPr="006605E2" w:rsidRDefault="004E38EF" w:rsidP="00992BCC">
            <w:pPr>
              <w:spacing w:line="480" w:lineRule="auto"/>
              <w:ind w:leftChars="-5" w:left="-3" w:hangingChars="3" w:hanging="7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605E2">
              <w:rPr>
                <w:color w:val="000000" w:themeColor="text1"/>
                <w:sz w:val="22"/>
                <w:szCs w:val="22"/>
                <w:shd w:val="clear" w:color="auto" w:fill="FFFFFF"/>
              </w:rPr>
              <w:t>GAPDH_F</w:t>
            </w:r>
          </w:p>
        </w:tc>
        <w:tc>
          <w:tcPr>
            <w:tcW w:w="6538" w:type="dxa"/>
            <w:vAlign w:val="center"/>
          </w:tcPr>
          <w:p w14:paraId="049C2B8D" w14:textId="77777777" w:rsidR="004E38EF" w:rsidRPr="006605E2" w:rsidRDefault="004E38EF" w:rsidP="00992BCC">
            <w:pPr>
              <w:spacing w:line="480" w:lineRule="auto"/>
              <w:jc w:val="both"/>
              <w:rPr>
                <w:i/>
                <w:iCs/>
                <w:color w:val="000000" w:themeColor="text1"/>
                <w:sz w:val="22"/>
                <w:szCs w:val="22"/>
                <w:shd w:val="clear" w:color="auto" w:fill="FFFFFF"/>
                <w:lang w:val="vi-VN"/>
              </w:rPr>
            </w:pPr>
            <w:r w:rsidRPr="006605E2">
              <w:rPr>
                <w:color w:val="000000" w:themeColor="text1"/>
                <w:sz w:val="22"/>
                <w:szCs w:val="22"/>
              </w:rPr>
              <w:t>5´-GGAGCGAGATCCCTCCAAAAT-3´</w:t>
            </w:r>
          </w:p>
        </w:tc>
      </w:tr>
      <w:tr w:rsidR="006605E2" w:rsidRPr="006605E2" w14:paraId="4E4873D9" w14:textId="77777777" w:rsidTr="00992BCC">
        <w:tc>
          <w:tcPr>
            <w:tcW w:w="1951" w:type="dxa"/>
            <w:vAlign w:val="center"/>
          </w:tcPr>
          <w:p w14:paraId="7963816C" w14:textId="77777777" w:rsidR="004E38EF" w:rsidRPr="006605E2" w:rsidRDefault="004E38EF" w:rsidP="00992BCC">
            <w:pPr>
              <w:spacing w:line="480" w:lineRule="auto"/>
              <w:ind w:leftChars="-5" w:left="-3" w:hangingChars="3" w:hanging="7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605E2">
              <w:rPr>
                <w:color w:val="000000" w:themeColor="text1"/>
                <w:sz w:val="22"/>
                <w:szCs w:val="22"/>
                <w:shd w:val="clear" w:color="auto" w:fill="FFFFFF"/>
              </w:rPr>
              <w:t>GAPDH_R</w:t>
            </w:r>
          </w:p>
        </w:tc>
        <w:tc>
          <w:tcPr>
            <w:tcW w:w="6538" w:type="dxa"/>
            <w:vAlign w:val="center"/>
          </w:tcPr>
          <w:p w14:paraId="79690DEF" w14:textId="77777777" w:rsidR="004E38EF" w:rsidRPr="006605E2" w:rsidRDefault="004E38EF" w:rsidP="00992BCC">
            <w:pPr>
              <w:spacing w:line="480" w:lineRule="auto"/>
              <w:ind w:leftChars="-5" w:left="-3" w:hangingChars="3" w:hanging="7"/>
              <w:jc w:val="both"/>
              <w:rPr>
                <w:i/>
                <w:iCs/>
                <w:color w:val="000000" w:themeColor="text1"/>
                <w:sz w:val="22"/>
                <w:szCs w:val="22"/>
                <w:shd w:val="clear" w:color="auto" w:fill="FFFFFF"/>
                <w:lang w:val="vi-VN"/>
              </w:rPr>
            </w:pPr>
            <w:r w:rsidRPr="006605E2">
              <w:rPr>
                <w:color w:val="000000" w:themeColor="text1"/>
                <w:sz w:val="22"/>
                <w:szCs w:val="22"/>
              </w:rPr>
              <w:t>5´-GGCTGTTGTCATACTTCTCACGG-3´. </w:t>
            </w:r>
          </w:p>
        </w:tc>
      </w:tr>
      <w:tr w:rsidR="004E38EF" w:rsidRPr="006605E2" w14:paraId="3F3C139C" w14:textId="77777777" w:rsidTr="00992BCC">
        <w:trPr>
          <w:trHeight w:val="50"/>
        </w:trPr>
        <w:tc>
          <w:tcPr>
            <w:tcW w:w="1951" w:type="dxa"/>
            <w:vAlign w:val="center"/>
          </w:tcPr>
          <w:p w14:paraId="4C912692" w14:textId="77777777" w:rsidR="004E38EF" w:rsidRPr="006605E2" w:rsidRDefault="004E38EF" w:rsidP="00992BCC">
            <w:pPr>
              <w:spacing w:line="480" w:lineRule="auto"/>
              <w:ind w:leftChars="-5" w:left="-3" w:hangingChars="3" w:hanging="7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605E2">
              <w:rPr>
                <w:color w:val="000000" w:themeColor="text1"/>
                <w:sz w:val="22"/>
                <w:szCs w:val="22"/>
                <w:shd w:val="clear" w:color="auto" w:fill="FFFFFF"/>
              </w:rPr>
              <w:t>NP</w:t>
            </w:r>
          </w:p>
        </w:tc>
        <w:tc>
          <w:tcPr>
            <w:tcW w:w="6538" w:type="dxa"/>
            <w:vAlign w:val="center"/>
          </w:tcPr>
          <w:p w14:paraId="7781879A" w14:textId="77777777" w:rsidR="004E38EF" w:rsidRPr="006605E2" w:rsidRDefault="004E38EF" w:rsidP="00992BCC">
            <w:pPr>
              <w:spacing w:line="480" w:lineRule="auto"/>
              <w:ind w:leftChars="-5" w:left="-3" w:hangingChars="3" w:hanging="7"/>
              <w:rPr>
                <w:i/>
                <w:iCs/>
                <w:color w:val="000000" w:themeColor="text1"/>
                <w:sz w:val="22"/>
                <w:szCs w:val="22"/>
                <w:shd w:val="clear" w:color="auto" w:fill="FFFFFF"/>
                <w:lang w:val="vi-VN"/>
              </w:rPr>
            </w:pPr>
            <w:r w:rsidRPr="006605E2">
              <w:rPr>
                <w:color w:val="000000" w:themeColor="text1"/>
                <w:sz w:val="22"/>
                <w:szCs w:val="22"/>
              </w:rPr>
              <w:t>5′-6-carboxyfluorescein (FAM)-</w:t>
            </w:r>
            <w:r w:rsidRPr="006605E2">
              <w:rPr>
                <w:rStyle w:val="named-content"/>
                <w:i/>
                <w:iCs/>
                <w:color w:val="000000" w:themeColor="text1"/>
                <w:sz w:val="22"/>
                <w:szCs w:val="22"/>
              </w:rPr>
              <w:t>ACAATTTGCCCCCAGCGCTTCAG</w:t>
            </w:r>
            <w:r w:rsidRPr="006605E2">
              <w:rPr>
                <w:color w:val="000000" w:themeColor="text1"/>
                <w:sz w:val="22"/>
                <w:szCs w:val="22"/>
              </w:rPr>
              <w:t>-BHQ1</w:t>
            </w:r>
          </w:p>
        </w:tc>
      </w:tr>
    </w:tbl>
    <w:p w14:paraId="4C8E8B69" w14:textId="77777777" w:rsidR="00BD4D44" w:rsidRPr="006605E2" w:rsidRDefault="00BD4D44">
      <w:pPr>
        <w:rPr>
          <w:color w:val="000000" w:themeColor="text1"/>
        </w:rPr>
      </w:pPr>
    </w:p>
    <w:sectPr w:rsidR="00BD4D44" w:rsidRPr="006605E2" w:rsidSect="000B7E4F">
      <w:footerReference w:type="default" r:id="rId11"/>
      <w:headerReference w:type="first" r:id="rId12"/>
      <w:footerReference w:type="first" r:id="rId13"/>
      <w:pgSz w:w="12240" w:h="15840" w:code="1"/>
      <w:pgMar w:top="1296" w:right="1440" w:bottom="1296" w:left="1440" w:header="432" w:footer="720" w:gutter="0"/>
      <w:lnNumType w:countBy="5" w:distance="72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F1B22D" w14:textId="77777777" w:rsidR="00BB376C" w:rsidRDefault="00891A0E">
      <w:r>
        <w:separator/>
      </w:r>
    </w:p>
  </w:endnote>
  <w:endnote w:type="continuationSeparator" w:id="0">
    <w:p w14:paraId="79C12E07" w14:textId="77777777" w:rsidR="00BB376C" w:rsidRDefault="00891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rdia New">
    <w:altName w:val="Microsoft Sans Serif"/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D5A215" w14:textId="62275C3F" w:rsidR="00F21668" w:rsidRDefault="00CF3E69">
    <w:pPr>
      <w:pStyle w:val="a3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 w:rsidR="006605E2">
      <w:rPr>
        <w:caps/>
        <w:noProof/>
        <w:color w:val="4472C4" w:themeColor="accent1"/>
      </w:rPr>
      <w:t>7</w:t>
    </w:r>
    <w:r>
      <w:rPr>
        <w:caps/>
        <w:noProof/>
        <w:color w:val="4472C4" w:themeColor="accent1"/>
      </w:rPr>
      <w:fldChar w:fldCharType="end"/>
    </w:r>
  </w:p>
  <w:p w14:paraId="1AB7C0F8" w14:textId="77777777" w:rsidR="00F21668" w:rsidRDefault="006605E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A785C4" w14:textId="77777777" w:rsidR="00F21668" w:rsidRDefault="00CF3E69">
    <w:pPr>
      <w:pStyle w:val="a3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2CC3A58B" w14:textId="77777777" w:rsidR="00F21668" w:rsidRDefault="006605E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BCD4DA" w14:textId="77777777" w:rsidR="00BB376C" w:rsidRDefault="00891A0E">
      <w:r>
        <w:separator/>
      </w:r>
    </w:p>
  </w:footnote>
  <w:footnote w:type="continuationSeparator" w:id="0">
    <w:p w14:paraId="7384D6BF" w14:textId="77777777" w:rsidR="00BB376C" w:rsidRDefault="00891A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0BDDFE" w14:textId="77777777" w:rsidR="00F21668" w:rsidRPr="00204015" w:rsidRDefault="00CF3E69" w:rsidP="00D73714">
    <w:pPr>
      <w:pStyle w:val="a4"/>
    </w:pPr>
    <w:r>
      <w:rPr>
        <w:noProof/>
        <w:lang w:eastAsia="ko-KR"/>
      </w:rPr>
      <w:drawing>
        <wp:anchor distT="0" distB="0" distL="114300" distR="114300" simplePos="0" relativeHeight="251659264" behindDoc="1" locked="0" layoutInCell="1" allowOverlap="1" wp14:anchorId="246CDC63" wp14:editId="7F4F803A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>Submitted Manuscript: Confidential</w:t>
    </w:r>
    <w:r>
      <w:tab/>
    </w:r>
  </w:p>
  <w:p w14:paraId="445046DB" w14:textId="77777777" w:rsidR="00F21668" w:rsidRDefault="006605E2" w:rsidP="00D7371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8EF"/>
    <w:rsid w:val="000C7620"/>
    <w:rsid w:val="0023665C"/>
    <w:rsid w:val="002E4287"/>
    <w:rsid w:val="004E38EF"/>
    <w:rsid w:val="006605E2"/>
    <w:rsid w:val="007276CF"/>
    <w:rsid w:val="00803371"/>
    <w:rsid w:val="00891A0E"/>
    <w:rsid w:val="009D501B"/>
    <w:rsid w:val="00BB376C"/>
    <w:rsid w:val="00BD4D44"/>
    <w:rsid w:val="00C64D9F"/>
    <w:rsid w:val="00CF3E69"/>
    <w:rsid w:val="00D57F8A"/>
    <w:rsid w:val="00ED5992"/>
    <w:rsid w:val="00FC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6EDF8"/>
  <w15:chartTrackingRefBased/>
  <w15:docId w15:val="{0AD3039A-C8D0-45D0-8073-29BAC92ED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en-US" w:eastAsia="ko-KR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8EF"/>
    <w:pPr>
      <w:spacing w:after="0" w:line="240" w:lineRule="auto"/>
    </w:pPr>
    <w:rPr>
      <w:rFonts w:ascii="Times New Roman" w:hAnsi="Times New Roman" w:cs="Times New Roman"/>
      <w:sz w:val="20"/>
      <w:szCs w:val="20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E38EF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">
    <w:name w:val="바닥글 Char"/>
    <w:basedOn w:val="a0"/>
    <w:link w:val="a3"/>
    <w:uiPriority w:val="99"/>
    <w:rsid w:val="004E38EF"/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styleId="a4">
    <w:name w:val="header"/>
    <w:basedOn w:val="a"/>
    <w:link w:val="Char0"/>
    <w:rsid w:val="004E38EF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0">
    <w:name w:val="머리글 Char"/>
    <w:basedOn w:val="a0"/>
    <w:link w:val="a4"/>
    <w:rsid w:val="004E38EF"/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customStyle="1" w:styleId="SOMContent">
    <w:name w:val="SOMContent"/>
    <w:basedOn w:val="a"/>
    <w:rsid w:val="004E38EF"/>
    <w:pPr>
      <w:spacing w:before="120"/>
    </w:pPr>
    <w:rPr>
      <w:rFonts w:eastAsia="Times New Roman"/>
      <w:sz w:val="24"/>
      <w:szCs w:val="24"/>
    </w:rPr>
  </w:style>
  <w:style w:type="table" w:styleId="a5">
    <w:name w:val="Table Grid"/>
    <w:basedOn w:val="a1"/>
    <w:uiPriority w:val="59"/>
    <w:rsid w:val="004E38EF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바탕" w:hAnsi="Calibri" w:cs="Calibri"/>
      <w:color w:val="000000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med-content">
    <w:name w:val="named-content"/>
    <w:basedOn w:val="a0"/>
    <w:rsid w:val="004E38EF"/>
  </w:style>
  <w:style w:type="character" w:styleId="a6">
    <w:name w:val="line number"/>
    <w:basedOn w:val="a0"/>
    <w:uiPriority w:val="99"/>
    <w:semiHidden/>
    <w:unhideWhenUsed/>
    <w:rsid w:val="004E38EF"/>
  </w:style>
  <w:style w:type="paragraph" w:customStyle="1" w:styleId="Authors">
    <w:name w:val="Authors"/>
    <w:basedOn w:val="a"/>
    <w:rsid w:val="004E38EF"/>
    <w:pPr>
      <w:spacing w:before="120" w:after="360"/>
      <w:jc w:val="center"/>
    </w:pPr>
    <w:rPr>
      <w:rFonts w:eastAsia="Times New Roman"/>
      <w:sz w:val="24"/>
      <w:szCs w:val="24"/>
    </w:rPr>
  </w:style>
  <w:style w:type="paragraph" w:customStyle="1" w:styleId="Paragraph">
    <w:name w:val="Paragraph"/>
    <w:basedOn w:val="a"/>
    <w:rsid w:val="004E38EF"/>
    <w:pPr>
      <w:spacing w:before="120"/>
      <w:ind w:firstLine="72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7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THI QUYNH NHU</dc:creator>
  <cp:keywords/>
  <dc:description/>
  <cp:lastModifiedBy>user</cp:lastModifiedBy>
  <cp:revision>14</cp:revision>
  <dcterms:created xsi:type="dcterms:W3CDTF">2023-01-27T04:39:00Z</dcterms:created>
  <dcterms:modified xsi:type="dcterms:W3CDTF">2023-01-28T08:13:00Z</dcterms:modified>
</cp:coreProperties>
</file>