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CB371" w14:textId="77777777" w:rsidR="00274D48" w:rsidRPr="00274D48" w:rsidRDefault="00274D48" w:rsidP="00274D4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 w:rsidRPr="00274D48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Supplementary Material</w:t>
      </w:r>
    </w:p>
    <w:p w14:paraId="6FDF5D28" w14:textId="77777777" w:rsidR="00274D48" w:rsidRPr="008237AA" w:rsidRDefault="00274D48" w:rsidP="00274D48">
      <w:pPr>
        <w:spacing w:line="36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8237A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BF93E08" wp14:editId="73CD6988">
            <wp:extent cx="4935402" cy="4825497"/>
            <wp:effectExtent l="0" t="0" r="0" b="0"/>
            <wp:docPr id="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形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9336" cy="483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5CC87" w14:textId="77777777" w:rsidR="00274D48" w:rsidRPr="008237AA" w:rsidRDefault="00274D48" w:rsidP="00274D48">
      <w:pPr>
        <w:spacing w:line="360" w:lineRule="auto"/>
        <w:ind w:firstLine="363"/>
        <w:jc w:val="center"/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8237AA"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Fig. S1</w:t>
      </w:r>
      <w:r w:rsidRPr="008237AA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Amino acid (a) and promoter cis element (b) variation of candidate genes between parents. a The difference in color indicates that the amino acid varies between the parents here. b Small squares of different colors represent different cis elements</w:t>
      </w:r>
    </w:p>
    <w:p w14:paraId="648440C4" w14:textId="77777777" w:rsidR="00274D48" w:rsidRPr="008237AA" w:rsidRDefault="00274D48" w:rsidP="00274D48">
      <w:pPr>
        <w:spacing w:line="360" w:lineRule="auto"/>
        <w:ind w:firstLine="363"/>
        <w:jc w:val="center"/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8237AA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A568230" wp14:editId="53CD47F9">
            <wp:simplePos x="0" y="0"/>
            <wp:positionH relativeFrom="margin">
              <wp:align>center</wp:align>
            </wp:positionH>
            <wp:positionV relativeFrom="paragraph">
              <wp:posOffset>74295</wp:posOffset>
            </wp:positionV>
            <wp:extent cx="5274310" cy="2525917"/>
            <wp:effectExtent l="0" t="0" r="2540" b="8255"/>
            <wp:wrapNone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0B5845B" w14:textId="77777777" w:rsidR="00274D48" w:rsidRPr="008237AA" w:rsidRDefault="00274D48" w:rsidP="00274D48">
      <w:pPr>
        <w:spacing w:line="360" w:lineRule="auto"/>
        <w:ind w:firstLine="420"/>
        <w:jc w:val="left"/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0EA37925" w14:textId="77777777" w:rsidR="00274D48" w:rsidRPr="008237AA" w:rsidRDefault="00274D48" w:rsidP="00274D48">
      <w:pPr>
        <w:spacing w:line="360" w:lineRule="auto"/>
        <w:ind w:firstLine="420"/>
        <w:jc w:val="left"/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306B2B01" w14:textId="77777777" w:rsidR="00274D48" w:rsidRPr="008237AA" w:rsidRDefault="00274D48" w:rsidP="00274D48">
      <w:pPr>
        <w:spacing w:line="360" w:lineRule="auto"/>
        <w:ind w:firstLine="420"/>
        <w:jc w:val="left"/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1A5D7F6F" w14:textId="77777777" w:rsidR="00274D48" w:rsidRPr="008237AA" w:rsidRDefault="00274D48" w:rsidP="00274D48">
      <w:pPr>
        <w:spacing w:line="360" w:lineRule="auto"/>
        <w:ind w:firstLine="420"/>
        <w:jc w:val="left"/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0FEE9666" w14:textId="77777777" w:rsidR="00274D48" w:rsidRPr="008237AA" w:rsidRDefault="00274D48" w:rsidP="00274D48">
      <w:pPr>
        <w:spacing w:line="360" w:lineRule="auto"/>
        <w:ind w:firstLine="420"/>
        <w:jc w:val="left"/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4F0C8F0F" w14:textId="77777777" w:rsidR="00274D48" w:rsidRPr="008237AA" w:rsidRDefault="00274D48" w:rsidP="00274D48">
      <w:pPr>
        <w:spacing w:line="360" w:lineRule="auto"/>
        <w:ind w:firstLine="420"/>
        <w:jc w:val="left"/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2FD921A5" w14:textId="77777777" w:rsidR="00274D48" w:rsidRPr="008237AA" w:rsidRDefault="00274D48" w:rsidP="00274D48">
      <w:pPr>
        <w:spacing w:line="360" w:lineRule="auto"/>
        <w:ind w:firstLine="420"/>
        <w:jc w:val="left"/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37EC7FB3" w14:textId="77777777" w:rsidR="00274D48" w:rsidRPr="008237AA" w:rsidRDefault="00274D48" w:rsidP="00274D48">
      <w:pPr>
        <w:spacing w:line="360" w:lineRule="auto"/>
        <w:ind w:firstLine="420"/>
        <w:jc w:val="left"/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06EBB7D1" w14:textId="77777777" w:rsidR="00274D48" w:rsidRPr="008237AA" w:rsidRDefault="00274D48" w:rsidP="00274D48">
      <w:pPr>
        <w:spacing w:line="360" w:lineRule="auto"/>
        <w:ind w:firstLine="363"/>
        <w:jc w:val="center"/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8237AA"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lastRenderedPageBreak/>
        <w:t>Fig. S2</w:t>
      </w:r>
      <w:r w:rsidRPr="008237AA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Variation of protein secondary (a-d) and tertiary (e-h) structure of </w:t>
      </w:r>
      <w:r w:rsidRPr="008237AA">
        <w:rPr>
          <w:rFonts w:ascii="Times New Roman" w:eastAsia="宋体" w:hAnsi="Times New Roman" w:cs="Times New Roman"/>
          <w:i/>
          <w:iCs/>
          <w:color w:val="000000"/>
          <w:sz w:val="20"/>
          <w:szCs w:val="20"/>
        </w:rPr>
        <w:t>Glyma.09G162700</w:t>
      </w:r>
      <w:r w:rsidRPr="008237AA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and </w:t>
      </w:r>
      <w:r w:rsidRPr="008237AA">
        <w:rPr>
          <w:rFonts w:ascii="Times New Roman" w:eastAsia="宋体" w:hAnsi="Times New Roman" w:cs="Times New Roman"/>
          <w:i/>
          <w:iCs/>
          <w:color w:val="000000"/>
          <w:sz w:val="20"/>
          <w:szCs w:val="20"/>
        </w:rPr>
        <w:t>Glyma.09G163700</w:t>
      </w:r>
      <w:r w:rsidRPr="008237AA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between parents. a-d ? It represents disordered, green helix represents alpha helix, and blue arrow represents beta strand</w:t>
      </w:r>
      <w:r w:rsidRPr="008237AA">
        <w:rPr>
          <w:rFonts w:ascii="Times New Roman" w:eastAsia="宋体" w:hAnsi="Times New Roman" w:cs="Times New Roman"/>
          <w:color w:val="000000"/>
          <w:sz w:val="20"/>
          <w:szCs w:val="20"/>
        </w:rPr>
        <w:t>，</w:t>
      </w:r>
      <w:r w:rsidRPr="008237AA">
        <w:rPr>
          <w:rFonts w:ascii="Times New Roman" w:eastAsia="宋体" w:hAnsi="Times New Roman" w:cs="Times New Roman"/>
          <w:color w:val="000000"/>
          <w:sz w:val="20"/>
          <w:szCs w:val="20"/>
        </w:rPr>
        <w:t>the color scale under the secondary structure of protein represents the confidence of predicted protein secondary structure, with red being the highest and blue the lowest.</w:t>
      </w:r>
      <w:r w:rsidRPr="008237AA">
        <w:rPr>
          <w:rFonts w:ascii="Times New Roman" w:hAnsi="Times New Roman" w:cs="Times New Roman"/>
          <w:sz w:val="20"/>
          <w:szCs w:val="20"/>
        </w:rPr>
        <w:t xml:space="preserve"> </w:t>
      </w:r>
      <w:r w:rsidRPr="008237AA">
        <w:rPr>
          <w:rFonts w:ascii="Times New Roman" w:eastAsia="宋体" w:hAnsi="Times New Roman" w:cs="Times New Roman"/>
          <w:color w:val="000000"/>
          <w:sz w:val="20"/>
          <w:szCs w:val="20"/>
        </w:rPr>
        <w:t>The location of the red virtual coil in the secondary structure indicates that the amino acid variation of the gene causes the variation of the secondary structure. e-f The location of the red virtual coil in the secondary structure indicates the tertiary structure variation of the gene</w:t>
      </w:r>
    </w:p>
    <w:p w14:paraId="1BF792D6" w14:textId="77777777" w:rsidR="00274D48" w:rsidRPr="008237AA" w:rsidRDefault="00274D48" w:rsidP="00274D48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8237AA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054F01D0" wp14:editId="430540AF">
            <wp:simplePos x="0" y="0"/>
            <wp:positionH relativeFrom="margin">
              <wp:posOffset>91440</wp:posOffset>
            </wp:positionH>
            <wp:positionV relativeFrom="paragraph">
              <wp:posOffset>78446</wp:posOffset>
            </wp:positionV>
            <wp:extent cx="5613400" cy="2158365"/>
            <wp:effectExtent l="0" t="0" r="6350" b="0"/>
            <wp:wrapNone/>
            <wp:docPr id="2" name="图形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8E148" w14:textId="77777777" w:rsidR="00274D48" w:rsidRPr="008237AA" w:rsidRDefault="00274D48" w:rsidP="00274D48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4C7729D9" w14:textId="77777777" w:rsidR="00274D48" w:rsidRPr="008237AA" w:rsidRDefault="00274D48" w:rsidP="00274D48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128D477F" w14:textId="77777777" w:rsidR="00274D48" w:rsidRPr="008237AA" w:rsidRDefault="00274D48" w:rsidP="00274D48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50FC888F" w14:textId="77777777" w:rsidR="00274D48" w:rsidRPr="008237AA" w:rsidRDefault="00274D48" w:rsidP="00274D48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030FC359" w14:textId="77777777" w:rsidR="00274D48" w:rsidRPr="008237AA" w:rsidRDefault="00274D48" w:rsidP="00274D48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EC5E84E" w14:textId="77777777" w:rsidR="00274D48" w:rsidRPr="008237AA" w:rsidRDefault="00274D48" w:rsidP="00274D48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6DA9F1" w14:textId="77777777" w:rsidR="00274D48" w:rsidRPr="008237AA" w:rsidRDefault="00274D48" w:rsidP="00274D48">
      <w:pPr>
        <w:spacing w:line="360" w:lineRule="auto"/>
        <w:ind w:firstLine="363"/>
        <w:jc w:val="center"/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5F1D5678" w14:textId="77777777" w:rsidR="00274D48" w:rsidRPr="008237AA" w:rsidRDefault="00274D48" w:rsidP="00274D48">
      <w:pPr>
        <w:spacing w:line="360" w:lineRule="auto"/>
        <w:ind w:firstLine="363"/>
        <w:jc w:val="center"/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8237AA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  </w:t>
      </w:r>
      <w:r w:rsidRPr="008237AA"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 xml:space="preserve">  Fig. S3</w:t>
      </w:r>
      <w:r w:rsidRPr="008237AA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CSSL population clustering plot (a) and RGR of real-time quantitative PCR materials (b). b The y-axis represents RGR(%) and x-axis represent fluorescent quantitative materials</w:t>
      </w:r>
    </w:p>
    <w:p w14:paraId="038B2439" w14:textId="77777777" w:rsidR="00274D48" w:rsidRPr="008237AA" w:rsidRDefault="00274D48" w:rsidP="00274D48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ED882F8" w14:textId="77777777" w:rsidR="002279F0" w:rsidRPr="00274D48" w:rsidRDefault="002279F0"/>
    <w:sectPr w:rsidR="002279F0" w:rsidRPr="00274D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D48"/>
    <w:rsid w:val="002279F0"/>
    <w:rsid w:val="00274D48"/>
    <w:rsid w:val="0074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37269"/>
  <w15:chartTrackingRefBased/>
  <w15:docId w15:val="{E088D321-84C9-494F-94B2-DCC3B4ED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74D4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274D48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sv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莉萍</dc:creator>
  <cp:keywords/>
  <dc:description/>
  <cp:lastModifiedBy>郑 莉萍</cp:lastModifiedBy>
  <cp:revision>1</cp:revision>
  <dcterms:created xsi:type="dcterms:W3CDTF">2023-02-22T13:09:00Z</dcterms:created>
  <dcterms:modified xsi:type="dcterms:W3CDTF">2023-02-22T13:11:00Z</dcterms:modified>
</cp:coreProperties>
</file>