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1F0CD" w14:textId="00016AB5" w:rsidR="00162128" w:rsidRDefault="00CA25E5" w:rsidP="001848CB">
      <w:pPr>
        <w:jc w:val="center"/>
      </w:pPr>
      <w:bookmarkStart w:id="0" w:name="_Hlk121177165"/>
      <w:bookmarkEnd w:id="0"/>
      <w:r>
        <w:rPr>
          <w:noProof/>
        </w:rPr>
        <w:drawing>
          <wp:inline distT="0" distB="0" distL="0" distR="0" wp14:anchorId="516741D3" wp14:editId="01550B9B">
            <wp:extent cx="6118860" cy="6640830"/>
            <wp:effectExtent l="0" t="0" r="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664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69B36B" w14:textId="77777777" w:rsidR="00162128" w:rsidRDefault="00162128" w:rsidP="001848CB">
      <w:pPr>
        <w:jc w:val="center"/>
      </w:pPr>
    </w:p>
    <w:p w14:paraId="4F4F48F7" w14:textId="0C23CF9E" w:rsidR="00162128" w:rsidRDefault="00CA25E5">
      <w:pPr>
        <w:widowControl/>
        <w:jc w:val="left"/>
      </w:pPr>
      <w:r w:rsidRPr="005F17C3">
        <w:rPr>
          <w:rFonts w:hint="eastAsia"/>
          <w:b/>
          <w:bCs/>
        </w:rPr>
        <w:t>Fig</w:t>
      </w:r>
      <w:r w:rsidRPr="005F17C3">
        <w:rPr>
          <w:b/>
          <w:bCs/>
        </w:rPr>
        <w:t>. S1</w:t>
      </w:r>
      <w:r>
        <w:t xml:space="preserve"> M</w:t>
      </w:r>
      <w:r w:rsidRPr="00CC4822">
        <w:t>orphological structure</w:t>
      </w:r>
      <w:r>
        <w:t xml:space="preserve"> changes of retinal superficial- and middle- layer microglia in mice aged </w:t>
      </w:r>
      <w:r w:rsidRPr="009B4FC5">
        <w:rPr>
          <w:rFonts w:eastAsia="宋体"/>
        </w:rPr>
        <w:t xml:space="preserve">8 w, 9 m, and 18 m following </w:t>
      </w:r>
      <w:proofErr w:type="spellStart"/>
      <w:r w:rsidRPr="009B4FC5">
        <w:rPr>
          <w:rFonts w:eastAsia="宋体"/>
        </w:rPr>
        <w:t>γFL</w:t>
      </w:r>
      <w:proofErr w:type="spellEnd"/>
      <w:r w:rsidRPr="009B4FC5">
        <w:rPr>
          <w:rFonts w:eastAsia="宋体"/>
        </w:rPr>
        <w:t xml:space="preserve"> treatment.</w:t>
      </w:r>
      <w:r>
        <w:rPr>
          <w:rFonts w:eastAsia="宋体"/>
        </w:rPr>
        <w:t xml:space="preserve"> </w:t>
      </w:r>
      <w:proofErr w:type="spellStart"/>
      <w:proofErr w:type="gramStart"/>
      <w:r w:rsidRPr="00EB7F15">
        <w:rPr>
          <w:rFonts w:eastAsia="宋体"/>
          <w:b/>
          <w:bCs/>
        </w:rPr>
        <w:t>a</w:t>
      </w:r>
      <w:proofErr w:type="spellEnd"/>
      <w:proofErr w:type="gramEnd"/>
      <w:r>
        <w:rPr>
          <w:rFonts w:eastAsia="宋体"/>
        </w:rPr>
        <w:t xml:space="preserve"> Immuno</w:t>
      </w:r>
      <w:r w:rsidRPr="009B4FC5">
        <w:rPr>
          <w:rFonts w:eastAsia="宋体"/>
        </w:rPr>
        <w:t>fluorescence of anti-</w:t>
      </w:r>
      <w:r>
        <w:rPr>
          <w:rFonts w:eastAsia="宋体"/>
        </w:rPr>
        <w:t xml:space="preserve">IBA-1 antibody (green). </w:t>
      </w:r>
      <w:r w:rsidRPr="009B4FC5">
        <w:rPr>
          <w:rFonts w:eastAsia="宋体"/>
        </w:rPr>
        <w:t xml:space="preserve">The blood vessels </w:t>
      </w:r>
      <w:r>
        <w:rPr>
          <w:rFonts w:eastAsia="宋体"/>
        </w:rPr>
        <w:t xml:space="preserve">were </w:t>
      </w:r>
      <w:r w:rsidRPr="009B4FC5">
        <w:rPr>
          <w:rFonts w:eastAsia="宋体"/>
        </w:rPr>
        <w:t>stained with IB4</w:t>
      </w:r>
      <w:r>
        <w:rPr>
          <w:rFonts w:eastAsia="宋体"/>
        </w:rPr>
        <w:t xml:space="preserve"> (blue). The scale bar is </w:t>
      </w:r>
      <w:r w:rsidRPr="009B4FC5">
        <w:rPr>
          <w:rFonts w:eastAsia="宋体"/>
        </w:rPr>
        <w:t xml:space="preserve">100 </w:t>
      </w:r>
      <w:proofErr w:type="spellStart"/>
      <w:r w:rsidRPr="009B4FC5">
        <w:rPr>
          <w:rFonts w:eastAsia="楷体"/>
        </w:rPr>
        <w:t>μ</w:t>
      </w:r>
      <w:r w:rsidRPr="009B4FC5">
        <w:rPr>
          <w:rFonts w:eastAsia="楷体" w:hint="eastAsia"/>
        </w:rPr>
        <w:t>m</w:t>
      </w:r>
      <w:proofErr w:type="spellEnd"/>
      <w:r w:rsidRPr="009B4FC5">
        <w:rPr>
          <w:rFonts w:eastAsia="楷体"/>
        </w:rPr>
        <w:t>.</w:t>
      </w:r>
      <w:r>
        <w:rPr>
          <w:rFonts w:eastAsia="楷体"/>
        </w:rPr>
        <w:t xml:space="preserve"> </w:t>
      </w:r>
      <w:r w:rsidRPr="00EB7F15">
        <w:rPr>
          <w:rFonts w:eastAsia="楷体"/>
          <w:b/>
          <w:bCs/>
        </w:rPr>
        <w:t xml:space="preserve">b </w:t>
      </w:r>
      <w:r>
        <w:rPr>
          <w:rFonts w:eastAsia="楷体"/>
        </w:rPr>
        <w:t>Microglia count.</w:t>
      </w:r>
      <w:r w:rsidRPr="00CE71F0">
        <w:rPr>
          <w:rFonts w:eastAsia="楷体"/>
          <w:b/>
          <w:bCs/>
        </w:rPr>
        <w:t xml:space="preserve"> c</w:t>
      </w:r>
      <w:r>
        <w:rPr>
          <w:rFonts w:eastAsia="楷体"/>
        </w:rPr>
        <w:t xml:space="preserve"> Average process length </w:t>
      </w:r>
      <w:r w:rsidRPr="00CE71F0">
        <w:rPr>
          <w:rFonts w:eastAsia="楷体"/>
          <w:b/>
          <w:bCs/>
        </w:rPr>
        <w:t xml:space="preserve">d </w:t>
      </w:r>
      <w:r>
        <w:rPr>
          <w:rFonts w:eastAsia="楷体"/>
        </w:rPr>
        <w:t xml:space="preserve">Microglia cell body diameter. Data </w:t>
      </w:r>
      <w:r w:rsidRPr="009B4FC5">
        <w:rPr>
          <w:rFonts w:eastAsia="宋体"/>
        </w:rPr>
        <w:t>are shown as the mean ± SD (</w:t>
      </w:r>
      <w:r w:rsidRPr="009B4FC5">
        <w:rPr>
          <w:rFonts w:eastAsia="楷体" w:hint="eastAsia"/>
        </w:rPr>
        <w:t>n</w:t>
      </w:r>
      <w:r w:rsidRPr="009B4FC5">
        <w:rPr>
          <w:rFonts w:eastAsia="楷体"/>
        </w:rPr>
        <w:t xml:space="preserve"> = 4 per group</w:t>
      </w:r>
      <w:r w:rsidRPr="009B4FC5">
        <w:rPr>
          <w:rFonts w:eastAsia="楷体" w:hint="eastAsia"/>
        </w:rPr>
        <w:t>,</w:t>
      </w:r>
      <w:r w:rsidRPr="009B4FC5">
        <w:rPr>
          <w:rFonts w:eastAsia="楷体"/>
        </w:rPr>
        <w:t xml:space="preserve"> two-way ANOVA</w:t>
      </w:r>
      <w:r>
        <w:rPr>
          <w:rFonts w:eastAsia="楷体"/>
        </w:rPr>
        <w:t xml:space="preserve"> with Turkey HSD test</w:t>
      </w:r>
      <w:r w:rsidRPr="009B4FC5">
        <w:rPr>
          <w:rFonts w:eastAsia="楷体"/>
        </w:rPr>
        <w:t xml:space="preserve">, </w:t>
      </w:r>
      <w:r w:rsidRPr="009B4FC5">
        <w:rPr>
          <w:rFonts w:eastAsia="楷体" w:hint="eastAsia"/>
        </w:rPr>
        <w:t>***</w:t>
      </w:r>
      <w:r w:rsidRPr="009B4FC5">
        <w:rPr>
          <w:rFonts w:eastAsia="楷体"/>
          <w:i/>
          <w:iCs/>
        </w:rPr>
        <w:t>P</w:t>
      </w:r>
      <w:r w:rsidRPr="009B4FC5">
        <w:rPr>
          <w:rFonts w:eastAsia="楷体"/>
        </w:rPr>
        <w:t xml:space="preserve"> &lt; 0.001).</w:t>
      </w:r>
      <w:r w:rsidR="00162128">
        <w:br w:type="page"/>
      </w:r>
    </w:p>
    <w:p w14:paraId="3651C6BE" w14:textId="6B438075" w:rsidR="00162128" w:rsidRDefault="005F17C3" w:rsidP="005F17C3">
      <w:r>
        <w:rPr>
          <w:noProof/>
        </w:rPr>
        <w:lastRenderedPageBreak/>
        <w:drawing>
          <wp:inline distT="0" distB="0" distL="0" distR="0" wp14:anchorId="58809284" wp14:editId="72B2A2BA">
            <wp:extent cx="6119495" cy="834707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34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20FD4" w14:textId="77777777" w:rsidR="00162128" w:rsidRDefault="00162128" w:rsidP="001848CB">
      <w:pPr>
        <w:jc w:val="center"/>
      </w:pPr>
    </w:p>
    <w:p w14:paraId="689AE207" w14:textId="5A12A1F2" w:rsidR="00162128" w:rsidRDefault="005F17C3" w:rsidP="005F17C3">
      <w:r w:rsidRPr="005F17C3">
        <w:rPr>
          <w:b/>
          <w:bCs/>
        </w:rPr>
        <w:t>Fig. S2</w:t>
      </w:r>
      <w:r>
        <w:t xml:space="preserve"> </w:t>
      </w:r>
      <w:r>
        <w:rPr>
          <w:rFonts w:hint="eastAsia"/>
        </w:rPr>
        <w:t>C</w:t>
      </w:r>
      <w:r>
        <w:t xml:space="preserve">o-location of MHC-II positive dots with microglia around retinal veins in mice aged </w:t>
      </w:r>
      <w:r w:rsidRPr="009B4FC5">
        <w:rPr>
          <w:rFonts w:eastAsia="宋体"/>
        </w:rPr>
        <w:t xml:space="preserve">8 w, 9 m, and 18 m following </w:t>
      </w:r>
      <w:proofErr w:type="spellStart"/>
      <w:r w:rsidRPr="009B4FC5">
        <w:rPr>
          <w:rFonts w:eastAsia="宋体"/>
        </w:rPr>
        <w:t>γFL</w:t>
      </w:r>
      <w:r>
        <w:rPr>
          <w:rFonts w:eastAsia="宋体"/>
        </w:rPr>
        <w:t>or</w:t>
      </w:r>
      <w:proofErr w:type="spellEnd"/>
      <w:r>
        <w:rPr>
          <w:rFonts w:eastAsia="宋体"/>
        </w:rPr>
        <w:t xml:space="preserve"> control light</w:t>
      </w:r>
      <w:r w:rsidRPr="009B4FC5">
        <w:rPr>
          <w:rFonts w:eastAsia="宋体"/>
        </w:rPr>
        <w:t xml:space="preserve"> treatment</w:t>
      </w:r>
      <w:r>
        <w:rPr>
          <w:rFonts w:eastAsia="宋体"/>
        </w:rPr>
        <w:t>.</w:t>
      </w:r>
      <w:r w:rsidR="001248E0">
        <w:rPr>
          <w:rFonts w:eastAsia="宋体"/>
        </w:rPr>
        <w:t xml:space="preserve"> </w:t>
      </w:r>
      <w:proofErr w:type="spellStart"/>
      <w:proofErr w:type="gramStart"/>
      <w:r w:rsidR="001248E0" w:rsidRPr="00DA7E0D">
        <w:rPr>
          <w:rFonts w:eastAsia="宋体"/>
          <w:b/>
          <w:bCs/>
        </w:rPr>
        <w:t>a</w:t>
      </w:r>
      <w:proofErr w:type="spellEnd"/>
      <w:proofErr w:type="gramEnd"/>
      <w:r w:rsidR="001248E0">
        <w:rPr>
          <w:rFonts w:eastAsia="宋体"/>
        </w:rPr>
        <w:t xml:space="preserve"> Immunostaining of </w:t>
      </w:r>
      <w:r w:rsidR="001248E0">
        <w:rPr>
          <w:rFonts w:eastAsia="宋体" w:hint="eastAsia"/>
        </w:rPr>
        <w:t>anti</w:t>
      </w:r>
      <w:r w:rsidR="001248E0">
        <w:rPr>
          <w:rFonts w:eastAsia="宋体"/>
        </w:rPr>
        <w:t xml:space="preserve">-MHC-II (red) and </w:t>
      </w:r>
      <w:r w:rsidR="001248E0">
        <w:rPr>
          <w:rFonts w:eastAsia="宋体"/>
        </w:rPr>
        <w:lastRenderedPageBreak/>
        <w:t xml:space="preserve">anti-IBA-1 (green) in the retinal flat-mount of 8-week-old mice. </w:t>
      </w:r>
      <w:r w:rsidR="001248E0" w:rsidRPr="009B4FC5">
        <w:rPr>
          <w:rFonts w:eastAsia="宋体"/>
        </w:rPr>
        <w:t xml:space="preserve">The blood vessels </w:t>
      </w:r>
      <w:r w:rsidR="001248E0">
        <w:rPr>
          <w:rFonts w:eastAsia="宋体"/>
        </w:rPr>
        <w:t xml:space="preserve">were </w:t>
      </w:r>
      <w:r w:rsidR="001248E0" w:rsidRPr="009B4FC5">
        <w:rPr>
          <w:rFonts w:eastAsia="宋体"/>
        </w:rPr>
        <w:t>stained with IB4</w:t>
      </w:r>
      <w:r w:rsidR="001248E0">
        <w:rPr>
          <w:rFonts w:eastAsia="宋体"/>
        </w:rPr>
        <w:t xml:space="preserve"> and anti-GFAP antibody (blue). The arrows mark the MHC-II positive spots. The scale bars are 50 </w:t>
      </w:r>
      <w:proofErr w:type="spellStart"/>
      <w:r w:rsidR="001248E0" w:rsidRPr="00CB3F6A">
        <w:rPr>
          <w:rFonts w:eastAsia="宋体"/>
        </w:rPr>
        <w:t>μ</w:t>
      </w:r>
      <w:r w:rsidR="001248E0">
        <w:rPr>
          <w:rFonts w:eastAsia="宋体" w:hint="eastAsia"/>
        </w:rPr>
        <w:t>m</w:t>
      </w:r>
      <w:proofErr w:type="spellEnd"/>
      <w:r w:rsidR="001248E0">
        <w:rPr>
          <w:rFonts w:eastAsia="宋体" w:hint="eastAsia"/>
        </w:rPr>
        <w:t>.</w:t>
      </w:r>
      <w:r w:rsidR="001248E0">
        <w:rPr>
          <w:rFonts w:eastAsia="宋体"/>
        </w:rPr>
        <w:t xml:space="preserve"> The whole retinal flat-mounts are showed in Fig. S3. </w:t>
      </w:r>
      <w:r w:rsidR="001248E0" w:rsidRPr="00592437">
        <w:rPr>
          <w:rFonts w:eastAsia="宋体"/>
          <w:b/>
          <w:bCs/>
        </w:rPr>
        <w:t>b</w:t>
      </w:r>
      <w:r w:rsidR="001248E0">
        <w:rPr>
          <w:rFonts w:eastAsia="宋体"/>
        </w:rPr>
        <w:t xml:space="preserve"> Same as (</w:t>
      </w:r>
      <w:r w:rsidR="001248E0" w:rsidRPr="00592437">
        <w:rPr>
          <w:rFonts w:eastAsia="宋体"/>
          <w:b/>
          <w:bCs/>
        </w:rPr>
        <w:t>a</w:t>
      </w:r>
      <w:r w:rsidR="001248E0">
        <w:rPr>
          <w:rFonts w:eastAsia="宋体"/>
        </w:rPr>
        <w:t>) for 9-month-old mice. The whole retinal flat-mounts are showed in Fig. S</w:t>
      </w:r>
      <w:r w:rsidR="00985DBB">
        <w:rPr>
          <w:rFonts w:eastAsia="宋体"/>
        </w:rPr>
        <w:t>4</w:t>
      </w:r>
      <w:r w:rsidR="001248E0">
        <w:rPr>
          <w:rFonts w:eastAsia="宋体"/>
        </w:rPr>
        <w:t xml:space="preserve">. </w:t>
      </w:r>
      <w:r w:rsidR="001248E0" w:rsidRPr="00592437">
        <w:rPr>
          <w:rFonts w:eastAsia="宋体"/>
          <w:b/>
          <w:bCs/>
        </w:rPr>
        <w:t>c</w:t>
      </w:r>
      <w:r w:rsidR="001248E0">
        <w:rPr>
          <w:rFonts w:eastAsia="宋体"/>
        </w:rPr>
        <w:t xml:space="preserve"> Same as (</w:t>
      </w:r>
      <w:r w:rsidR="001248E0" w:rsidRPr="00592437">
        <w:rPr>
          <w:rFonts w:eastAsia="宋体"/>
          <w:b/>
          <w:bCs/>
        </w:rPr>
        <w:t>a</w:t>
      </w:r>
      <w:r w:rsidR="001248E0">
        <w:rPr>
          <w:rFonts w:eastAsia="宋体"/>
        </w:rPr>
        <w:t>) for 18-month-old mice. The whole</w:t>
      </w:r>
      <w:r w:rsidR="001248E0" w:rsidRPr="001248E0">
        <w:rPr>
          <w:rFonts w:eastAsia="宋体"/>
        </w:rPr>
        <w:t xml:space="preserve"> </w:t>
      </w:r>
      <w:r w:rsidR="001248E0">
        <w:rPr>
          <w:rFonts w:eastAsia="宋体"/>
        </w:rPr>
        <w:t>retinal flat-mounts are showed in Fig. 4.</w:t>
      </w:r>
    </w:p>
    <w:p w14:paraId="1B287A17" w14:textId="7AE088B0" w:rsidR="00162128" w:rsidRDefault="00162128">
      <w:pPr>
        <w:widowControl/>
        <w:jc w:val="left"/>
      </w:pPr>
      <w:r>
        <w:br w:type="page"/>
      </w:r>
    </w:p>
    <w:p w14:paraId="12E8BAF5" w14:textId="77777777" w:rsidR="00162128" w:rsidRDefault="00162128" w:rsidP="001848CB">
      <w:pPr>
        <w:jc w:val="center"/>
      </w:pPr>
    </w:p>
    <w:p w14:paraId="157E685E" w14:textId="18DE1717" w:rsidR="00E37621" w:rsidRDefault="001848CB" w:rsidP="001848CB">
      <w:pPr>
        <w:jc w:val="center"/>
      </w:pPr>
      <w:r>
        <w:rPr>
          <w:noProof/>
        </w:rPr>
        <w:drawing>
          <wp:inline distT="0" distB="0" distL="0" distR="0" wp14:anchorId="1F9A9F76" wp14:editId="7DA36126">
            <wp:extent cx="6116320" cy="66192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661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70331" w14:textId="77777777" w:rsidR="00162128" w:rsidRDefault="00162128" w:rsidP="001848CB">
      <w:pPr>
        <w:jc w:val="center"/>
      </w:pPr>
    </w:p>
    <w:p w14:paraId="2713B7A4" w14:textId="50B6A6D5" w:rsidR="00A15C4A" w:rsidRDefault="00A20898">
      <w:r w:rsidRPr="00E37621">
        <w:rPr>
          <w:rFonts w:hint="eastAsia"/>
          <w:b/>
          <w:bCs/>
        </w:rPr>
        <w:t>Fig</w:t>
      </w:r>
      <w:r w:rsidRPr="00E37621">
        <w:rPr>
          <w:b/>
          <w:bCs/>
        </w:rPr>
        <w:t>. S</w:t>
      </w:r>
      <w:r w:rsidR="00473F2D">
        <w:rPr>
          <w:b/>
          <w:bCs/>
        </w:rPr>
        <w:t>3</w:t>
      </w:r>
      <w:r w:rsidR="00E37621">
        <w:t xml:space="preserve"> Expression of MHC-II in the retinal </w:t>
      </w:r>
      <w:r w:rsidR="00B83321">
        <w:t xml:space="preserve">whole </w:t>
      </w:r>
      <w:r w:rsidR="00E37621">
        <w:t>flat-mount of 8-week-old mice after</w:t>
      </w:r>
      <w:r w:rsidR="00E37621" w:rsidRPr="00E37621">
        <w:t xml:space="preserve"> </w:t>
      </w:r>
      <w:proofErr w:type="spellStart"/>
      <w:r w:rsidR="00E37621" w:rsidRPr="00E37621">
        <w:t>γ</w:t>
      </w:r>
      <w:r w:rsidR="00E37621">
        <w:t>FL</w:t>
      </w:r>
      <w:proofErr w:type="spellEnd"/>
      <w:r w:rsidR="00E37621">
        <w:rPr>
          <w:rFonts w:hint="eastAsia"/>
        </w:rPr>
        <w:t>.</w:t>
      </w:r>
      <w:r w:rsidR="00E37621">
        <w:t xml:space="preserve"> R</w:t>
      </w:r>
      <w:r w:rsidR="00E37621">
        <w:rPr>
          <w:rFonts w:hint="eastAsia"/>
        </w:rPr>
        <w:t>ed</w:t>
      </w:r>
      <w:r w:rsidR="00E37621">
        <w:t xml:space="preserve">, MHC-II; </w:t>
      </w:r>
      <w:r w:rsidR="00E37621">
        <w:rPr>
          <w:rFonts w:hint="eastAsia"/>
        </w:rPr>
        <w:t>b</w:t>
      </w:r>
      <w:r w:rsidR="00E37621">
        <w:t>lue, IB4 and GFAP</w:t>
      </w:r>
      <w:r w:rsidR="00E37621">
        <w:rPr>
          <w:rFonts w:hint="eastAsia"/>
        </w:rPr>
        <w:t>.</w:t>
      </w:r>
      <w:r w:rsidR="00E37621">
        <w:t xml:space="preserve"> Scar bar, 1,000 </w:t>
      </w:r>
      <w:proofErr w:type="spellStart"/>
      <w:r w:rsidR="00E37621" w:rsidRPr="00E37621">
        <w:t>μ</w:t>
      </w:r>
      <w:r w:rsidR="00E37621">
        <w:rPr>
          <w:rFonts w:hint="eastAsia"/>
        </w:rPr>
        <w:t>m</w:t>
      </w:r>
      <w:proofErr w:type="spellEnd"/>
      <w:r w:rsidR="00E37621">
        <w:rPr>
          <w:rFonts w:hint="eastAsia"/>
        </w:rPr>
        <w:t>.</w:t>
      </w:r>
    </w:p>
    <w:p w14:paraId="480F49DC" w14:textId="0D914921" w:rsidR="00A15C4A" w:rsidRDefault="00A15C4A"/>
    <w:p w14:paraId="199C88A4" w14:textId="2532B7AC" w:rsidR="00A15C4A" w:rsidRDefault="00A15C4A"/>
    <w:p w14:paraId="25BD0EE3" w14:textId="5D55EBCA" w:rsidR="00A20898" w:rsidRDefault="00A20898">
      <w:pPr>
        <w:widowControl/>
        <w:jc w:val="left"/>
      </w:pPr>
      <w:r>
        <w:br w:type="page"/>
      </w:r>
    </w:p>
    <w:p w14:paraId="5FF8CC0D" w14:textId="4C5FA5CE" w:rsidR="002C4EE1" w:rsidRDefault="001848CB" w:rsidP="001848CB">
      <w:pPr>
        <w:jc w:val="center"/>
        <w:rPr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6FF4ADB" wp14:editId="1D1EB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116320" cy="6619240"/>
            <wp:effectExtent l="0" t="0" r="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661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BF9E32" w14:textId="2FB5B23A" w:rsidR="00A15C4A" w:rsidRDefault="00E37621">
      <w:r w:rsidRPr="002C4EE1">
        <w:rPr>
          <w:rFonts w:hint="eastAsia"/>
          <w:b/>
          <w:bCs/>
        </w:rPr>
        <w:t>Fig</w:t>
      </w:r>
      <w:r w:rsidRPr="002C4EE1">
        <w:rPr>
          <w:b/>
          <w:bCs/>
        </w:rPr>
        <w:t>. S</w:t>
      </w:r>
      <w:r w:rsidR="00473F2D">
        <w:rPr>
          <w:b/>
          <w:bCs/>
        </w:rPr>
        <w:t>4</w:t>
      </w:r>
      <w:r>
        <w:t xml:space="preserve"> Expression of MHC-II in the retinal</w:t>
      </w:r>
      <w:r w:rsidR="00B83321">
        <w:t xml:space="preserve"> </w:t>
      </w:r>
      <w:r w:rsidR="00B83321">
        <w:rPr>
          <w:rFonts w:hint="eastAsia"/>
        </w:rPr>
        <w:t>whole</w:t>
      </w:r>
      <w:r w:rsidR="00B83321">
        <w:t xml:space="preserve"> </w:t>
      </w:r>
      <w:r>
        <w:t>flat-mount of 9-month-old mice after</w:t>
      </w:r>
      <w:r w:rsidRPr="00E37621">
        <w:t xml:space="preserve"> </w:t>
      </w:r>
      <w:proofErr w:type="spellStart"/>
      <w:r w:rsidRPr="00E37621">
        <w:t>γ</w:t>
      </w:r>
      <w:r>
        <w:t>FL</w:t>
      </w:r>
      <w:proofErr w:type="spellEnd"/>
      <w:r>
        <w:rPr>
          <w:rFonts w:hint="eastAsia"/>
        </w:rPr>
        <w:t>.</w:t>
      </w:r>
      <w:r>
        <w:t xml:space="preserve"> R</w:t>
      </w:r>
      <w:r>
        <w:rPr>
          <w:rFonts w:hint="eastAsia"/>
        </w:rPr>
        <w:t>ed</w:t>
      </w:r>
      <w:r>
        <w:t xml:space="preserve">, MHC-II; </w:t>
      </w:r>
      <w:r>
        <w:rPr>
          <w:rFonts w:hint="eastAsia"/>
        </w:rPr>
        <w:t>b</w:t>
      </w:r>
      <w:r>
        <w:t>lue, IB4 and GFAP</w:t>
      </w:r>
      <w:r>
        <w:rPr>
          <w:rFonts w:hint="eastAsia"/>
        </w:rPr>
        <w:t>.</w:t>
      </w:r>
      <w:r>
        <w:t xml:space="preserve"> Scar bar, 1,000 </w:t>
      </w:r>
      <w:proofErr w:type="spellStart"/>
      <w:r w:rsidRPr="00E37621">
        <w:t>μ</w:t>
      </w:r>
      <w:r>
        <w:rPr>
          <w:rFonts w:hint="eastAsia"/>
        </w:rPr>
        <w:t>m</w:t>
      </w:r>
      <w:proofErr w:type="spellEnd"/>
      <w:r>
        <w:rPr>
          <w:rFonts w:hint="eastAsia"/>
        </w:rPr>
        <w:t>.</w:t>
      </w:r>
    </w:p>
    <w:p w14:paraId="154A5B36" w14:textId="6099D260" w:rsidR="00A15C4A" w:rsidRDefault="00A15C4A"/>
    <w:p w14:paraId="082889B7" w14:textId="1637E6FB" w:rsidR="00A15C4A" w:rsidRDefault="00A15C4A"/>
    <w:p w14:paraId="79A4F92E" w14:textId="48F85D49" w:rsidR="00A15C4A" w:rsidRDefault="00A15C4A"/>
    <w:p w14:paraId="7B1F91DB" w14:textId="6D22D8CE" w:rsidR="00A15C4A" w:rsidRDefault="00A15C4A"/>
    <w:p w14:paraId="29198F60" w14:textId="549E2A05" w:rsidR="00A20898" w:rsidRDefault="00A20898"/>
    <w:p w14:paraId="52BEDAFB" w14:textId="7EE3AEDD" w:rsidR="00A20898" w:rsidRDefault="00A20898"/>
    <w:p w14:paraId="7FB852C3" w14:textId="1674544A" w:rsidR="00A20898" w:rsidRDefault="00A20898">
      <w:pPr>
        <w:widowControl/>
        <w:jc w:val="left"/>
      </w:pPr>
      <w:r>
        <w:br w:type="page"/>
      </w:r>
    </w:p>
    <w:p w14:paraId="07D26BA9" w14:textId="3F552077" w:rsidR="00A20898" w:rsidRDefault="00A20898" w:rsidP="002C4EE1">
      <w:pPr>
        <w:jc w:val="center"/>
      </w:pPr>
      <w:r>
        <w:rPr>
          <w:rFonts w:eastAsia="楷体"/>
          <w:noProof/>
          <w:sz w:val="21"/>
          <w:szCs w:val="21"/>
        </w:rPr>
        <w:lastRenderedPageBreak/>
        <w:drawing>
          <wp:inline distT="0" distB="0" distL="0" distR="0" wp14:anchorId="3FCB5583" wp14:editId="769C6C16">
            <wp:extent cx="5271770" cy="5264785"/>
            <wp:effectExtent l="0" t="0" r="508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526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DEA89C" w14:textId="09F73541" w:rsidR="00A20898" w:rsidRDefault="00A20898"/>
    <w:p w14:paraId="6BC2A426" w14:textId="0A4CFA72" w:rsidR="00A20898" w:rsidRDefault="002C4EE1">
      <w:r w:rsidRPr="00994DEB">
        <w:rPr>
          <w:rFonts w:hint="eastAsia"/>
          <w:b/>
          <w:bCs/>
        </w:rPr>
        <w:t>F</w:t>
      </w:r>
      <w:r w:rsidRPr="00994DEB">
        <w:rPr>
          <w:b/>
          <w:bCs/>
        </w:rPr>
        <w:t>ig. S</w:t>
      </w:r>
      <w:r w:rsidR="00473F2D">
        <w:rPr>
          <w:b/>
          <w:bCs/>
        </w:rPr>
        <w:t>5</w:t>
      </w:r>
      <w:r>
        <w:t xml:space="preserve"> </w:t>
      </w:r>
      <w:r w:rsidR="00994DEB">
        <w:t xml:space="preserve">Sub-retinal microglia changes of mice aged 8 w and 9 m following </w:t>
      </w:r>
      <w:proofErr w:type="spellStart"/>
      <w:r w:rsidR="00994DEB" w:rsidRPr="00E37621">
        <w:t>γ</w:t>
      </w:r>
      <w:r w:rsidR="00994DEB">
        <w:t>FL</w:t>
      </w:r>
      <w:proofErr w:type="spellEnd"/>
      <w:r w:rsidR="00994DEB">
        <w:t xml:space="preserve"> treatment. R</w:t>
      </w:r>
      <w:r w:rsidR="00994DEB">
        <w:rPr>
          <w:rFonts w:hint="eastAsia"/>
        </w:rPr>
        <w:t>ed</w:t>
      </w:r>
      <w:r w:rsidR="00994DEB">
        <w:t xml:space="preserve">, MHC-II; green, IBA-1; </w:t>
      </w:r>
      <w:r w:rsidR="00994DEB">
        <w:rPr>
          <w:rFonts w:hint="eastAsia"/>
        </w:rPr>
        <w:t>b</w:t>
      </w:r>
      <w:r w:rsidR="00994DEB">
        <w:t>lue, IB4</w:t>
      </w:r>
      <w:r w:rsidR="00994DEB">
        <w:rPr>
          <w:rFonts w:hint="eastAsia"/>
        </w:rPr>
        <w:t>.</w:t>
      </w:r>
      <w:r w:rsidR="00994DEB">
        <w:t xml:space="preserve"> Scar bar, 200 </w:t>
      </w:r>
      <w:proofErr w:type="spellStart"/>
      <w:r w:rsidR="00994DEB" w:rsidRPr="00E37621">
        <w:t>μ</w:t>
      </w:r>
      <w:r w:rsidR="00994DEB">
        <w:rPr>
          <w:rFonts w:hint="eastAsia"/>
        </w:rPr>
        <w:t>m</w:t>
      </w:r>
      <w:proofErr w:type="spellEnd"/>
      <w:r w:rsidR="00994DEB">
        <w:rPr>
          <w:rFonts w:hint="eastAsia"/>
        </w:rPr>
        <w:t>.</w:t>
      </w:r>
    </w:p>
    <w:p w14:paraId="622D6C44" w14:textId="77777777" w:rsidR="00A20898" w:rsidRDefault="00A20898"/>
    <w:p w14:paraId="718DE671" w14:textId="6BCE7815" w:rsidR="00A15C4A" w:rsidRPr="00994DEB" w:rsidRDefault="00A15C4A"/>
    <w:p w14:paraId="6AE1A15B" w14:textId="6CF81744" w:rsidR="00A15C4A" w:rsidRDefault="00A15C4A"/>
    <w:p w14:paraId="04A18B9C" w14:textId="4475958C" w:rsidR="00A15C4A" w:rsidRDefault="00A15C4A"/>
    <w:p w14:paraId="6DF6E656" w14:textId="5C4AA2DF" w:rsidR="004D1DDA" w:rsidRDefault="004D1DDA">
      <w:pPr>
        <w:widowControl/>
        <w:jc w:val="left"/>
      </w:pPr>
      <w:r>
        <w:br w:type="page"/>
      </w:r>
    </w:p>
    <w:p w14:paraId="36571AA8" w14:textId="206CCD8C" w:rsidR="00A15C4A" w:rsidRDefault="004D1DDA" w:rsidP="004D1DDA">
      <w:pPr>
        <w:jc w:val="center"/>
      </w:pPr>
      <w:r>
        <w:rPr>
          <w:noProof/>
        </w:rPr>
        <w:lastRenderedPageBreak/>
        <w:drawing>
          <wp:inline distT="0" distB="0" distL="0" distR="0" wp14:anchorId="341684F0" wp14:editId="1E4EFC86">
            <wp:extent cx="4631690" cy="4622165"/>
            <wp:effectExtent l="0" t="0" r="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1690" cy="462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18E28" w14:textId="4F498FC8" w:rsidR="004D1DDA" w:rsidRDefault="004D1DDA"/>
    <w:p w14:paraId="541DD109" w14:textId="4FE70331" w:rsidR="004D1DDA" w:rsidRDefault="004D1DDA">
      <w:r w:rsidRPr="004D1DDA">
        <w:rPr>
          <w:rFonts w:hint="eastAsia"/>
          <w:b/>
          <w:bCs/>
        </w:rPr>
        <w:t>F</w:t>
      </w:r>
      <w:r w:rsidRPr="004D1DDA">
        <w:rPr>
          <w:b/>
          <w:bCs/>
        </w:rPr>
        <w:t>ig. S</w:t>
      </w:r>
      <w:r w:rsidR="00473F2D">
        <w:rPr>
          <w:b/>
          <w:bCs/>
        </w:rPr>
        <w:t>6</w:t>
      </w:r>
      <w:r>
        <w:t xml:space="preserve"> Expression of</w:t>
      </w:r>
      <w:r w:rsidRPr="004D1DDA">
        <w:rPr>
          <w:i/>
          <w:iCs/>
        </w:rPr>
        <w:t xml:space="preserve"> Glb1</w:t>
      </w:r>
      <w:r>
        <w:t xml:space="preserve">, </w:t>
      </w:r>
      <w:r w:rsidRPr="004D1DDA">
        <w:rPr>
          <w:i/>
          <w:iCs/>
        </w:rPr>
        <w:t>C3</w:t>
      </w:r>
      <w:r>
        <w:t xml:space="preserve">, and </w:t>
      </w:r>
      <w:r w:rsidRPr="004D1DDA">
        <w:rPr>
          <w:i/>
          <w:iCs/>
        </w:rPr>
        <w:t xml:space="preserve">Rage </w:t>
      </w:r>
      <w:r>
        <w:rPr>
          <w:rFonts w:hint="eastAsia"/>
        </w:rPr>
        <w:t>in</w:t>
      </w:r>
      <w:r>
        <w:t xml:space="preserve"> the neural retina and RPE on day 3 post intravitreal injection of A</w:t>
      </w:r>
      <w:r w:rsidRPr="004D1DDA">
        <w:t>β</w:t>
      </w:r>
      <w:r>
        <w:rPr>
          <w:rFonts w:hint="eastAsia"/>
        </w:rPr>
        <w:t>.</w:t>
      </w:r>
      <w:r>
        <w:t xml:space="preserve"> </w:t>
      </w:r>
      <w:r>
        <w:rPr>
          <w:rFonts w:eastAsia="楷体"/>
        </w:rPr>
        <w:t xml:space="preserve">Data </w:t>
      </w:r>
      <w:r w:rsidRPr="009B4FC5">
        <w:rPr>
          <w:rFonts w:eastAsia="宋体"/>
        </w:rPr>
        <w:t>are shown as the mean ± SD (</w:t>
      </w:r>
      <w:r w:rsidRPr="009B4FC5">
        <w:rPr>
          <w:rFonts w:eastAsia="楷体" w:hint="eastAsia"/>
        </w:rPr>
        <w:t>n</w:t>
      </w:r>
      <w:r w:rsidRPr="009B4FC5">
        <w:rPr>
          <w:rFonts w:eastAsia="楷体"/>
        </w:rPr>
        <w:t xml:space="preserve"> = </w:t>
      </w:r>
      <w:r>
        <w:rPr>
          <w:rFonts w:eastAsia="楷体"/>
        </w:rPr>
        <w:t>3</w:t>
      </w:r>
      <w:r w:rsidRPr="009B4FC5">
        <w:rPr>
          <w:rFonts w:eastAsia="楷体"/>
        </w:rPr>
        <w:t xml:space="preserve"> per group</w:t>
      </w:r>
      <w:r w:rsidRPr="009B4FC5">
        <w:rPr>
          <w:rFonts w:eastAsia="楷体" w:hint="eastAsia"/>
        </w:rPr>
        <w:t>,</w:t>
      </w:r>
      <w:r>
        <w:rPr>
          <w:rFonts w:eastAsia="楷体"/>
        </w:rPr>
        <w:t xml:space="preserve"> unpaired</w:t>
      </w:r>
      <w:r w:rsidRPr="009B4FC5">
        <w:rPr>
          <w:rFonts w:eastAsia="楷体"/>
        </w:rPr>
        <w:t xml:space="preserve"> </w:t>
      </w:r>
      <w:r>
        <w:rPr>
          <w:rFonts w:eastAsia="楷体"/>
        </w:rPr>
        <w:t>t test</w:t>
      </w:r>
      <w:r w:rsidRPr="009B4FC5">
        <w:rPr>
          <w:rFonts w:eastAsia="楷体"/>
        </w:rPr>
        <w:t xml:space="preserve">, </w:t>
      </w:r>
      <w:r w:rsidRPr="009B4FC5">
        <w:rPr>
          <w:rFonts w:eastAsia="楷体" w:hint="eastAsia"/>
        </w:rPr>
        <w:t>*</w:t>
      </w:r>
      <w:r w:rsidRPr="009B4FC5">
        <w:rPr>
          <w:rFonts w:eastAsia="楷体"/>
          <w:i/>
          <w:iCs/>
        </w:rPr>
        <w:t>P</w:t>
      </w:r>
      <w:r w:rsidRPr="009B4FC5">
        <w:rPr>
          <w:rFonts w:eastAsia="楷体"/>
        </w:rPr>
        <w:t xml:space="preserve"> &lt; 0.0</w:t>
      </w:r>
      <w:r>
        <w:rPr>
          <w:rFonts w:eastAsia="楷体"/>
        </w:rPr>
        <w:t xml:space="preserve">5, </w:t>
      </w:r>
      <w:r w:rsidRPr="009B4FC5">
        <w:rPr>
          <w:rFonts w:eastAsia="楷体" w:hint="eastAsia"/>
        </w:rPr>
        <w:t>**</w:t>
      </w:r>
      <w:r w:rsidRPr="009B4FC5">
        <w:rPr>
          <w:rFonts w:eastAsia="楷体"/>
          <w:i/>
          <w:iCs/>
        </w:rPr>
        <w:t>P</w:t>
      </w:r>
      <w:r w:rsidRPr="009B4FC5">
        <w:rPr>
          <w:rFonts w:eastAsia="楷体"/>
        </w:rPr>
        <w:t xml:space="preserve"> &lt; 0.01).</w:t>
      </w:r>
      <w:r>
        <w:t xml:space="preserve"> </w:t>
      </w:r>
    </w:p>
    <w:p w14:paraId="4FEF1803" w14:textId="2278FA11" w:rsidR="004D1DDA" w:rsidRDefault="004D1DDA"/>
    <w:p w14:paraId="161E22E3" w14:textId="1D2D2799" w:rsidR="004D1DDA" w:rsidRDefault="004D1DDA"/>
    <w:p w14:paraId="6854D6D8" w14:textId="19C31A80" w:rsidR="004D1DDA" w:rsidRDefault="004D1DDA"/>
    <w:p w14:paraId="6CDC67E7" w14:textId="5E8B0D17" w:rsidR="004D1DDA" w:rsidRDefault="004D1DDA"/>
    <w:p w14:paraId="241B3D8B" w14:textId="77777777" w:rsidR="00D47513" w:rsidRDefault="00D47513">
      <w:pPr>
        <w:sectPr w:rsidR="00D47513" w:rsidSect="00A15C4A">
          <w:pgSz w:w="11906" w:h="16838"/>
          <w:pgMar w:top="1134" w:right="1134" w:bottom="1134" w:left="1134" w:header="851" w:footer="992" w:gutter="0"/>
          <w:cols w:space="425"/>
          <w:docGrid w:type="lines" w:linePitch="326"/>
        </w:sectPr>
      </w:pPr>
    </w:p>
    <w:p w14:paraId="17821515" w14:textId="2DACBA10" w:rsidR="004D1DDA" w:rsidRPr="00D47513" w:rsidRDefault="00D47513" w:rsidP="00D47513">
      <w:pPr>
        <w:jc w:val="center"/>
      </w:pPr>
      <w:r>
        <w:rPr>
          <w:noProof/>
        </w:rPr>
        <w:lastRenderedPageBreak/>
        <w:drawing>
          <wp:inline distT="0" distB="0" distL="0" distR="0" wp14:anchorId="26EAE3A8" wp14:editId="32BFA684">
            <wp:extent cx="3048000" cy="4380230"/>
            <wp:effectExtent l="0" t="0" r="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438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E3BF3" w14:textId="3B2ED0A4" w:rsidR="004D1DDA" w:rsidRDefault="004D1DDA"/>
    <w:p w14:paraId="0E06E4B2" w14:textId="1CFB5001" w:rsidR="004D1DDA" w:rsidRPr="004D1DDA" w:rsidRDefault="00D47513">
      <w:r w:rsidRPr="006759F5">
        <w:rPr>
          <w:rFonts w:hint="eastAsia"/>
          <w:b/>
          <w:bCs/>
        </w:rPr>
        <w:t>F</w:t>
      </w:r>
      <w:r w:rsidRPr="006759F5">
        <w:rPr>
          <w:b/>
          <w:bCs/>
        </w:rPr>
        <w:t xml:space="preserve">ig. </w:t>
      </w:r>
      <w:r>
        <w:rPr>
          <w:b/>
          <w:bCs/>
        </w:rPr>
        <w:t>S7</w:t>
      </w:r>
      <w:r>
        <w:t xml:space="preserve"> A p</w:t>
      </w:r>
      <w:r w:rsidRPr="00577287">
        <w:t xml:space="preserve">ossible mechanism </w:t>
      </w:r>
      <w:r>
        <w:t xml:space="preserve">where </w:t>
      </w:r>
      <w:proofErr w:type="spellStart"/>
      <w:r w:rsidRPr="00577287">
        <w:t>γFL</w:t>
      </w:r>
      <w:proofErr w:type="spellEnd"/>
      <w:r w:rsidRPr="00577287">
        <w:t xml:space="preserve"> </w:t>
      </w:r>
      <w:r>
        <w:t xml:space="preserve">treatment </w:t>
      </w:r>
      <w:r w:rsidRPr="00577287">
        <w:t>regulate</w:t>
      </w:r>
      <w:r>
        <w:t xml:space="preserve">s retinal </w:t>
      </w:r>
      <w:r w:rsidRPr="00577287">
        <w:t xml:space="preserve">microglia phagocytosis and MHC-II antigen presentation </w:t>
      </w:r>
      <w:r>
        <w:t>during</w:t>
      </w:r>
      <w:r w:rsidRPr="00577287">
        <w:t xml:space="preserve"> aging</w:t>
      </w:r>
      <w:r>
        <w:t xml:space="preserve">. </w:t>
      </w:r>
      <w:r w:rsidRPr="00C21B2B">
        <w:rPr>
          <w:rFonts w:eastAsia="宋体"/>
        </w:rPr>
        <w:t>With ag</w:t>
      </w:r>
      <w:r>
        <w:rPr>
          <w:rFonts w:eastAsia="宋体"/>
        </w:rPr>
        <w:t>ing</w:t>
      </w:r>
      <w:r w:rsidRPr="00C21B2B">
        <w:rPr>
          <w:rFonts w:eastAsia="宋体"/>
        </w:rPr>
        <w:t xml:space="preserve">, the increase of aging-related antigens and the decrease of microglia clearance ability formed a slow cycle with each other. However, the intervention of </w:t>
      </w:r>
      <w:proofErr w:type="spellStart"/>
      <w:r w:rsidRPr="00C21B2B">
        <w:rPr>
          <w:rFonts w:eastAsia="宋体"/>
        </w:rPr>
        <w:t>γFL</w:t>
      </w:r>
      <w:proofErr w:type="spellEnd"/>
      <w:r w:rsidRPr="00C21B2B">
        <w:rPr>
          <w:rFonts w:eastAsia="宋体"/>
        </w:rPr>
        <w:t xml:space="preserve"> </w:t>
      </w:r>
      <w:r>
        <w:rPr>
          <w:rFonts w:eastAsia="宋体"/>
        </w:rPr>
        <w:t xml:space="preserve">modulates the microglia and enhances the phagocytosis and presentation of </w:t>
      </w:r>
      <w:r w:rsidRPr="00C21B2B">
        <w:rPr>
          <w:rFonts w:eastAsia="宋体"/>
        </w:rPr>
        <w:t>aging-related proteins</w:t>
      </w:r>
      <w:r>
        <w:rPr>
          <w:rFonts w:eastAsia="宋体"/>
        </w:rPr>
        <w:t xml:space="preserve">, inducing a compensation for the </w:t>
      </w:r>
      <w:r w:rsidRPr="00C21B2B">
        <w:rPr>
          <w:rFonts w:eastAsia="宋体"/>
        </w:rPr>
        <w:t>clearance ability of microglia,</w:t>
      </w:r>
      <w:r>
        <w:rPr>
          <w:rFonts w:eastAsia="宋体"/>
        </w:rPr>
        <w:t xml:space="preserve"> </w:t>
      </w:r>
      <w:r w:rsidRPr="00C21B2B">
        <w:rPr>
          <w:rFonts w:eastAsia="宋体"/>
        </w:rPr>
        <w:t xml:space="preserve">thus interrupting the vicious cycle between aging </w:t>
      </w:r>
      <w:r>
        <w:rPr>
          <w:rFonts w:eastAsia="宋体"/>
        </w:rPr>
        <w:t>waste</w:t>
      </w:r>
      <w:r w:rsidRPr="00C21B2B">
        <w:rPr>
          <w:rFonts w:eastAsia="宋体"/>
        </w:rPr>
        <w:t xml:space="preserve"> accumulation and microglia inhibition.</w:t>
      </w:r>
    </w:p>
    <w:sectPr w:rsidR="004D1DDA" w:rsidRPr="004D1DDA" w:rsidSect="00A15C4A">
      <w:pgSz w:w="11906" w:h="16838"/>
      <w:pgMar w:top="1134" w:right="1134" w:bottom="1134" w:left="1134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0C2909" w14:textId="77777777" w:rsidR="004D4285" w:rsidRDefault="004D4285" w:rsidP="00A15C4A">
      <w:r>
        <w:separator/>
      </w:r>
    </w:p>
  </w:endnote>
  <w:endnote w:type="continuationSeparator" w:id="0">
    <w:p w14:paraId="44C245AC" w14:textId="77777777" w:rsidR="004D4285" w:rsidRDefault="004D4285" w:rsidP="00A15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FF353F" w14:textId="77777777" w:rsidR="004D4285" w:rsidRDefault="004D4285" w:rsidP="00A15C4A">
      <w:r>
        <w:separator/>
      </w:r>
    </w:p>
  </w:footnote>
  <w:footnote w:type="continuationSeparator" w:id="0">
    <w:p w14:paraId="1A2142DE" w14:textId="77777777" w:rsidR="004D4285" w:rsidRDefault="004D4285" w:rsidP="00A15C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3F2"/>
    <w:rsid w:val="001248E0"/>
    <w:rsid w:val="00162128"/>
    <w:rsid w:val="001643F2"/>
    <w:rsid w:val="001848CB"/>
    <w:rsid w:val="002C4EE1"/>
    <w:rsid w:val="00473F2D"/>
    <w:rsid w:val="004D1DDA"/>
    <w:rsid w:val="004D4285"/>
    <w:rsid w:val="004E649E"/>
    <w:rsid w:val="005E0F8B"/>
    <w:rsid w:val="005F17C3"/>
    <w:rsid w:val="00697AA1"/>
    <w:rsid w:val="00985DBB"/>
    <w:rsid w:val="00994DEB"/>
    <w:rsid w:val="009E09BA"/>
    <w:rsid w:val="00A15C4A"/>
    <w:rsid w:val="00A20898"/>
    <w:rsid w:val="00B03312"/>
    <w:rsid w:val="00B83321"/>
    <w:rsid w:val="00CA25E5"/>
    <w:rsid w:val="00D47513"/>
    <w:rsid w:val="00E37621"/>
    <w:rsid w:val="00E91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DB035D"/>
  <w15:chartTrackingRefBased/>
  <w15:docId w15:val="{0E82876F-F989-4B84-BC43-AA5B21FD0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仿宋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5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5C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5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5C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8</Pages>
  <Words>347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盛 旺</dc:creator>
  <cp:keywords/>
  <dc:description/>
  <cp:lastModifiedBy>盛 旺</cp:lastModifiedBy>
  <cp:revision>13</cp:revision>
  <dcterms:created xsi:type="dcterms:W3CDTF">2022-04-12T11:13:00Z</dcterms:created>
  <dcterms:modified xsi:type="dcterms:W3CDTF">2023-01-02T16:00:00Z</dcterms:modified>
</cp:coreProperties>
</file>