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C691C7" w14:textId="77777777" w:rsidR="00195068" w:rsidRDefault="00195068" w:rsidP="00195068">
      <w:pPr>
        <w:pStyle w:val="Heading1"/>
      </w:pPr>
      <w:r>
        <w:rPr>
          <w:color w:val="FF0000"/>
        </w:rPr>
        <w:t>ANNEX-1</w:t>
      </w:r>
      <w:r w:rsidRPr="00122D0E">
        <w:rPr>
          <w:color w:val="FF0000"/>
        </w:rPr>
        <w:t xml:space="preserve"> Adapted COATS framework for the TS/S initiative</w:t>
      </w:r>
    </w:p>
    <w:p w14:paraId="40D359BB" w14:textId="77777777" w:rsidR="00195068" w:rsidRPr="00A27B92" w:rsidRDefault="00195068" w:rsidP="00195068"/>
    <w:tbl>
      <w:tblPr>
        <w:tblStyle w:val="TableGrid"/>
        <w:tblW w:w="0" w:type="auto"/>
        <w:tblLook w:val="04A0" w:firstRow="1" w:lastRow="0" w:firstColumn="1" w:lastColumn="0" w:noHBand="0" w:noVBand="1"/>
      </w:tblPr>
      <w:tblGrid>
        <w:gridCol w:w="4045"/>
        <w:gridCol w:w="2340"/>
        <w:gridCol w:w="2965"/>
      </w:tblGrid>
      <w:tr w:rsidR="00195068" w:rsidRPr="00A27B92" w14:paraId="78325DCC" w14:textId="77777777" w:rsidTr="009C00E4">
        <w:tc>
          <w:tcPr>
            <w:tcW w:w="6385" w:type="dxa"/>
            <w:gridSpan w:val="2"/>
            <w:shd w:val="clear" w:color="auto" w:fill="E2EFD9" w:themeFill="accent6" w:themeFillTint="33"/>
          </w:tcPr>
          <w:p w14:paraId="07263DFE" w14:textId="77777777" w:rsidR="00195068" w:rsidRPr="00A27B92" w:rsidRDefault="00195068" w:rsidP="009C00E4">
            <w:pPr>
              <w:rPr>
                <w:rFonts w:ascii="Gill Sans MT" w:hAnsi="Gill Sans MT"/>
                <w:szCs w:val="20"/>
              </w:rPr>
            </w:pPr>
            <w:r w:rsidRPr="00A27B92">
              <w:rPr>
                <w:rFonts w:ascii="Gill Sans MT" w:hAnsi="Gill Sans MT"/>
                <w:b/>
                <w:szCs w:val="20"/>
              </w:rPr>
              <w:t>DEFINITION</w:t>
            </w:r>
            <w:r w:rsidRPr="00A27B92">
              <w:rPr>
                <w:rFonts w:ascii="Gill Sans MT" w:hAnsi="Gill Sans MT"/>
                <w:szCs w:val="20"/>
              </w:rPr>
              <w:t>: task shifting and task sharing (TS/S) involves the redistribution or delegation of nutrition care tasks within workforces and communities. In these initiative selected services are shifted and shared from HEWs to HDAs</w:t>
            </w:r>
          </w:p>
          <w:p w14:paraId="6124F1B1" w14:textId="77777777" w:rsidR="00195068" w:rsidRPr="00A27B92" w:rsidRDefault="00195068" w:rsidP="009C00E4">
            <w:pPr>
              <w:rPr>
                <w:rFonts w:ascii="Gill Sans MT" w:hAnsi="Gill Sans MT"/>
                <w:szCs w:val="20"/>
              </w:rPr>
            </w:pPr>
            <w:r w:rsidRPr="00A27B92">
              <w:rPr>
                <w:rFonts w:ascii="Gill Sans MT" w:hAnsi="Gill Sans MT"/>
                <w:b/>
                <w:szCs w:val="20"/>
              </w:rPr>
              <w:t>Task shifting</w:t>
            </w:r>
            <w:r w:rsidRPr="00A27B92">
              <w:rPr>
                <w:rFonts w:ascii="Gill Sans MT" w:hAnsi="Gill Sans MT"/>
                <w:szCs w:val="20"/>
              </w:rPr>
              <w:t xml:space="preserve"> occurs when a task is transferred or delegated. In this particular initiative, monthly acute malnutrition screening (MUAC and edema), monthly GMP, and cooking demonstration are shifted from HEWs to the HDAs</w:t>
            </w:r>
          </w:p>
          <w:p w14:paraId="61590AE2" w14:textId="77777777" w:rsidR="00195068" w:rsidRPr="00A27B92" w:rsidRDefault="00195068" w:rsidP="009C00E4">
            <w:pPr>
              <w:rPr>
                <w:szCs w:val="20"/>
              </w:rPr>
            </w:pPr>
            <w:r w:rsidRPr="00A27B92">
              <w:rPr>
                <w:rFonts w:ascii="Gill Sans MT" w:hAnsi="Gill Sans MT"/>
                <w:b/>
                <w:szCs w:val="20"/>
              </w:rPr>
              <w:t xml:space="preserve">Task sharing </w:t>
            </w:r>
            <w:r w:rsidRPr="00A27B92">
              <w:rPr>
                <w:rFonts w:ascii="Gill Sans MT" w:hAnsi="Gill Sans MT"/>
                <w:szCs w:val="20"/>
              </w:rPr>
              <w:t xml:space="preserve">occurs when tasks are completed collaboratively between the providers with the different levels of competencies. In this initiative, the role of </w:t>
            </w:r>
            <w:r w:rsidRPr="00A27B92">
              <w:rPr>
                <w:rFonts w:ascii="Gill Sans MT" w:hAnsi="Gill Sans MT"/>
                <w:i/>
                <w:szCs w:val="20"/>
              </w:rPr>
              <w:t>tracing and linking VAS and deworming targeted children</w:t>
            </w:r>
            <w:r w:rsidRPr="00A27B92">
              <w:rPr>
                <w:rFonts w:ascii="Gill Sans MT" w:hAnsi="Gill Sans MT"/>
                <w:szCs w:val="20"/>
              </w:rPr>
              <w:t xml:space="preserve"> was assigned to HDAs, while HEWs do the actual provision of the drugs.</w:t>
            </w:r>
          </w:p>
        </w:tc>
        <w:tc>
          <w:tcPr>
            <w:tcW w:w="2965" w:type="dxa"/>
            <w:shd w:val="clear" w:color="auto" w:fill="E2EFD9" w:themeFill="accent6" w:themeFillTint="33"/>
          </w:tcPr>
          <w:p w14:paraId="30037C69" w14:textId="77777777" w:rsidR="00195068" w:rsidRPr="00A27B92" w:rsidRDefault="00195068" w:rsidP="009C00E4">
            <w:pPr>
              <w:spacing w:before="240"/>
              <w:rPr>
                <w:szCs w:val="20"/>
              </w:rPr>
            </w:pPr>
            <w:r w:rsidRPr="00A27B92">
              <w:rPr>
                <w:rFonts w:ascii="Gill Sans MT" w:hAnsi="Gill Sans MT"/>
                <w:b/>
                <w:szCs w:val="20"/>
              </w:rPr>
              <w:t>PURPOSE:</w:t>
            </w:r>
            <w:r w:rsidRPr="00A27B92">
              <w:rPr>
                <w:rFonts w:ascii="Gill Sans MT" w:hAnsi="Gill Sans MT"/>
                <w:szCs w:val="20"/>
              </w:rPr>
              <w:t xml:space="preserve"> The general purpose of the TS/S is to enhance equity by meeting the needs of underserved populations with nutrition care redistribution and delegation without compromising the standards of care, including maintaining safety and quality</w:t>
            </w:r>
          </w:p>
          <w:p w14:paraId="10C888BC" w14:textId="77777777" w:rsidR="00195068" w:rsidRPr="00A27B92" w:rsidRDefault="00195068" w:rsidP="009C00E4">
            <w:pPr>
              <w:rPr>
                <w:rFonts w:ascii="Gill Sans MT" w:hAnsi="Gill Sans MT"/>
                <w:color w:val="333333"/>
                <w:szCs w:val="20"/>
                <w:shd w:val="clear" w:color="auto" w:fill="FFFFFF"/>
              </w:rPr>
            </w:pPr>
          </w:p>
        </w:tc>
      </w:tr>
      <w:tr w:rsidR="00195068" w:rsidRPr="00A27B92" w14:paraId="2EBF97FE" w14:textId="77777777" w:rsidTr="009C00E4">
        <w:tc>
          <w:tcPr>
            <w:tcW w:w="9350" w:type="dxa"/>
            <w:gridSpan w:val="3"/>
            <w:tcBorders>
              <w:bottom w:val="single" w:sz="4" w:space="0" w:color="auto"/>
            </w:tcBorders>
            <w:shd w:val="clear" w:color="auto" w:fill="DEEAF6" w:themeFill="accent5" w:themeFillTint="33"/>
          </w:tcPr>
          <w:p w14:paraId="3F456295" w14:textId="77777777" w:rsidR="00195068" w:rsidRPr="00A27B92" w:rsidRDefault="00195068" w:rsidP="009C00E4">
            <w:pPr>
              <w:rPr>
                <w:rFonts w:ascii="Gill Sans MT" w:hAnsi="Gill Sans MT"/>
                <w:szCs w:val="20"/>
              </w:rPr>
            </w:pPr>
            <w:r w:rsidRPr="00A27B92">
              <w:rPr>
                <w:rFonts w:ascii="Gill Sans MT" w:hAnsi="Gill Sans MT"/>
                <w:b/>
                <w:szCs w:val="20"/>
              </w:rPr>
              <w:t xml:space="preserve">OPPORTUNITIES: </w:t>
            </w:r>
            <w:r w:rsidRPr="00A27B92">
              <w:rPr>
                <w:rFonts w:ascii="Gill Sans MT" w:hAnsi="Gill Sans MT"/>
                <w:szCs w:val="20"/>
              </w:rPr>
              <w:t xml:space="preserve">The TS/S will offer the following health system improvement opportunities </w:t>
            </w:r>
          </w:p>
          <w:p w14:paraId="63E3B130" w14:textId="77777777" w:rsidR="00195068" w:rsidRPr="00A27B92" w:rsidRDefault="00195068" w:rsidP="00195068">
            <w:pPr>
              <w:pStyle w:val="ListParagraph"/>
              <w:numPr>
                <w:ilvl w:val="0"/>
                <w:numId w:val="1"/>
              </w:numPr>
              <w:rPr>
                <w:rFonts w:ascii="Gill Sans MT" w:hAnsi="Gill Sans MT"/>
                <w:b/>
                <w:szCs w:val="20"/>
              </w:rPr>
            </w:pPr>
            <w:r w:rsidRPr="00A27B92">
              <w:rPr>
                <w:rFonts w:ascii="Gill Sans MT" w:hAnsi="Gill Sans MT"/>
                <w:b/>
                <w:szCs w:val="20"/>
              </w:rPr>
              <w:t xml:space="preserve">Diversify care options </w:t>
            </w:r>
            <w:r w:rsidRPr="00A27B92">
              <w:rPr>
                <w:rFonts w:ascii="Gill Sans MT" w:hAnsi="Gill Sans MT"/>
                <w:szCs w:val="20"/>
              </w:rPr>
              <w:t>and modes of delivering nutrition care</w:t>
            </w:r>
          </w:p>
          <w:p w14:paraId="31116E15" w14:textId="77777777" w:rsidR="00195068" w:rsidRPr="00A27B92" w:rsidRDefault="00195068" w:rsidP="00195068">
            <w:pPr>
              <w:pStyle w:val="ListParagraph"/>
              <w:numPr>
                <w:ilvl w:val="0"/>
                <w:numId w:val="1"/>
              </w:numPr>
              <w:rPr>
                <w:rFonts w:ascii="Gill Sans MT" w:hAnsi="Gill Sans MT"/>
                <w:b/>
                <w:szCs w:val="20"/>
              </w:rPr>
            </w:pPr>
            <w:r w:rsidRPr="00A27B92">
              <w:rPr>
                <w:rFonts w:ascii="Gill Sans MT" w:hAnsi="Gill Sans MT"/>
                <w:b/>
                <w:szCs w:val="20"/>
              </w:rPr>
              <w:t>Redistribution of responsibilities within the different teams,</w:t>
            </w:r>
            <w:r w:rsidRPr="00A27B92">
              <w:rPr>
                <w:rFonts w:ascii="Gill Sans MT" w:hAnsi="Gill Sans MT"/>
                <w:szCs w:val="20"/>
              </w:rPr>
              <w:t xml:space="preserve"> enabling HEWs to focus on training , supervision and management of difficult cases </w:t>
            </w:r>
          </w:p>
          <w:p w14:paraId="04B8E7D6" w14:textId="77777777" w:rsidR="00195068" w:rsidRPr="00A27B92" w:rsidRDefault="00195068" w:rsidP="00195068">
            <w:pPr>
              <w:pStyle w:val="ListParagraph"/>
              <w:numPr>
                <w:ilvl w:val="0"/>
                <w:numId w:val="1"/>
              </w:numPr>
              <w:rPr>
                <w:rFonts w:ascii="Gill Sans MT" w:hAnsi="Gill Sans MT"/>
                <w:b/>
                <w:szCs w:val="20"/>
              </w:rPr>
            </w:pPr>
            <w:r w:rsidRPr="00A27B92">
              <w:rPr>
                <w:rFonts w:ascii="Gill Sans MT" w:hAnsi="Gill Sans MT"/>
                <w:b/>
                <w:szCs w:val="20"/>
              </w:rPr>
              <w:t xml:space="preserve">Deliver more contextually appropriate care </w:t>
            </w:r>
            <w:r w:rsidRPr="00A27B92">
              <w:rPr>
                <w:rFonts w:ascii="Gill Sans MT" w:hAnsi="Gill Sans MT"/>
                <w:szCs w:val="20"/>
              </w:rPr>
              <w:t>with the delivery of care by HDAs who have closer relationship and proximity to the communities.</w:t>
            </w:r>
          </w:p>
          <w:p w14:paraId="44A2A5CE" w14:textId="77777777" w:rsidR="00195068" w:rsidRPr="00A27B92" w:rsidRDefault="00195068" w:rsidP="00195068">
            <w:pPr>
              <w:pStyle w:val="ListParagraph"/>
              <w:numPr>
                <w:ilvl w:val="0"/>
                <w:numId w:val="1"/>
              </w:numPr>
              <w:rPr>
                <w:rFonts w:ascii="Gill Sans MT" w:hAnsi="Gill Sans MT"/>
                <w:color w:val="333333"/>
                <w:szCs w:val="20"/>
                <w:shd w:val="clear" w:color="auto" w:fill="FFFFFF"/>
              </w:rPr>
            </w:pPr>
            <w:r w:rsidRPr="00A27B92">
              <w:rPr>
                <w:rFonts w:ascii="Gill Sans MT" w:hAnsi="Gill Sans MT"/>
                <w:b/>
                <w:szCs w:val="20"/>
              </w:rPr>
              <w:t xml:space="preserve">The addition of skills and knowledge will motivate HDAs </w:t>
            </w:r>
            <w:r w:rsidRPr="00A27B92">
              <w:rPr>
                <w:rFonts w:ascii="Gill Sans MT" w:hAnsi="Gill Sans MT"/>
                <w:szCs w:val="20"/>
              </w:rPr>
              <w:t>and will also bring recognition from the communities they serve</w:t>
            </w:r>
          </w:p>
        </w:tc>
      </w:tr>
      <w:tr w:rsidR="00195068" w:rsidRPr="00A27B92" w14:paraId="5ABEE082" w14:textId="77777777" w:rsidTr="009C00E4">
        <w:tc>
          <w:tcPr>
            <w:tcW w:w="9350" w:type="dxa"/>
            <w:gridSpan w:val="3"/>
            <w:tcBorders>
              <w:top w:val="single" w:sz="4" w:space="0" w:color="auto"/>
              <w:left w:val="single" w:sz="4" w:space="0" w:color="auto"/>
              <w:bottom w:val="nil"/>
              <w:right w:val="single" w:sz="4" w:space="0" w:color="auto"/>
            </w:tcBorders>
            <w:shd w:val="clear" w:color="auto" w:fill="FBE4D5" w:themeFill="accent2" w:themeFillTint="33"/>
          </w:tcPr>
          <w:p w14:paraId="0736C20B" w14:textId="77777777" w:rsidR="00195068" w:rsidRPr="00A27B92" w:rsidRDefault="00195068" w:rsidP="009C00E4">
            <w:pPr>
              <w:rPr>
                <w:rFonts w:ascii="Gill Sans MT" w:hAnsi="Gill Sans MT"/>
                <w:color w:val="333333"/>
                <w:szCs w:val="20"/>
                <w:shd w:val="clear" w:color="auto" w:fill="FFFFFF"/>
              </w:rPr>
            </w:pPr>
            <w:r w:rsidRPr="00A27B92">
              <w:rPr>
                <w:szCs w:val="20"/>
              </w:rPr>
              <w:br w:type="page"/>
            </w:r>
            <w:r w:rsidRPr="00A27B92">
              <w:rPr>
                <w:rFonts w:ascii="Gill Sans MT" w:hAnsi="Gill Sans MT"/>
                <w:b/>
                <w:szCs w:val="20"/>
              </w:rPr>
              <w:t xml:space="preserve">IMPLEMENTATION CRITERIA: </w:t>
            </w:r>
            <w:r w:rsidRPr="00A27B92">
              <w:rPr>
                <w:rFonts w:ascii="Gill Sans MT" w:hAnsi="Gill Sans MT"/>
                <w:szCs w:val="20"/>
              </w:rPr>
              <w:t xml:space="preserve">The team identified and checked the fulfilments of the following “necessary conditions” and “important considerations” </w:t>
            </w:r>
          </w:p>
        </w:tc>
      </w:tr>
      <w:tr w:rsidR="00195068" w:rsidRPr="00A27B92" w14:paraId="37240085" w14:textId="77777777" w:rsidTr="009C00E4">
        <w:trPr>
          <w:trHeight w:val="4788"/>
        </w:trPr>
        <w:tc>
          <w:tcPr>
            <w:tcW w:w="4045" w:type="dxa"/>
            <w:tcBorders>
              <w:top w:val="nil"/>
              <w:left w:val="single" w:sz="4" w:space="0" w:color="auto"/>
              <w:bottom w:val="single" w:sz="4" w:space="0" w:color="auto"/>
              <w:right w:val="nil"/>
            </w:tcBorders>
            <w:shd w:val="clear" w:color="auto" w:fill="FBE4D5" w:themeFill="accent2" w:themeFillTint="33"/>
          </w:tcPr>
          <w:p w14:paraId="67B7C420" w14:textId="77777777" w:rsidR="00195068" w:rsidRPr="00A27B92" w:rsidRDefault="00195068" w:rsidP="009C00E4">
            <w:pPr>
              <w:jc w:val="center"/>
              <w:rPr>
                <w:rFonts w:ascii="Gill Sans MT" w:hAnsi="Gill Sans MT"/>
                <w:b/>
                <w:i/>
                <w:szCs w:val="20"/>
              </w:rPr>
            </w:pPr>
            <w:r w:rsidRPr="00A27B92">
              <w:rPr>
                <w:rFonts w:ascii="Gill Sans MT" w:hAnsi="Gill Sans MT"/>
                <w:b/>
                <w:i/>
                <w:szCs w:val="20"/>
              </w:rPr>
              <w:t>NECESSARY CONDITIONS</w:t>
            </w:r>
          </w:p>
          <w:p w14:paraId="0FEBE4DB" w14:textId="77777777" w:rsidR="00195068" w:rsidRPr="00A27B92" w:rsidRDefault="00195068" w:rsidP="00195068">
            <w:pPr>
              <w:pStyle w:val="ListParagraph"/>
              <w:numPr>
                <w:ilvl w:val="0"/>
                <w:numId w:val="2"/>
              </w:numPr>
              <w:rPr>
                <w:rFonts w:ascii="Gill Sans MT" w:hAnsi="Gill Sans MT"/>
                <w:szCs w:val="20"/>
              </w:rPr>
            </w:pPr>
            <w:r w:rsidRPr="00A27B92">
              <w:rPr>
                <w:rFonts w:ascii="Gill Sans MT" w:hAnsi="Gill Sans MT"/>
                <w:szCs w:val="20"/>
              </w:rPr>
              <w:t>HDAs are willing to be trained to deliver the intervention, and HEWs are willing to provide the necessary continuous support</w:t>
            </w:r>
          </w:p>
          <w:p w14:paraId="67B7683E" w14:textId="77777777" w:rsidR="00195068" w:rsidRPr="00A27B92" w:rsidRDefault="00195068" w:rsidP="00195068">
            <w:pPr>
              <w:pStyle w:val="ListParagraph"/>
              <w:numPr>
                <w:ilvl w:val="0"/>
                <w:numId w:val="2"/>
              </w:numPr>
              <w:rPr>
                <w:rFonts w:ascii="Gill Sans MT" w:hAnsi="Gill Sans MT"/>
                <w:szCs w:val="20"/>
              </w:rPr>
            </w:pPr>
            <w:r w:rsidRPr="00A27B92">
              <w:rPr>
                <w:rFonts w:ascii="Gill Sans MT" w:hAnsi="Gill Sans MT"/>
                <w:szCs w:val="20"/>
              </w:rPr>
              <w:t>The nutrition problem is difficult to address in the existing context due to work-load lack of appropriate platforms</w:t>
            </w:r>
          </w:p>
          <w:p w14:paraId="022705B1" w14:textId="77777777" w:rsidR="00195068" w:rsidRPr="00A27B92" w:rsidRDefault="00195068" w:rsidP="00195068">
            <w:pPr>
              <w:pStyle w:val="ListParagraph"/>
              <w:numPr>
                <w:ilvl w:val="0"/>
                <w:numId w:val="2"/>
              </w:numPr>
              <w:rPr>
                <w:rFonts w:ascii="Gill Sans MT" w:hAnsi="Gill Sans MT"/>
                <w:szCs w:val="20"/>
              </w:rPr>
            </w:pPr>
            <w:r w:rsidRPr="00A27B92">
              <w:rPr>
                <w:rFonts w:ascii="Gill Sans MT" w:hAnsi="Gill Sans MT"/>
                <w:szCs w:val="20"/>
              </w:rPr>
              <w:t>The intervention can be delivered by the HDAs with less training</w:t>
            </w:r>
          </w:p>
          <w:p w14:paraId="2E1211BF" w14:textId="77777777" w:rsidR="00195068" w:rsidRPr="00A27B92" w:rsidRDefault="00195068" w:rsidP="00195068">
            <w:pPr>
              <w:pStyle w:val="ListParagraph"/>
              <w:numPr>
                <w:ilvl w:val="0"/>
                <w:numId w:val="2"/>
              </w:numPr>
              <w:rPr>
                <w:rFonts w:ascii="Gill Sans MT" w:hAnsi="Gill Sans MT"/>
                <w:color w:val="333333"/>
                <w:szCs w:val="20"/>
                <w:shd w:val="clear" w:color="auto" w:fill="FFFFFF"/>
              </w:rPr>
            </w:pPr>
            <w:r w:rsidRPr="00A27B92">
              <w:rPr>
                <w:rFonts w:ascii="Gill Sans MT" w:hAnsi="Gill Sans MT"/>
                <w:szCs w:val="20"/>
              </w:rPr>
              <w:t xml:space="preserve">There is proof of concept supporting the initiative (e.g. GMP used to be done effectively by volunteers in Ethiopia before it was transitioned to HEP in </w:t>
            </w:r>
            <w:r w:rsidRPr="00A27B92">
              <w:rPr>
                <w:rFonts w:ascii="Gill Sans MT" w:hAnsi="Gill Sans MT"/>
                <w:color w:val="FF0000"/>
                <w:szCs w:val="20"/>
              </w:rPr>
              <w:t>2010</w:t>
            </w:r>
            <w:r w:rsidRPr="00A27B92">
              <w:rPr>
                <w:rFonts w:ascii="Gill Sans MT" w:hAnsi="Gill Sans MT"/>
                <w:szCs w:val="20"/>
              </w:rPr>
              <w:t>. MUAC screening is also being done effectively even by families (Family MUAC).</w:t>
            </w:r>
          </w:p>
        </w:tc>
        <w:tc>
          <w:tcPr>
            <w:tcW w:w="5305" w:type="dxa"/>
            <w:gridSpan w:val="2"/>
            <w:tcBorders>
              <w:top w:val="nil"/>
              <w:left w:val="nil"/>
              <w:bottom w:val="single" w:sz="4" w:space="0" w:color="auto"/>
              <w:right w:val="single" w:sz="4" w:space="0" w:color="auto"/>
            </w:tcBorders>
            <w:shd w:val="clear" w:color="auto" w:fill="FBE4D5" w:themeFill="accent2" w:themeFillTint="33"/>
          </w:tcPr>
          <w:p w14:paraId="063F99F2" w14:textId="77777777" w:rsidR="00195068" w:rsidRPr="00A27B92" w:rsidRDefault="00195068" w:rsidP="009C00E4">
            <w:pPr>
              <w:jc w:val="center"/>
              <w:rPr>
                <w:rFonts w:ascii="Gill Sans MT" w:hAnsi="Gill Sans MT"/>
                <w:b/>
                <w:i/>
                <w:szCs w:val="20"/>
              </w:rPr>
            </w:pPr>
            <w:r w:rsidRPr="00A27B92">
              <w:rPr>
                <w:rFonts w:ascii="Gill Sans MT" w:hAnsi="Gill Sans MT"/>
                <w:b/>
                <w:i/>
                <w:szCs w:val="20"/>
              </w:rPr>
              <w:t>IMPORTANT CONSIDERATIONS</w:t>
            </w:r>
          </w:p>
          <w:p w14:paraId="51017CF4" w14:textId="77777777" w:rsidR="00195068" w:rsidRPr="00A27B92" w:rsidRDefault="00195068" w:rsidP="00195068">
            <w:pPr>
              <w:pStyle w:val="ListParagraph"/>
              <w:numPr>
                <w:ilvl w:val="0"/>
                <w:numId w:val="3"/>
              </w:numPr>
              <w:rPr>
                <w:rFonts w:ascii="Gill Sans MT" w:hAnsi="Gill Sans MT"/>
                <w:szCs w:val="20"/>
              </w:rPr>
            </w:pPr>
            <w:r w:rsidRPr="00A27B92">
              <w:rPr>
                <w:rFonts w:ascii="Gill Sans MT" w:hAnsi="Gill Sans MT"/>
                <w:szCs w:val="20"/>
              </w:rPr>
              <w:t>The initiative can be implemented with minimum cost and can be scaled-up with limited resources</w:t>
            </w:r>
          </w:p>
          <w:p w14:paraId="412384A4" w14:textId="77777777" w:rsidR="00195068" w:rsidRPr="00A27B92" w:rsidRDefault="00195068" w:rsidP="00195068">
            <w:pPr>
              <w:pStyle w:val="ListParagraph"/>
              <w:numPr>
                <w:ilvl w:val="0"/>
                <w:numId w:val="3"/>
              </w:numPr>
              <w:rPr>
                <w:rFonts w:ascii="Gill Sans MT" w:hAnsi="Gill Sans MT"/>
                <w:szCs w:val="20"/>
              </w:rPr>
            </w:pPr>
            <w:r w:rsidRPr="00A27B92">
              <w:rPr>
                <w:rFonts w:ascii="Gill Sans MT" w:hAnsi="Gill Sans MT"/>
                <w:szCs w:val="20"/>
              </w:rPr>
              <w:t>The nutrition problems that will be addressed are important for the population and the health system</w:t>
            </w:r>
          </w:p>
          <w:p w14:paraId="0AA465EB" w14:textId="77777777" w:rsidR="00195068" w:rsidRPr="00A27B92" w:rsidRDefault="00195068" w:rsidP="00195068">
            <w:pPr>
              <w:pStyle w:val="ListParagraph"/>
              <w:numPr>
                <w:ilvl w:val="0"/>
                <w:numId w:val="3"/>
              </w:numPr>
              <w:rPr>
                <w:rFonts w:ascii="Gill Sans MT" w:hAnsi="Gill Sans MT"/>
                <w:szCs w:val="20"/>
              </w:rPr>
            </w:pPr>
            <w:r w:rsidRPr="00A27B92">
              <w:rPr>
                <w:rFonts w:ascii="Gill Sans MT" w:hAnsi="Gill Sans MT"/>
                <w:szCs w:val="20"/>
              </w:rPr>
              <w:t xml:space="preserve">The selected programs/service have protocols or algorithmic elements that can be adapted for training materials and job-aids. </w:t>
            </w:r>
          </w:p>
          <w:p w14:paraId="5FE68FC8" w14:textId="77777777" w:rsidR="00195068" w:rsidRPr="00A27B92" w:rsidRDefault="00195068" w:rsidP="00195068">
            <w:pPr>
              <w:pStyle w:val="ListParagraph"/>
              <w:numPr>
                <w:ilvl w:val="0"/>
                <w:numId w:val="3"/>
              </w:numPr>
              <w:rPr>
                <w:rFonts w:ascii="Gill Sans MT" w:hAnsi="Gill Sans MT"/>
                <w:szCs w:val="20"/>
              </w:rPr>
            </w:pPr>
            <w:r w:rsidRPr="00A27B92">
              <w:rPr>
                <w:rFonts w:ascii="Gill Sans MT" w:hAnsi="Gill Sans MT"/>
                <w:szCs w:val="20"/>
              </w:rPr>
              <w:t>The interventions are socially acceptable</w:t>
            </w:r>
          </w:p>
          <w:p w14:paraId="2B26DA54" w14:textId="77777777" w:rsidR="00195068" w:rsidRPr="00A27B92" w:rsidRDefault="00195068" w:rsidP="009C00E4">
            <w:pPr>
              <w:rPr>
                <w:rFonts w:ascii="Gill Sans MT" w:hAnsi="Gill Sans MT"/>
                <w:i/>
                <w:szCs w:val="20"/>
              </w:rPr>
            </w:pPr>
          </w:p>
          <w:p w14:paraId="0C9286DC" w14:textId="77777777" w:rsidR="00195068" w:rsidRPr="00A27B92" w:rsidRDefault="00195068" w:rsidP="009C00E4">
            <w:pPr>
              <w:jc w:val="center"/>
              <w:rPr>
                <w:rFonts w:ascii="Gill Sans MT" w:hAnsi="Gill Sans MT"/>
                <w:szCs w:val="20"/>
              </w:rPr>
            </w:pPr>
            <w:r w:rsidRPr="00A27B92">
              <w:rPr>
                <w:rFonts w:ascii="Gill Sans MT" w:hAnsi="Gill Sans MT"/>
                <w:b/>
                <w:i/>
                <w:szCs w:val="20"/>
              </w:rPr>
              <w:t>OTHER KEY CONSIDERATION</w:t>
            </w:r>
            <w:r w:rsidRPr="00A27B92">
              <w:rPr>
                <w:rFonts w:ascii="Gill Sans MT" w:hAnsi="Gill Sans MT"/>
                <w:szCs w:val="20"/>
              </w:rPr>
              <w:t xml:space="preserve">: </w:t>
            </w:r>
          </w:p>
          <w:p w14:paraId="6C4C5E31" w14:textId="77777777" w:rsidR="00195068" w:rsidRPr="00A27B92" w:rsidRDefault="00195068" w:rsidP="009C00E4">
            <w:pPr>
              <w:jc w:val="center"/>
              <w:rPr>
                <w:rFonts w:ascii="Gill Sans MT" w:hAnsi="Gill Sans MT"/>
                <w:szCs w:val="20"/>
              </w:rPr>
            </w:pPr>
            <w:r w:rsidRPr="00A27B92">
              <w:rPr>
                <w:rFonts w:ascii="Gill Sans MT" w:hAnsi="Gill Sans MT"/>
                <w:szCs w:val="20"/>
              </w:rPr>
              <w:t>(adapted from WHO recommendations)</w:t>
            </w:r>
          </w:p>
          <w:p w14:paraId="48C66773" w14:textId="77777777" w:rsidR="00195068" w:rsidRPr="00A27B92" w:rsidRDefault="00195068" w:rsidP="00195068">
            <w:pPr>
              <w:numPr>
                <w:ilvl w:val="0"/>
                <w:numId w:val="4"/>
              </w:numPr>
              <w:rPr>
                <w:rFonts w:ascii="Gill Sans MT" w:hAnsi="Gill Sans MT"/>
                <w:szCs w:val="20"/>
              </w:rPr>
            </w:pPr>
            <w:r w:rsidRPr="00A27B92">
              <w:rPr>
                <w:rFonts w:ascii="Gill Sans MT" w:hAnsi="Gill Sans MT"/>
                <w:b/>
                <w:bCs/>
                <w:szCs w:val="20"/>
              </w:rPr>
              <w:t xml:space="preserve">Piloting and learning in small scale </w:t>
            </w:r>
            <w:r w:rsidRPr="00A27B92">
              <w:rPr>
                <w:rFonts w:ascii="Gill Sans MT" w:hAnsi="Gill Sans MT"/>
                <w:szCs w:val="20"/>
              </w:rPr>
              <w:t>before large-scale implementation.</w:t>
            </w:r>
          </w:p>
          <w:p w14:paraId="7E7B851C" w14:textId="77777777" w:rsidR="00195068" w:rsidRPr="00A27B92" w:rsidRDefault="00195068" w:rsidP="00195068">
            <w:pPr>
              <w:numPr>
                <w:ilvl w:val="0"/>
                <w:numId w:val="4"/>
              </w:numPr>
              <w:rPr>
                <w:rFonts w:ascii="Gill Sans MT" w:hAnsi="Gill Sans MT"/>
                <w:szCs w:val="20"/>
              </w:rPr>
            </w:pPr>
            <w:r w:rsidRPr="00A27B92">
              <w:rPr>
                <w:rFonts w:ascii="Gill Sans MT" w:hAnsi="Gill Sans MT"/>
                <w:b/>
                <w:bCs/>
                <w:szCs w:val="20"/>
              </w:rPr>
              <w:t xml:space="preserve">Cost-benefit analysis </w:t>
            </w:r>
            <w:r w:rsidRPr="00A27B92">
              <w:rPr>
                <w:rFonts w:ascii="Gill Sans MT" w:hAnsi="Gill Sans MT"/>
                <w:szCs w:val="20"/>
              </w:rPr>
              <w:t xml:space="preserve">should also be part of the investigation during piloting. </w:t>
            </w:r>
          </w:p>
          <w:p w14:paraId="63AE774F" w14:textId="77777777" w:rsidR="00195068" w:rsidRPr="00A27B92" w:rsidRDefault="00195068" w:rsidP="00195068">
            <w:pPr>
              <w:numPr>
                <w:ilvl w:val="0"/>
                <w:numId w:val="4"/>
              </w:numPr>
              <w:rPr>
                <w:rFonts w:ascii="Gill Sans MT" w:hAnsi="Gill Sans MT"/>
                <w:color w:val="333333"/>
                <w:szCs w:val="20"/>
                <w:shd w:val="clear" w:color="auto" w:fill="FFFFFF"/>
              </w:rPr>
            </w:pPr>
            <w:r w:rsidRPr="00A27B92">
              <w:rPr>
                <w:rFonts w:ascii="Gill Sans MT" w:hAnsi="Gill Sans MT"/>
                <w:szCs w:val="20"/>
              </w:rPr>
              <w:t xml:space="preserve">It must be implemented along with an </w:t>
            </w:r>
            <w:r w:rsidRPr="00A27B92">
              <w:rPr>
                <w:rFonts w:ascii="Gill Sans MT" w:hAnsi="Gill Sans MT"/>
                <w:b/>
                <w:bCs/>
                <w:szCs w:val="20"/>
              </w:rPr>
              <w:t>adequate checks-&amp;-balances</w:t>
            </w:r>
          </w:p>
        </w:tc>
      </w:tr>
    </w:tbl>
    <w:p w14:paraId="7B34BA97" w14:textId="77777777" w:rsidR="00195068" w:rsidRDefault="00195068" w:rsidP="00195068"/>
    <w:p w14:paraId="30E72F9D" w14:textId="77777777" w:rsidR="00195068" w:rsidRDefault="00195068" w:rsidP="00195068">
      <w:r>
        <w:br w:type="page"/>
      </w:r>
    </w:p>
    <w:p w14:paraId="301A5E25" w14:textId="77777777" w:rsidR="00195068" w:rsidRDefault="00195068" w:rsidP="00195068">
      <w:pPr>
        <w:pStyle w:val="Heading1"/>
      </w:pPr>
      <w:r>
        <w:rPr>
          <w:color w:val="FF0000"/>
        </w:rPr>
        <w:lastRenderedPageBreak/>
        <w:t>Annex-2</w:t>
      </w:r>
      <w:r w:rsidRPr="00122D0E">
        <w:rPr>
          <w:color w:val="FF0000"/>
        </w:rPr>
        <w:t xml:space="preserve"> Implementation of the TS/S initiative</w:t>
      </w:r>
    </w:p>
    <w:p w14:paraId="7E9A8F8C" w14:textId="77777777" w:rsidR="00195068" w:rsidRPr="0035078D" w:rsidRDefault="00195068" w:rsidP="00195068">
      <w:pPr>
        <w:rPr>
          <w:rFonts w:ascii="Gill Sans MT" w:hAnsi="Gill Sans MT"/>
          <w:sz w:val="24"/>
        </w:rPr>
      </w:pPr>
      <w:r w:rsidRPr="0035078D">
        <w:rPr>
          <w:rFonts w:ascii="Gill Sans MT" w:hAnsi="Gill Sans MT"/>
          <w:sz w:val="24"/>
        </w:rPr>
        <w:t xml:space="preserve">The initiative was implemented in three phases. </w:t>
      </w:r>
    </w:p>
    <w:p w14:paraId="0A81F376" w14:textId="77777777" w:rsidR="00195068" w:rsidRDefault="00195068" w:rsidP="00195068">
      <w:pPr>
        <w:pStyle w:val="ListParagraph"/>
        <w:numPr>
          <w:ilvl w:val="0"/>
          <w:numId w:val="5"/>
        </w:numPr>
        <w:spacing w:after="0" w:line="240" w:lineRule="auto"/>
      </w:pPr>
      <w:r w:rsidRPr="00232005">
        <w:rPr>
          <w:rFonts w:ascii="Gill Sans MT" w:hAnsi="Gill Sans MT"/>
          <w:b/>
          <w:sz w:val="24"/>
          <w:szCs w:val="24"/>
        </w:rPr>
        <w:t>Phase-1: Baseline assessment</w:t>
      </w:r>
      <w:r w:rsidRPr="00232005">
        <w:rPr>
          <w:rFonts w:ascii="Gill Sans MT" w:hAnsi="Gill Sans MT"/>
          <w:sz w:val="24"/>
          <w:szCs w:val="24"/>
        </w:rPr>
        <w:t xml:space="preserve">: house-to house survey was also conducted to determine nutrition service coverage for monthly MUAC screening, GMP participation and VAS. The coverage was compared with the documented and reported figures. </w:t>
      </w:r>
    </w:p>
    <w:p w14:paraId="3665A440" w14:textId="77777777" w:rsidR="00195068" w:rsidRPr="00232005" w:rsidRDefault="00195068" w:rsidP="00195068">
      <w:pPr>
        <w:pStyle w:val="ListParagraph"/>
        <w:numPr>
          <w:ilvl w:val="0"/>
          <w:numId w:val="5"/>
        </w:numPr>
        <w:spacing w:after="0" w:line="240" w:lineRule="auto"/>
        <w:rPr>
          <w:rFonts w:ascii="Gill Sans MT" w:hAnsi="Gill Sans MT"/>
          <w:sz w:val="24"/>
          <w:szCs w:val="24"/>
        </w:rPr>
      </w:pPr>
      <w:r w:rsidRPr="00232005">
        <w:rPr>
          <w:rFonts w:ascii="Gill Sans MT" w:hAnsi="Gill Sans MT"/>
          <w:b/>
          <w:sz w:val="24"/>
        </w:rPr>
        <w:t xml:space="preserve">Phase-2: The TS/S initiative was launched and implementing: </w:t>
      </w:r>
      <w:r w:rsidRPr="00232005">
        <w:rPr>
          <w:rFonts w:ascii="Gill Sans MT" w:hAnsi="Gill Sans MT"/>
          <w:sz w:val="24"/>
          <w:szCs w:val="24"/>
        </w:rPr>
        <w:t xml:space="preserve">A check and balances is embedded and a monitoring and evaluation system is developed. </w:t>
      </w:r>
    </w:p>
    <w:p w14:paraId="745AEF6F" w14:textId="77777777" w:rsidR="00195068" w:rsidRDefault="00195068" w:rsidP="00195068">
      <w:pPr>
        <w:pStyle w:val="ListParagraph"/>
        <w:numPr>
          <w:ilvl w:val="0"/>
          <w:numId w:val="5"/>
        </w:numPr>
        <w:spacing w:after="0" w:line="240" w:lineRule="auto"/>
        <w:rPr>
          <w:rFonts w:ascii="Gill Sans MT" w:hAnsi="Gill Sans MT"/>
          <w:sz w:val="24"/>
          <w:szCs w:val="24"/>
        </w:rPr>
      </w:pPr>
      <w:r w:rsidRPr="00232005">
        <w:rPr>
          <w:rFonts w:ascii="Gill Sans MT" w:hAnsi="Gill Sans MT"/>
          <w:b/>
          <w:sz w:val="24"/>
          <w:szCs w:val="24"/>
        </w:rPr>
        <w:t xml:space="preserve">Phase-3: Assessment of progress: </w:t>
      </w:r>
      <w:r w:rsidRPr="00232005">
        <w:rPr>
          <w:rFonts w:ascii="Gill Sans MT" w:hAnsi="Gill Sans MT"/>
          <w:sz w:val="24"/>
          <w:szCs w:val="24"/>
        </w:rPr>
        <w:t xml:space="preserve">After eight months of implementation a post intervention household survey is done, documents are reviewed and in-depth interviews were done with HEWs and HDAs. </w:t>
      </w:r>
    </w:p>
    <w:p w14:paraId="5FA05A67" w14:textId="77777777" w:rsidR="00195068" w:rsidRDefault="00195068" w:rsidP="00195068">
      <w:pPr>
        <w:pStyle w:val="Heading3"/>
        <w:rPr>
          <w:b w:val="0"/>
          <w:color w:val="auto"/>
        </w:rPr>
      </w:pPr>
    </w:p>
    <w:p w14:paraId="25B8FC9C" w14:textId="77777777" w:rsidR="00195068" w:rsidRPr="0035078D" w:rsidRDefault="00195068" w:rsidP="00195068">
      <w:pPr>
        <w:pStyle w:val="Heading3"/>
        <w:spacing w:after="240"/>
        <w:rPr>
          <w:b w:val="0"/>
          <w:color w:val="auto"/>
        </w:rPr>
      </w:pPr>
      <w:r w:rsidRPr="0035078D">
        <w:rPr>
          <w:b w:val="0"/>
          <w:color w:val="auto"/>
        </w:rPr>
        <w:t>Key activities implemented are summarized below</w:t>
      </w:r>
    </w:p>
    <w:p w14:paraId="44BFA252" w14:textId="77777777" w:rsidR="00195068" w:rsidRPr="008C66D5" w:rsidRDefault="00195068" w:rsidP="00195068">
      <w:pPr>
        <w:jc w:val="center"/>
        <w:rPr>
          <w:bCs/>
          <w:i/>
        </w:rPr>
      </w:pPr>
      <w:r w:rsidRPr="00246AB8">
        <w:rPr>
          <w:noProof/>
          <w:bdr w:val="single" w:sz="4" w:space="0" w:color="1F3864" w:themeColor="accent1" w:themeShade="80"/>
        </w:rPr>
        <w:drawing>
          <wp:inline distT="0" distB="0" distL="0" distR="0" wp14:anchorId="0E818678" wp14:editId="1A104FBC">
            <wp:extent cx="5943600" cy="3441700"/>
            <wp:effectExtent l="38100" t="0" r="57150" b="0"/>
            <wp:docPr id="13" name="Diagram 1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 r:lo="rId6" r:qs="rId7" r:cs="rId8"/>
              </a:graphicData>
            </a:graphic>
          </wp:inline>
        </w:drawing>
      </w:r>
      <w:r>
        <w:rPr>
          <w:bCs/>
          <w:i/>
        </w:rPr>
        <w:t>Fig- Summary of a</w:t>
      </w:r>
      <w:r w:rsidRPr="008C66D5">
        <w:rPr>
          <w:bCs/>
          <w:i/>
        </w:rPr>
        <w:t xml:space="preserve">ctivities implemented in </w:t>
      </w:r>
      <w:r>
        <w:rPr>
          <w:bCs/>
          <w:i/>
        </w:rPr>
        <w:t>the TS/S initiative</w:t>
      </w:r>
    </w:p>
    <w:p w14:paraId="06C2FFBB" w14:textId="77777777" w:rsidR="00195068" w:rsidRDefault="00195068" w:rsidP="00195068">
      <w:r>
        <w:br w:type="page"/>
      </w:r>
    </w:p>
    <w:p w14:paraId="01D9578B" w14:textId="77777777" w:rsidR="00195068" w:rsidRDefault="00195068" w:rsidP="00195068">
      <w:pPr>
        <w:pStyle w:val="Heading1"/>
      </w:pPr>
      <w:r>
        <w:rPr>
          <w:color w:val="FF0000"/>
        </w:rPr>
        <w:lastRenderedPageBreak/>
        <w:t>Annex-3</w:t>
      </w:r>
      <w:r w:rsidRPr="00122D0E">
        <w:rPr>
          <w:color w:val="FF0000"/>
        </w:rPr>
        <w:t>: Workload analysis for selected nutrition services</w:t>
      </w:r>
    </w:p>
    <w:tbl>
      <w:tblPr>
        <w:tblStyle w:val="TableGrid"/>
        <w:tblW w:w="5000" w:type="pct"/>
        <w:tblLayout w:type="fixed"/>
        <w:tblLook w:val="04A0" w:firstRow="1" w:lastRow="0" w:firstColumn="1" w:lastColumn="0" w:noHBand="0" w:noVBand="1"/>
      </w:tblPr>
      <w:tblGrid>
        <w:gridCol w:w="328"/>
        <w:gridCol w:w="1376"/>
        <w:gridCol w:w="3600"/>
        <w:gridCol w:w="1348"/>
        <w:gridCol w:w="1264"/>
        <w:gridCol w:w="1434"/>
      </w:tblGrid>
      <w:tr w:rsidR="00195068" w:rsidRPr="00B1388B" w14:paraId="19E63832" w14:textId="77777777" w:rsidTr="009C00E4">
        <w:trPr>
          <w:trHeight w:val="917"/>
        </w:trPr>
        <w:tc>
          <w:tcPr>
            <w:tcW w:w="175" w:type="pct"/>
            <w:shd w:val="clear" w:color="auto" w:fill="DEEAF6" w:themeFill="accent5" w:themeFillTint="33"/>
          </w:tcPr>
          <w:p w14:paraId="0A00223A" w14:textId="77777777" w:rsidR="00195068" w:rsidRPr="00B1388B" w:rsidRDefault="00195068" w:rsidP="009C00E4">
            <w:pPr>
              <w:rPr>
                <w:rFonts w:ascii="Gill Sans MT" w:hAnsi="Gill Sans MT"/>
                <w:b/>
                <w:color w:val="333333"/>
                <w:sz w:val="20"/>
                <w:shd w:val="clear" w:color="auto" w:fill="FFFFFF"/>
              </w:rPr>
            </w:pPr>
          </w:p>
        </w:tc>
        <w:tc>
          <w:tcPr>
            <w:tcW w:w="736" w:type="pct"/>
            <w:shd w:val="clear" w:color="auto" w:fill="DEEAF6" w:themeFill="accent5" w:themeFillTint="33"/>
            <w:vAlign w:val="center"/>
          </w:tcPr>
          <w:p w14:paraId="422DBD6D" w14:textId="77777777" w:rsidR="00195068" w:rsidRDefault="00195068" w:rsidP="009C00E4">
            <w:pPr>
              <w:jc w:val="center"/>
              <w:rPr>
                <w:rFonts w:ascii="Gill Sans MT" w:hAnsi="Gill Sans MT" w:cs="Calibri"/>
                <w:b/>
                <w:bCs/>
                <w:color w:val="333333"/>
                <w:sz w:val="20"/>
                <w:szCs w:val="20"/>
              </w:rPr>
            </w:pPr>
            <w:r>
              <w:rPr>
                <w:rFonts w:ascii="Gill Sans MT" w:hAnsi="Gill Sans MT" w:cs="Calibri"/>
                <w:b/>
                <w:bCs/>
                <w:color w:val="333333"/>
                <w:sz w:val="20"/>
                <w:szCs w:val="20"/>
              </w:rPr>
              <w:t>Child Nutrition Service</w:t>
            </w:r>
          </w:p>
        </w:tc>
        <w:tc>
          <w:tcPr>
            <w:tcW w:w="1925" w:type="pct"/>
            <w:shd w:val="clear" w:color="auto" w:fill="DEEAF6" w:themeFill="accent5" w:themeFillTint="33"/>
            <w:vAlign w:val="center"/>
          </w:tcPr>
          <w:p w14:paraId="6FC8CB76" w14:textId="77777777" w:rsidR="00195068" w:rsidRDefault="00195068" w:rsidP="009C00E4">
            <w:pPr>
              <w:jc w:val="center"/>
              <w:rPr>
                <w:rFonts w:ascii="Gill Sans MT" w:hAnsi="Gill Sans MT" w:cs="Calibri"/>
                <w:b/>
                <w:bCs/>
                <w:color w:val="333333"/>
                <w:sz w:val="20"/>
                <w:szCs w:val="20"/>
              </w:rPr>
            </w:pPr>
            <w:r>
              <w:rPr>
                <w:rFonts w:ascii="Gill Sans MT" w:hAnsi="Gill Sans MT" w:cs="Calibri"/>
                <w:b/>
                <w:bCs/>
                <w:color w:val="333333"/>
                <w:sz w:val="20"/>
                <w:szCs w:val="20"/>
              </w:rPr>
              <w:t xml:space="preserve">Key activities </w:t>
            </w:r>
            <w:r w:rsidRPr="007F2DB7">
              <w:rPr>
                <w:rFonts w:ascii="Gill Sans MT" w:hAnsi="Gill Sans MT" w:cs="Calibri"/>
                <w:bCs/>
                <w:i/>
                <w:color w:val="333333"/>
                <w:sz w:val="20"/>
                <w:szCs w:val="20"/>
              </w:rPr>
              <w:t>(Targets; population projection in use for the target group)</w:t>
            </w:r>
          </w:p>
        </w:tc>
        <w:tc>
          <w:tcPr>
            <w:tcW w:w="721" w:type="pct"/>
            <w:shd w:val="clear" w:color="auto" w:fill="DEEAF6" w:themeFill="accent5" w:themeFillTint="33"/>
            <w:vAlign w:val="center"/>
          </w:tcPr>
          <w:p w14:paraId="05326CBA" w14:textId="77777777" w:rsidR="00195068" w:rsidRDefault="00195068" w:rsidP="009C00E4">
            <w:pPr>
              <w:jc w:val="center"/>
              <w:rPr>
                <w:rFonts w:ascii="Gill Sans MT" w:hAnsi="Gill Sans MT" w:cs="Calibri"/>
                <w:b/>
                <w:bCs/>
                <w:color w:val="333333"/>
                <w:sz w:val="20"/>
                <w:szCs w:val="20"/>
              </w:rPr>
            </w:pPr>
            <w:r>
              <w:rPr>
                <w:rFonts w:ascii="Gill Sans MT" w:hAnsi="Gill Sans MT" w:cs="Calibri"/>
                <w:b/>
                <w:bCs/>
                <w:color w:val="333333"/>
                <w:sz w:val="20"/>
                <w:szCs w:val="20"/>
              </w:rPr>
              <w:t>Estimated time needed per case</w:t>
            </w:r>
          </w:p>
        </w:tc>
        <w:tc>
          <w:tcPr>
            <w:tcW w:w="675" w:type="pct"/>
            <w:shd w:val="clear" w:color="auto" w:fill="DEEAF6" w:themeFill="accent5" w:themeFillTint="33"/>
            <w:vAlign w:val="center"/>
          </w:tcPr>
          <w:p w14:paraId="7A81BC9C" w14:textId="77777777" w:rsidR="00195068" w:rsidRDefault="00195068" w:rsidP="009C00E4">
            <w:pPr>
              <w:jc w:val="center"/>
              <w:rPr>
                <w:rFonts w:ascii="Gill Sans MT" w:hAnsi="Gill Sans MT" w:cs="Calibri"/>
                <w:b/>
                <w:bCs/>
                <w:color w:val="000000"/>
                <w:sz w:val="20"/>
                <w:szCs w:val="20"/>
              </w:rPr>
            </w:pPr>
            <w:r>
              <w:rPr>
                <w:rFonts w:ascii="Gill Sans MT" w:hAnsi="Gill Sans MT" w:cs="Calibri"/>
                <w:b/>
                <w:bCs/>
                <w:color w:val="000000"/>
                <w:sz w:val="20"/>
                <w:szCs w:val="20"/>
              </w:rPr>
              <w:t>Estimated # of target population per 5,000 population kebele</w:t>
            </w:r>
          </w:p>
        </w:tc>
        <w:tc>
          <w:tcPr>
            <w:tcW w:w="767" w:type="pct"/>
            <w:shd w:val="clear" w:color="auto" w:fill="DEEAF6" w:themeFill="accent5" w:themeFillTint="33"/>
            <w:vAlign w:val="center"/>
          </w:tcPr>
          <w:p w14:paraId="5E2DB0D8" w14:textId="77777777" w:rsidR="00195068" w:rsidRDefault="00195068" w:rsidP="009C00E4">
            <w:pPr>
              <w:jc w:val="center"/>
              <w:rPr>
                <w:rFonts w:ascii="Gill Sans MT" w:hAnsi="Gill Sans MT" w:cs="Calibri"/>
                <w:b/>
                <w:bCs/>
                <w:color w:val="000000"/>
                <w:sz w:val="20"/>
                <w:szCs w:val="20"/>
              </w:rPr>
            </w:pPr>
            <w:r>
              <w:rPr>
                <w:rFonts w:ascii="Gill Sans MT" w:hAnsi="Gill Sans MT" w:cs="Calibri"/>
                <w:b/>
                <w:bCs/>
                <w:color w:val="000000"/>
                <w:sz w:val="20"/>
                <w:szCs w:val="20"/>
              </w:rPr>
              <w:t>Percent of staff time (8*21= 168 hours/month/HEW)</w:t>
            </w:r>
          </w:p>
        </w:tc>
      </w:tr>
      <w:tr w:rsidR="00195068" w:rsidRPr="00D36302" w14:paraId="77C2D053" w14:textId="77777777" w:rsidTr="009C00E4">
        <w:tc>
          <w:tcPr>
            <w:tcW w:w="175" w:type="pct"/>
          </w:tcPr>
          <w:p w14:paraId="300694F5" w14:textId="77777777" w:rsidR="00195068" w:rsidRPr="00D36302" w:rsidRDefault="00195068" w:rsidP="009C00E4">
            <w:pPr>
              <w:rPr>
                <w:rFonts w:ascii="Gill Sans MT" w:hAnsi="Gill Sans MT"/>
                <w:color w:val="333333"/>
                <w:shd w:val="clear" w:color="auto" w:fill="FFFFFF"/>
              </w:rPr>
            </w:pPr>
            <w:r w:rsidRPr="00D36302">
              <w:rPr>
                <w:rFonts w:ascii="Gill Sans MT" w:hAnsi="Gill Sans MT"/>
                <w:color w:val="333333"/>
                <w:shd w:val="clear" w:color="auto" w:fill="FFFFFF"/>
              </w:rPr>
              <w:t>1</w:t>
            </w:r>
          </w:p>
        </w:tc>
        <w:tc>
          <w:tcPr>
            <w:tcW w:w="736" w:type="pct"/>
          </w:tcPr>
          <w:p w14:paraId="078D36BA" w14:textId="77777777" w:rsidR="00195068" w:rsidRPr="00D36302" w:rsidRDefault="00195068" w:rsidP="009C00E4">
            <w:pPr>
              <w:rPr>
                <w:rFonts w:ascii="Gill Sans MT" w:hAnsi="Gill Sans MT"/>
                <w:color w:val="333333"/>
                <w:shd w:val="clear" w:color="auto" w:fill="FFFFFF"/>
              </w:rPr>
            </w:pPr>
            <w:r w:rsidRPr="00D36302">
              <w:rPr>
                <w:rFonts w:ascii="Gill Sans MT" w:hAnsi="Gill Sans MT"/>
                <w:color w:val="333333"/>
                <w:shd w:val="clear" w:color="auto" w:fill="FFFFFF"/>
              </w:rPr>
              <w:t>GMP (monthly</w:t>
            </w:r>
            <w:r>
              <w:rPr>
                <w:rFonts w:ascii="Gill Sans MT" w:hAnsi="Gill Sans MT"/>
                <w:color w:val="333333"/>
                <w:shd w:val="clear" w:color="auto" w:fill="FFFFFF"/>
              </w:rPr>
              <w:t xml:space="preserve"> </w:t>
            </w:r>
          </w:p>
        </w:tc>
        <w:tc>
          <w:tcPr>
            <w:tcW w:w="1925" w:type="pct"/>
          </w:tcPr>
          <w:p w14:paraId="4F792821" w14:textId="77777777" w:rsidR="00195068" w:rsidRPr="00D36302" w:rsidRDefault="00195068" w:rsidP="009C00E4">
            <w:pPr>
              <w:rPr>
                <w:rFonts w:ascii="Gill Sans MT" w:hAnsi="Gill Sans MT"/>
                <w:color w:val="333333"/>
                <w:shd w:val="clear" w:color="auto" w:fill="FFFFFF"/>
              </w:rPr>
            </w:pPr>
            <w:r w:rsidRPr="00D36302">
              <w:rPr>
                <w:rFonts w:ascii="Gill Sans MT" w:hAnsi="Gill Sans MT"/>
                <w:color w:val="333333"/>
                <w:shd w:val="clear" w:color="auto" w:fill="FFFFFF"/>
              </w:rPr>
              <w:t>Weighing, plotting in the growth chart and discussion with the mother</w:t>
            </w:r>
            <w:r>
              <w:rPr>
                <w:rFonts w:ascii="Gill Sans MT" w:hAnsi="Gill Sans MT"/>
                <w:color w:val="333333"/>
                <w:shd w:val="clear" w:color="auto" w:fill="FFFFFF"/>
              </w:rPr>
              <w:t xml:space="preserve"> </w:t>
            </w:r>
            <w:r w:rsidRPr="00B1388B">
              <w:rPr>
                <w:rFonts w:ascii="Gill Sans MT" w:hAnsi="Gill Sans MT"/>
                <w:i/>
                <w:color w:val="333333"/>
                <w:sz w:val="20"/>
                <w:shd w:val="clear" w:color="auto" w:fill="FFFFFF"/>
              </w:rPr>
              <w:t>(</w:t>
            </w:r>
            <w:r>
              <w:rPr>
                <w:rFonts w:ascii="Gill Sans MT" w:hAnsi="Gill Sans MT"/>
                <w:i/>
                <w:color w:val="333333"/>
                <w:sz w:val="20"/>
                <w:shd w:val="clear" w:color="auto" w:fill="FFFFFF"/>
              </w:rPr>
              <w:t>T</w:t>
            </w:r>
            <w:r w:rsidRPr="00B1388B">
              <w:rPr>
                <w:rFonts w:ascii="Gill Sans MT" w:hAnsi="Gill Sans MT"/>
                <w:i/>
                <w:color w:val="333333"/>
                <w:sz w:val="20"/>
                <w:shd w:val="clear" w:color="auto" w:fill="FFFFFF"/>
              </w:rPr>
              <w:t xml:space="preserve">arget: </w:t>
            </w:r>
            <w:r>
              <w:rPr>
                <w:rFonts w:ascii="Gill Sans MT" w:hAnsi="Gill Sans MT"/>
                <w:i/>
                <w:color w:val="333333"/>
                <w:sz w:val="20"/>
                <w:shd w:val="clear" w:color="auto" w:fill="FFFFFF"/>
              </w:rPr>
              <w:t>0-23</w:t>
            </w:r>
            <w:r w:rsidRPr="00B1388B">
              <w:rPr>
                <w:rFonts w:ascii="Gill Sans MT" w:hAnsi="Gill Sans MT"/>
                <w:i/>
                <w:color w:val="333333"/>
                <w:sz w:val="20"/>
                <w:shd w:val="clear" w:color="auto" w:fill="FFFFFF"/>
              </w:rPr>
              <w:t xml:space="preserve"> month children; projection 5</w:t>
            </w:r>
            <w:r>
              <w:rPr>
                <w:rFonts w:ascii="Gill Sans MT" w:hAnsi="Gill Sans MT"/>
                <w:i/>
                <w:color w:val="333333"/>
                <w:sz w:val="20"/>
                <w:shd w:val="clear" w:color="auto" w:fill="FFFFFF"/>
              </w:rPr>
              <w:t>.7</w:t>
            </w:r>
            <w:r w:rsidRPr="00B1388B">
              <w:rPr>
                <w:rFonts w:ascii="Gill Sans MT" w:hAnsi="Gill Sans MT"/>
                <w:i/>
                <w:color w:val="333333"/>
                <w:sz w:val="20"/>
                <w:shd w:val="clear" w:color="auto" w:fill="FFFFFF"/>
              </w:rPr>
              <w:t>% of the 5,000 population per kebele)</w:t>
            </w:r>
          </w:p>
        </w:tc>
        <w:tc>
          <w:tcPr>
            <w:tcW w:w="721" w:type="pct"/>
            <w:vAlign w:val="center"/>
          </w:tcPr>
          <w:p w14:paraId="76055A6B" w14:textId="77777777" w:rsidR="00195068" w:rsidRDefault="00195068" w:rsidP="009C00E4">
            <w:pPr>
              <w:rPr>
                <w:rFonts w:ascii="Gill Sans MT" w:hAnsi="Gill Sans MT" w:cs="Calibri"/>
                <w:color w:val="333333"/>
              </w:rPr>
            </w:pPr>
            <w:r>
              <w:rPr>
                <w:rFonts w:ascii="Gill Sans MT" w:hAnsi="Gill Sans MT" w:cs="Calibri"/>
                <w:color w:val="333333"/>
              </w:rPr>
              <w:t>10 min</w:t>
            </w:r>
          </w:p>
        </w:tc>
        <w:tc>
          <w:tcPr>
            <w:tcW w:w="675" w:type="pct"/>
            <w:vAlign w:val="center"/>
          </w:tcPr>
          <w:p w14:paraId="466AB24F" w14:textId="77777777" w:rsidR="00195068" w:rsidRPr="00B1388B" w:rsidRDefault="00195068" w:rsidP="009C00E4">
            <w:pPr>
              <w:pStyle w:val="NormalWeb"/>
              <w:spacing w:before="0" w:beforeAutospacing="0" w:after="0" w:afterAutospacing="0"/>
              <w:jc w:val="center"/>
              <w:textAlignment w:val="center"/>
              <w:rPr>
                <w:rFonts w:ascii="Gill Sans MT" w:hAnsi="Gill Sans MT" w:cs="Arial"/>
                <w:sz w:val="20"/>
                <w:szCs w:val="22"/>
              </w:rPr>
            </w:pPr>
            <w:r w:rsidRPr="00B1388B">
              <w:rPr>
                <w:rFonts w:ascii="Gill Sans MT" w:hAnsi="Gill Sans MT" w:cs="Calibri"/>
                <w:bCs/>
                <w:color w:val="000000" w:themeColor="text1"/>
                <w:kern w:val="24"/>
                <w:sz w:val="20"/>
                <w:szCs w:val="22"/>
              </w:rPr>
              <w:t>286</w:t>
            </w:r>
          </w:p>
        </w:tc>
        <w:tc>
          <w:tcPr>
            <w:tcW w:w="767" w:type="pct"/>
            <w:vAlign w:val="center"/>
          </w:tcPr>
          <w:p w14:paraId="064748DC" w14:textId="77777777" w:rsidR="00195068" w:rsidRDefault="00195068" w:rsidP="009C00E4">
            <w:pPr>
              <w:jc w:val="right"/>
              <w:rPr>
                <w:rFonts w:ascii="Calibri" w:hAnsi="Calibri" w:cs="Calibri"/>
                <w:color w:val="000000"/>
              </w:rPr>
            </w:pPr>
            <w:r>
              <w:rPr>
                <w:rFonts w:ascii="Calibri" w:hAnsi="Calibri" w:cs="Calibri"/>
                <w:color w:val="000000"/>
              </w:rPr>
              <w:t>28.4%</w:t>
            </w:r>
          </w:p>
        </w:tc>
      </w:tr>
      <w:tr w:rsidR="00195068" w:rsidRPr="00D36302" w14:paraId="0E99BA05" w14:textId="77777777" w:rsidTr="009C00E4">
        <w:tc>
          <w:tcPr>
            <w:tcW w:w="175" w:type="pct"/>
          </w:tcPr>
          <w:p w14:paraId="07BEE708" w14:textId="77777777" w:rsidR="00195068" w:rsidRPr="00D36302" w:rsidRDefault="00195068" w:rsidP="009C00E4">
            <w:pPr>
              <w:rPr>
                <w:rFonts w:ascii="Gill Sans MT" w:hAnsi="Gill Sans MT"/>
                <w:color w:val="333333"/>
                <w:shd w:val="clear" w:color="auto" w:fill="FFFFFF"/>
              </w:rPr>
            </w:pPr>
            <w:r w:rsidRPr="00D36302">
              <w:rPr>
                <w:rFonts w:ascii="Gill Sans MT" w:hAnsi="Gill Sans MT"/>
                <w:color w:val="333333"/>
                <w:shd w:val="clear" w:color="auto" w:fill="FFFFFF"/>
              </w:rPr>
              <w:t>2</w:t>
            </w:r>
          </w:p>
        </w:tc>
        <w:tc>
          <w:tcPr>
            <w:tcW w:w="736" w:type="pct"/>
          </w:tcPr>
          <w:p w14:paraId="41B1E085" w14:textId="77777777" w:rsidR="00195068" w:rsidRPr="00D36302" w:rsidRDefault="00195068" w:rsidP="009C00E4">
            <w:pPr>
              <w:rPr>
                <w:rFonts w:ascii="Gill Sans MT" w:hAnsi="Gill Sans MT"/>
                <w:color w:val="333333"/>
                <w:shd w:val="clear" w:color="auto" w:fill="FFFFFF"/>
              </w:rPr>
            </w:pPr>
            <w:r w:rsidRPr="00D36302">
              <w:rPr>
                <w:rFonts w:ascii="Gill Sans MT" w:hAnsi="Gill Sans MT"/>
                <w:color w:val="333333"/>
                <w:shd w:val="clear" w:color="auto" w:fill="FFFFFF"/>
              </w:rPr>
              <w:t>MUAC measurement</w:t>
            </w:r>
            <w:r>
              <w:rPr>
                <w:rFonts w:ascii="Gill Sans MT" w:hAnsi="Gill Sans MT"/>
                <w:color w:val="333333"/>
                <w:shd w:val="clear" w:color="auto" w:fill="FFFFFF"/>
              </w:rPr>
              <w:t xml:space="preserve"> (monthly, )</w:t>
            </w:r>
          </w:p>
        </w:tc>
        <w:tc>
          <w:tcPr>
            <w:tcW w:w="1925" w:type="pct"/>
          </w:tcPr>
          <w:p w14:paraId="5FFF1426" w14:textId="77777777" w:rsidR="00195068" w:rsidRDefault="00195068" w:rsidP="009C00E4">
            <w:pPr>
              <w:rPr>
                <w:rFonts w:ascii="Gill Sans MT" w:hAnsi="Gill Sans MT"/>
                <w:color w:val="333333"/>
                <w:shd w:val="clear" w:color="auto" w:fill="FFFFFF"/>
              </w:rPr>
            </w:pPr>
            <w:r w:rsidRPr="00D36302">
              <w:rPr>
                <w:rFonts w:ascii="Gill Sans MT" w:hAnsi="Gill Sans MT"/>
                <w:color w:val="333333"/>
                <w:shd w:val="clear" w:color="auto" w:fill="FFFFFF"/>
              </w:rPr>
              <w:t>MUAC measurement and discussion with the care giver</w:t>
            </w:r>
            <w:r>
              <w:rPr>
                <w:rFonts w:ascii="Gill Sans MT" w:hAnsi="Gill Sans MT"/>
                <w:color w:val="333333"/>
                <w:shd w:val="clear" w:color="auto" w:fill="FFFFFF"/>
              </w:rPr>
              <w:t xml:space="preserve"> </w:t>
            </w:r>
          </w:p>
          <w:p w14:paraId="57B4DABB" w14:textId="77777777" w:rsidR="00195068" w:rsidRPr="00B1388B" w:rsidRDefault="00195068" w:rsidP="009C00E4">
            <w:pPr>
              <w:rPr>
                <w:rFonts w:ascii="Gill Sans MT" w:hAnsi="Gill Sans MT"/>
                <w:i/>
                <w:color w:val="333333"/>
                <w:shd w:val="clear" w:color="auto" w:fill="FFFFFF"/>
              </w:rPr>
            </w:pPr>
            <w:r w:rsidRPr="00B1388B">
              <w:rPr>
                <w:rFonts w:ascii="Gill Sans MT" w:hAnsi="Gill Sans MT"/>
                <w:i/>
                <w:color w:val="333333"/>
                <w:sz w:val="20"/>
                <w:shd w:val="clear" w:color="auto" w:fill="FFFFFF"/>
              </w:rPr>
              <w:t>(</w:t>
            </w:r>
            <w:r>
              <w:rPr>
                <w:rFonts w:ascii="Gill Sans MT" w:hAnsi="Gill Sans MT"/>
                <w:i/>
                <w:color w:val="333333"/>
                <w:sz w:val="20"/>
                <w:shd w:val="clear" w:color="auto" w:fill="FFFFFF"/>
              </w:rPr>
              <w:t>T</w:t>
            </w:r>
            <w:r w:rsidRPr="00B1388B">
              <w:rPr>
                <w:rFonts w:ascii="Gill Sans MT" w:hAnsi="Gill Sans MT"/>
                <w:i/>
                <w:color w:val="333333"/>
                <w:sz w:val="20"/>
                <w:shd w:val="clear" w:color="auto" w:fill="FFFFFF"/>
              </w:rPr>
              <w:t>arget: 6-59 month children; projection 15% of the 5,000 population per kebele)</w:t>
            </w:r>
          </w:p>
        </w:tc>
        <w:tc>
          <w:tcPr>
            <w:tcW w:w="721" w:type="pct"/>
            <w:vAlign w:val="center"/>
          </w:tcPr>
          <w:p w14:paraId="50382B79" w14:textId="77777777" w:rsidR="00195068" w:rsidRDefault="00195068" w:rsidP="009C00E4">
            <w:pPr>
              <w:rPr>
                <w:rFonts w:ascii="Gill Sans MT" w:hAnsi="Gill Sans MT" w:cs="Calibri"/>
                <w:color w:val="333333"/>
              </w:rPr>
            </w:pPr>
            <w:r>
              <w:rPr>
                <w:rFonts w:ascii="Gill Sans MT" w:hAnsi="Gill Sans MT" w:cs="Calibri"/>
                <w:color w:val="333333"/>
              </w:rPr>
              <w:t>1-2 min</w:t>
            </w:r>
          </w:p>
        </w:tc>
        <w:tc>
          <w:tcPr>
            <w:tcW w:w="675" w:type="pct"/>
            <w:vAlign w:val="center"/>
          </w:tcPr>
          <w:p w14:paraId="15E89E3F" w14:textId="77777777" w:rsidR="00195068" w:rsidRPr="00B1388B" w:rsidRDefault="00195068" w:rsidP="009C00E4">
            <w:pPr>
              <w:pStyle w:val="NormalWeb"/>
              <w:spacing w:before="0" w:beforeAutospacing="0" w:after="0" w:afterAutospacing="0"/>
              <w:jc w:val="center"/>
              <w:textAlignment w:val="center"/>
              <w:rPr>
                <w:rFonts w:ascii="Gill Sans MT" w:hAnsi="Gill Sans MT" w:cs="Arial"/>
                <w:sz w:val="20"/>
                <w:szCs w:val="22"/>
              </w:rPr>
            </w:pPr>
            <w:r w:rsidRPr="00B1388B">
              <w:rPr>
                <w:rFonts w:ascii="Gill Sans MT" w:hAnsi="Gill Sans MT" w:cs="Calibri"/>
                <w:color w:val="000000" w:themeColor="text1"/>
                <w:kern w:val="24"/>
                <w:sz w:val="20"/>
                <w:szCs w:val="22"/>
              </w:rPr>
              <w:t>750</w:t>
            </w:r>
          </w:p>
        </w:tc>
        <w:tc>
          <w:tcPr>
            <w:tcW w:w="767" w:type="pct"/>
            <w:vAlign w:val="center"/>
          </w:tcPr>
          <w:p w14:paraId="180B8FD6" w14:textId="77777777" w:rsidR="00195068" w:rsidRDefault="00195068" w:rsidP="009C00E4">
            <w:pPr>
              <w:jc w:val="right"/>
              <w:rPr>
                <w:rFonts w:ascii="Calibri" w:hAnsi="Calibri" w:cs="Calibri"/>
                <w:color w:val="000000"/>
              </w:rPr>
            </w:pPr>
            <w:r>
              <w:rPr>
                <w:rFonts w:ascii="Calibri" w:hAnsi="Calibri" w:cs="Calibri"/>
                <w:color w:val="000000"/>
              </w:rPr>
              <w:t>7.4%</w:t>
            </w:r>
          </w:p>
        </w:tc>
      </w:tr>
      <w:tr w:rsidR="00195068" w:rsidRPr="00D36302" w14:paraId="08243233" w14:textId="77777777" w:rsidTr="009C00E4">
        <w:tc>
          <w:tcPr>
            <w:tcW w:w="175" w:type="pct"/>
          </w:tcPr>
          <w:p w14:paraId="3A820AEA" w14:textId="77777777" w:rsidR="00195068" w:rsidRPr="00D36302" w:rsidRDefault="00195068" w:rsidP="009C00E4">
            <w:pPr>
              <w:rPr>
                <w:rFonts w:ascii="Gill Sans MT" w:hAnsi="Gill Sans MT"/>
                <w:color w:val="333333"/>
                <w:shd w:val="clear" w:color="auto" w:fill="FFFFFF"/>
              </w:rPr>
            </w:pPr>
            <w:r w:rsidRPr="00D36302">
              <w:rPr>
                <w:rFonts w:ascii="Gill Sans MT" w:hAnsi="Gill Sans MT"/>
                <w:color w:val="333333"/>
                <w:shd w:val="clear" w:color="auto" w:fill="FFFFFF"/>
              </w:rPr>
              <w:t>3</w:t>
            </w:r>
          </w:p>
        </w:tc>
        <w:tc>
          <w:tcPr>
            <w:tcW w:w="736" w:type="pct"/>
          </w:tcPr>
          <w:p w14:paraId="29E97638" w14:textId="77777777" w:rsidR="00195068" w:rsidRPr="00D36302" w:rsidRDefault="00195068" w:rsidP="009C00E4">
            <w:pPr>
              <w:rPr>
                <w:rFonts w:ascii="Gill Sans MT" w:hAnsi="Gill Sans MT"/>
                <w:color w:val="333333"/>
                <w:shd w:val="clear" w:color="auto" w:fill="FFFFFF"/>
              </w:rPr>
            </w:pPr>
            <w:r w:rsidRPr="00D36302">
              <w:rPr>
                <w:rFonts w:ascii="Gill Sans MT" w:hAnsi="Gill Sans MT"/>
                <w:color w:val="333333"/>
                <w:shd w:val="clear" w:color="auto" w:fill="FFFFFF"/>
              </w:rPr>
              <w:t>VAS</w:t>
            </w:r>
            <w:r>
              <w:rPr>
                <w:rFonts w:ascii="Gill Sans MT" w:hAnsi="Gill Sans MT"/>
                <w:color w:val="333333"/>
                <w:shd w:val="clear" w:color="auto" w:fill="FFFFFF"/>
              </w:rPr>
              <w:t xml:space="preserve"> (biannually)</w:t>
            </w:r>
          </w:p>
        </w:tc>
        <w:tc>
          <w:tcPr>
            <w:tcW w:w="1925" w:type="pct"/>
          </w:tcPr>
          <w:p w14:paraId="7C69198F" w14:textId="77777777" w:rsidR="00195068" w:rsidRPr="00D36302" w:rsidRDefault="00195068" w:rsidP="009C00E4">
            <w:pPr>
              <w:rPr>
                <w:rFonts w:ascii="Gill Sans MT" w:hAnsi="Gill Sans MT"/>
                <w:color w:val="333333"/>
                <w:shd w:val="clear" w:color="auto" w:fill="FFFFFF"/>
              </w:rPr>
            </w:pPr>
            <w:r w:rsidRPr="00D36302">
              <w:rPr>
                <w:rFonts w:ascii="Gill Sans MT" w:hAnsi="Gill Sans MT"/>
                <w:color w:val="333333"/>
                <w:shd w:val="clear" w:color="auto" w:fill="FFFFFF"/>
              </w:rPr>
              <w:t>Provision of VAS and discussion with the mother</w:t>
            </w:r>
            <w:r>
              <w:rPr>
                <w:rFonts w:ascii="Gill Sans MT" w:hAnsi="Gill Sans MT"/>
                <w:color w:val="333333"/>
                <w:shd w:val="clear" w:color="auto" w:fill="FFFFFF"/>
              </w:rPr>
              <w:t xml:space="preserve"> </w:t>
            </w:r>
            <w:r w:rsidRPr="00B1388B">
              <w:rPr>
                <w:rFonts w:ascii="Gill Sans MT" w:hAnsi="Gill Sans MT"/>
                <w:i/>
                <w:color w:val="333333"/>
                <w:sz w:val="20"/>
                <w:shd w:val="clear" w:color="auto" w:fill="FFFFFF"/>
              </w:rPr>
              <w:t>(</w:t>
            </w:r>
            <w:r>
              <w:rPr>
                <w:rFonts w:ascii="Gill Sans MT" w:hAnsi="Gill Sans MT"/>
                <w:i/>
                <w:color w:val="333333"/>
                <w:sz w:val="20"/>
                <w:shd w:val="clear" w:color="auto" w:fill="FFFFFF"/>
              </w:rPr>
              <w:t>T</w:t>
            </w:r>
            <w:r w:rsidRPr="00B1388B">
              <w:rPr>
                <w:rFonts w:ascii="Gill Sans MT" w:hAnsi="Gill Sans MT"/>
                <w:i/>
                <w:color w:val="333333"/>
                <w:sz w:val="20"/>
                <w:shd w:val="clear" w:color="auto" w:fill="FFFFFF"/>
              </w:rPr>
              <w:t>arget: 6-59 month children; projection 15% of the 5,000 population per kebele)</w:t>
            </w:r>
          </w:p>
        </w:tc>
        <w:tc>
          <w:tcPr>
            <w:tcW w:w="721" w:type="pct"/>
            <w:vAlign w:val="center"/>
          </w:tcPr>
          <w:p w14:paraId="67066D45" w14:textId="77777777" w:rsidR="00195068" w:rsidRDefault="00195068" w:rsidP="009C00E4">
            <w:pPr>
              <w:rPr>
                <w:rFonts w:ascii="Gill Sans MT" w:hAnsi="Gill Sans MT" w:cs="Calibri"/>
                <w:color w:val="333333"/>
              </w:rPr>
            </w:pPr>
            <w:r>
              <w:rPr>
                <w:rFonts w:ascii="Gill Sans MT" w:hAnsi="Gill Sans MT" w:cs="Calibri"/>
                <w:color w:val="333333"/>
              </w:rPr>
              <w:t>1-2 min</w:t>
            </w:r>
          </w:p>
        </w:tc>
        <w:tc>
          <w:tcPr>
            <w:tcW w:w="675" w:type="pct"/>
            <w:vAlign w:val="center"/>
          </w:tcPr>
          <w:p w14:paraId="7C9AE6AD" w14:textId="77777777" w:rsidR="00195068" w:rsidRPr="00B1388B" w:rsidRDefault="00195068" w:rsidP="009C00E4">
            <w:pPr>
              <w:pStyle w:val="NormalWeb"/>
              <w:spacing w:before="0" w:beforeAutospacing="0" w:after="0" w:afterAutospacing="0"/>
              <w:jc w:val="center"/>
              <w:textAlignment w:val="center"/>
              <w:rPr>
                <w:rFonts w:ascii="Gill Sans MT" w:hAnsi="Gill Sans MT" w:cs="Arial"/>
                <w:sz w:val="20"/>
                <w:szCs w:val="22"/>
              </w:rPr>
            </w:pPr>
            <w:r w:rsidRPr="00B1388B">
              <w:rPr>
                <w:rFonts w:ascii="Gill Sans MT" w:hAnsi="Gill Sans MT" w:cs="Calibri"/>
                <w:color w:val="000000" w:themeColor="text1"/>
                <w:kern w:val="24"/>
                <w:sz w:val="20"/>
                <w:szCs w:val="22"/>
              </w:rPr>
              <w:t>536</w:t>
            </w:r>
          </w:p>
        </w:tc>
        <w:tc>
          <w:tcPr>
            <w:tcW w:w="767" w:type="pct"/>
            <w:vAlign w:val="center"/>
          </w:tcPr>
          <w:p w14:paraId="5D90694A" w14:textId="77777777" w:rsidR="00195068" w:rsidRDefault="00195068" w:rsidP="009C00E4">
            <w:pPr>
              <w:jc w:val="right"/>
              <w:rPr>
                <w:rFonts w:ascii="Calibri" w:hAnsi="Calibri" w:cs="Calibri"/>
                <w:color w:val="000000"/>
              </w:rPr>
            </w:pPr>
            <w:r>
              <w:rPr>
                <w:rFonts w:ascii="Calibri" w:hAnsi="Calibri" w:cs="Calibri"/>
                <w:color w:val="000000"/>
              </w:rPr>
              <w:t>5.3%</w:t>
            </w:r>
          </w:p>
        </w:tc>
      </w:tr>
      <w:tr w:rsidR="00195068" w:rsidRPr="00D36302" w14:paraId="16FF92BC" w14:textId="77777777" w:rsidTr="009C00E4">
        <w:tc>
          <w:tcPr>
            <w:tcW w:w="175" w:type="pct"/>
          </w:tcPr>
          <w:p w14:paraId="6FA67ABC" w14:textId="77777777" w:rsidR="00195068" w:rsidRPr="00D36302" w:rsidRDefault="00195068" w:rsidP="009C00E4">
            <w:pPr>
              <w:rPr>
                <w:rFonts w:ascii="Gill Sans MT" w:hAnsi="Gill Sans MT"/>
                <w:color w:val="333333"/>
                <w:shd w:val="clear" w:color="auto" w:fill="FFFFFF"/>
              </w:rPr>
            </w:pPr>
            <w:r w:rsidRPr="00D36302">
              <w:rPr>
                <w:rFonts w:ascii="Gill Sans MT" w:hAnsi="Gill Sans MT"/>
                <w:color w:val="333333"/>
                <w:shd w:val="clear" w:color="auto" w:fill="FFFFFF"/>
              </w:rPr>
              <w:t>4</w:t>
            </w:r>
          </w:p>
        </w:tc>
        <w:tc>
          <w:tcPr>
            <w:tcW w:w="736" w:type="pct"/>
          </w:tcPr>
          <w:p w14:paraId="60BF5E94" w14:textId="77777777" w:rsidR="00195068" w:rsidRPr="00D36302" w:rsidRDefault="00195068" w:rsidP="009C00E4">
            <w:pPr>
              <w:rPr>
                <w:rFonts w:ascii="Gill Sans MT" w:hAnsi="Gill Sans MT"/>
                <w:color w:val="333333"/>
                <w:shd w:val="clear" w:color="auto" w:fill="FFFFFF"/>
              </w:rPr>
            </w:pPr>
            <w:r w:rsidRPr="00D36302">
              <w:rPr>
                <w:rFonts w:ascii="Gill Sans MT" w:hAnsi="Gill Sans MT"/>
                <w:color w:val="333333"/>
                <w:shd w:val="clear" w:color="auto" w:fill="FFFFFF"/>
              </w:rPr>
              <w:t>Complementary food cooking demonstration</w:t>
            </w:r>
            <w:r>
              <w:rPr>
                <w:rFonts w:ascii="Gill Sans MT" w:hAnsi="Gill Sans MT"/>
                <w:color w:val="333333"/>
                <w:shd w:val="clear" w:color="auto" w:fill="FFFFFF"/>
              </w:rPr>
              <w:t xml:space="preserve"> </w:t>
            </w:r>
          </w:p>
        </w:tc>
        <w:tc>
          <w:tcPr>
            <w:tcW w:w="1925" w:type="pct"/>
          </w:tcPr>
          <w:p w14:paraId="289C3D57" w14:textId="77777777" w:rsidR="00195068" w:rsidRPr="00D36302" w:rsidRDefault="00195068" w:rsidP="009C00E4">
            <w:pPr>
              <w:rPr>
                <w:rFonts w:ascii="Gill Sans MT" w:hAnsi="Gill Sans MT"/>
                <w:color w:val="333333"/>
                <w:shd w:val="clear" w:color="auto" w:fill="FFFFFF"/>
              </w:rPr>
            </w:pPr>
            <w:r w:rsidRPr="00D36302">
              <w:rPr>
                <w:rFonts w:ascii="Gill Sans MT" w:hAnsi="Gill Sans MT"/>
                <w:color w:val="333333"/>
                <w:shd w:val="clear" w:color="auto" w:fill="FFFFFF"/>
              </w:rPr>
              <w:t>Preparation, demonstration of cooking, discussion</w:t>
            </w:r>
            <w:r>
              <w:rPr>
                <w:rFonts w:ascii="Gill Sans MT" w:hAnsi="Gill Sans MT"/>
                <w:color w:val="333333"/>
                <w:shd w:val="clear" w:color="auto" w:fill="FFFFFF"/>
              </w:rPr>
              <w:t xml:space="preserve"> </w:t>
            </w:r>
            <w:r w:rsidRPr="00B1388B">
              <w:rPr>
                <w:rFonts w:ascii="Gill Sans MT" w:hAnsi="Gill Sans MT"/>
                <w:i/>
                <w:color w:val="333333"/>
                <w:shd w:val="clear" w:color="auto" w:fill="FFFFFF"/>
              </w:rPr>
              <w:t>((2-3 session per kebele per month)</w:t>
            </w:r>
          </w:p>
        </w:tc>
        <w:tc>
          <w:tcPr>
            <w:tcW w:w="721" w:type="pct"/>
            <w:vAlign w:val="center"/>
          </w:tcPr>
          <w:p w14:paraId="0CEA09D3" w14:textId="77777777" w:rsidR="00195068" w:rsidRDefault="00195068" w:rsidP="009C00E4">
            <w:pPr>
              <w:rPr>
                <w:rFonts w:ascii="Gill Sans MT" w:hAnsi="Gill Sans MT" w:cs="Calibri"/>
                <w:color w:val="333333"/>
              </w:rPr>
            </w:pPr>
            <w:r>
              <w:rPr>
                <w:rFonts w:ascii="Gill Sans MT" w:hAnsi="Gill Sans MT" w:cs="Calibri"/>
                <w:color w:val="333333"/>
              </w:rPr>
              <w:t>1 hour per session</w:t>
            </w:r>
          </w:p>
        </w:tc>
        <w:tc>
          <w:tcPr>
            <w:tcW w:w="675" w:type="pct"/>
            <w:vAlign w:val="center"/>
          </w:tcPr>
          <w:p w14:paraId="0987A79E" w14:textId="77777777" w:rsidR="00195068" w:rsidRPr="00B1388B" w:rsidRDefault="00195068" w:rsidP="009C00E4">
            <w:pPr>
              <w:pStyle w:val="NormalWeb"/>
              <w:spacing w:before="0" w:beforeAutospacing="0" w:after="0" w:afterAutospacing="0"/>
              <w:jc w:val="center"/>
              <w:textAlignment w:val="center"/>
              <w:rPr>
                <w:rFonts w:ascii="Gill Sans MT" w:hAnsi="Gill Sans MT" w:cs="Arial"/>
                <w:sz w:val="20"/>
                <w:szCs w:val="22"/>
              </w:rPr>
            </w:pPr>
            <w:r w:rsidRPr="00B1388B">
              <w:rPr>
                <w:rFonts w:ascii="Gill Sans MT" w:hAnsi="Gill Sans MT" w:cs="Arial"/>
                <w:sz w:val="20"/>
                <w:szCs w:val="22"/>
              </w:rPr>
              <w:t>PLW and care takers of U2 children</w:t>
            </w:r>
          </w:p>
        </w:tc>
        <w:tc>
          <w:tcPr>
            <w:tcW w:w="767" w:type="pct"/>
            <w:vAlign w:val="center"/>
          </w:tcPr>
          <w:p w14:paraId="34360236" w14:textId="77777777" w:rsidR="00195068" w:rsidRDefault="00195068" w:rsidP="009C00E4">
            <w:pPr>
              <w:jc w:val="right"/>
              <w:rPr>
                <w:rFonts w:ascii="Calibri" w:hAnsi="Calibri" w:cs="Calibri"/>
                <w:color w:val="000000"/>
              </w:rPr>
            </w:pPr>
            <w:r>
              <w:rPr>
                <w:rFonts w:ascii="Calibri" w:hAnsi="Calibri" w:cs="Calibri"/>
                <w:color w:val="000000"/>
              </w:rPr>
              <w:t>1.8%</w:t>
            </w:r>
          </w:p>
        </w:tc>
      </w:tr>
      <w:tr w:rsidR="00195068" w:rsidRPr="00D36302" w14:paraId="142E99FA" w14:textId="77777777" w:rsidTr="009C00E4">
        <w:tc>
          <w:tcPr>
            <w:tcW w:w="4233" w:type="pct"/>
            <w:gridSpan w:val="5"/>
          </w:tcPr>
          <w:p w14:paraId="65ACE3DA" w14:textId="77777777" w:rsidR="00195068" w:rsidRPr="00B1388B" w:rsidRDefault="00195068" w:rsidP="009C00E4">
            <w:pPr>
              <w:pStyle w:val="NormalWeb"/>
              <w:spacing w:before="0" w:beforeAutospacing="0" w:after="0" w:afterAutospacing="0"/>
              <w:jc w:val="center"/>
              <w:textAlignment w:val="center"/>
              <w:rPr>
                <w:rFonts w:ascii="Gill Sans MT" w:hAnsi="Gill Sans MT" w:cs="Arial"/>
                <w:b/>
                <w:sz w:val="20"/>
                <w:szCs w:val="22"/>
              </w:rPr>
            </w:pPr>
            <w:r w:rsidRPr="00B1388B">
              <w:rPr>
                <w:rFonts w:ascii="Gill Sans MT" w:hAnsi="Gill Sans MT" w:cs="Arial"/>
                <w:b/>
                <w:sz w:val="20"/>
                <w:szCs w:val="22"/>
              </w:rPr>
              <w:t>Percent of HEW time needed for the four selected nutrition services</w:t>
            </w:r>
          </w:p>
        </w:tc>
        <w:tc>
          <w:tcPr>
            <w:tcW w:w="767" w:type="pct"/>
            <w:vAlign w:val="center"/>
          </w:tcPr>
          <w:p w14:paraId="34AE0CD2" w14:textId="77777777" w:rsidR="00195068" w:rsidRPr="00B1388B" w:rsidRDefault="00195068" w:rsidP="009C00E4">
            <w:pPr>
              <w:jc w:val="right"/>
              <w:rPr>
                <w:rFonts w:ascii="Calibri" w:hAnsi="Calibri" w:cs="Calibri"/>
                <w:b/>
                <w:color w:val="000000"/>
              </w:rPr>
            </w:pPr>
            <w:r w:rsidRPr="00B1388B">
              <w:rPr>
                <w:rFonts w:ascii="Calibri" w:hAnsi="Calibri" w:cs="Calibri"/>
                <w:b/>
                <w:color w:val="000000"/>
              </w:rPr>
              <w:t>42.9%</w:t>
            </w:r>
          </w:p>
        </w:tc>
      </w:tr>
    </w:tbl>
    <w:p w14:paraId="5AD5BC73" w14:textId="77777777" w:rsidR="00195068" w:rsidRPr="009A3860" w:rsidRDefault="00195068" w:rsidP="00195068"/>
    <w:p w14:paraId="54AB5D32" w14:textId="77777777" w:rsidR="00195068" w:rsidRDefault="00195068" w:rsidP="00195068">
      <w:pPr>
        <w:rPr>
          <w:rFonts w:ascii="Gill Sans MT" w:eastAsiaTheme="majorEastAsia" w:hAnsi="Gill Sans MT" w:cstheme="majorBidi"/>
          <w:b/>
          <w:color w:val="FF0000"/>
          <w:sz w:val="32"/>
          <w:szCs w:val="32"/>
        </w:rPr>
      </w:pPr>
      <w:r>
        <w:rPr>
          <w:color w:val="FF0000"/>
        </w:rPr>
        <w:br w:type="page"/>
      </w:r>
    </w:p>
    <w:p w14:paraId="4D2323B3" w14:textId="77777777" w:rsidR="00195068" w:rsidRPr="00122D0E" w:rsidRDefault="00195068" w:rsidP="00195068">
      <w:pPr>
        <w:pStyle w:val="Heading1"/>
        <w:rPr>
          <w:color w:val="FF0000"/>
        </w:rPr>
      </w:pPr>
      <w:r>
        <w:rPr>
          <w:color w:val="FF0000"/>
        </w:rPr>
        <w:lastRenderedPageBreak/>
        <w:t>Annex-4</w:t>
      </w:r>
      <w:r w:rsidRPr="00122D0E">
        <w:rPr>
          <w:color w:val="FF0000"/>
        </w:rPr>
        <w:t>: References</w:t>
      </w:r>
    </w:p>
    <w:p w14:paraId="581D7061" w14:textId="77777777" w:rsidR="00195068" w:rsidRPr="00122D0E" w:rsidRDefault="00195068" w:rsidP="00195068">
      <w:pPr>
        <w:spacing w:after="0" w:line="240" w:lineRule="auto"/>
        <w:rPr>
          <w:rFonts w:ascii="Gill Sans MT" w:hAnsi="Gill Sans MT" w:cs="Segoe UI"/>
          <w:color w:val="5B9BD5" w:themeColor="accent5"/>
          <w:shd w:val="clear" w:color="auto" w:fill="FFFFFF"/>
        </w:rPr>
      </w:pPr>
      <w:r w:rsidRPr="00122D0E">
        <w:rPr>
          <w:rFonts w:ascii="Gill Sans MT" w:hAnsi="Gill Sans MT" w:cs="Segoe UI"/>
          <w:color w:val="5B9BD5" w:themeColor="accent5"/>
          <w:shd w:val="clear" w:color="auto" w:fill="FFFFFF"/>
        </w:rPr>
        <w:t>1-Miller NP, Bagheri Ardestani F, Wong H, Stokes S, Mengistu B, Paulos M, Agonafir N, Sylla M, Ameha A, Birhanu BG, Khan S, Lemango ET. Barriers to the utilization of community-based child and newborn health services in Ethiopia: a scoping review. Health Policy Plan. 2021 Aug 12;36(7):1187-1196. doi: 10.1093/heapol/czab047. PMID: 33885143; PMCID: PMC8496769.</w:t>
      </w:r>
    </w:p>
    <w:p w14:paraId="7C6D17B8" w14:textId="77777777" w:rsidR="00195068" w:rsidRPr="00122D0E" w:rsidRDefault="00195068" w:rsidP="00195068">
      <w:pPr>
        <w:spacing w:after="0" w:line="240" w:lineRule="auto"/>
        <w:rPr>
          <w:rFonts w:ascii="Gill Sans MT" w:hAnsi="Gill Sans MT"/>
          <w:color w:val="5B9BD5" w:themeColor="accent5"/>
        </w:rPr>
      </w:pPr>
      <w:r w:rsidRPr="00122D0E">
        <w:rPr>
          <w:rFonts w:ascii="Gill Sans MT" w:hAnsi="Gill Sans MT" w:cs="Segoe UI"/>
          <w:color w:val="5B9BD5" w:themeColor="accent5"/>
          <w:shd w:val="clear" w:color="auto" w:fill="FFFFFF"/>
        </w:rPr>
        <w:t>2-Medhanyie A, Spigt M, Dinant G, Blanco R. Knowledge and performance of the Ethiopian health extension workers on antenatal and delivery care: a cross-sectional study. Hum Resour Health. 2012;10(1):44.</w:t>
      </w:r>
    </w:p>
    <w:p w14:paraId="0033EFEC" w14:textId="77777777" w:rsidR="00195068" w:rsidRPr="00122D0E" w:rsidRDefault="00195068" w:rsidP="00195068">
      <w:pPr>
        <w:spacing w:after="0" w:line="240" w:lineRule="auto"/>
        <w:rPr>
          <w:rFonts w:ascii="Gill Sans MT" w:hAnsi="Gill Sans MT" w:cs="Segoe UI"/>
          <w:color w:val="5B9BD5" w:themeColor="accent5"/>
          <w:shd w:val="clear" w:color="auto" w:fill="FFFFFF"/>
        </w:rPr>
      </w:pPr>
      <w:r w:rsidRPr="00122D0E">
        <w:rPr>
          <w:rFonts w:ascii="Gill Sans MT" w:hAnsi="Gill Sans MT" w:cs="Segoe UI"/>
          <w:color w:val="5B9BD5" w:themeColor="accent5"/>
          <w:shd w:val="clear" w:color="auto" w:fill="FFFFFF"/>
        </w:rPr>
        <w:t>3-Assefa, Y., Gelaw, Y.A., Hill, P.S. </w:t>
      </w:r>
      <w:r w:rsidRPr="00122D0E">
        <w:rPr>
          <w:rFonts w:ascii="Gill Sans MT" w:hAnsi="Gill Sans MT" w:cs="Segoe UI"/>
          <w:i/>
          <w:iCs/>
          <w:color w:val="5B9BD5" w:themeColor="accent5"/>
          <w:shd w:val="clear" w:color="auto" w:fill="FFFFFF"/>
        </w:rPr>
        <w:t>et al.</w:t>
      </w:r>
      <w:r w:rsidRPr="00122D0E">
        <w:rPr>
          <w:rFonts w:ascii="Gill Sans MT" w:hAnsi="Gill Sans MT" w:cs="Segoe UI"/>
          <w:color w:val="5B9BD5" w:themeColor="accent5"/>
          <w:shd w:val="clear" w:color="auto" w:fill="FFFFFF"/>
        </w:rPr>
        <w:t> Community health extension program of Ethiopia, 2003–2018: successes and challenges toward universal coverage for primary healthcare services. </w:t>
      </w:r>
      <w:r w:rsidRPr="00122D0E">
        <w:rPr>
          <w:rFonts w:ascii="Gill Sans MT" w:hAnsi="Gill Sans MT" w:cs="Segoe UI"/>
          <w:i/>
          <w:iCs/>
          <w:color w:val="5B9BD5" w:themeColor="accent5"/>
          <w:shd w:val="clear" w:color="auto" w:fill="FFFFFF"/>
        </w:rPr>
        <w:t>Global Health</w:t>
      </w:r>
      <w:r w:rsidRPr="00122D0E">
        <w:rPr>
          <w:rFonts w:ascii="Gill Sans MT" w:hAnsi="Gill Sans MT" w:cs="Segoe UI"/>
          <w:color w:val="5B9BD5" w:themeColor="accent5"/>
          <w:shd w:val="clear" w:color="auto" w:fill="FFFFFF"/>
        </w:rPr>
        <w:t> </w:t>
      </w:r>
      <w:r w:rsidRPr="00122D0E">
        <w:rPr>
          <w:rFonts w:ascii="Gill Sans MT" w:hAnsi="Gill Sans MT" w:cs="Segoe UI"/>
          <w:b/>
          <w:bCs/>
          <w:color w:val="5B9BD5" w:themeColor="accent5"/>
          <w:shd w:val="clear" w:color="auto" w:fill="FFFFFF"/>
        </w:rPr>
        <w:t>15, </w:t>
      </w:r>
      <w:r w:rsidRPr="00122D0E">
        <w:rPr>
          <w:rFonts w:ascii="Gill Sans MT" w:hAnsi="Gill Sans MT" w:cs="Segoe UI"/>
          <w:color w:val="5B9BD5" w:themeColor="accent5"/>
          <w:shd w:val="clear" w:color="auto" w:fill="FFFFFF"/>
        </w:rPr>
        <w:t xml:space="preserve">24 (2019). </w:t>
      </w:r>
      <w:hyperlink r:id="rId10" w:history="1">
        <w:r w:rsidRPr="00122D0E">
          <w:rPr>
            <w:rStyle w:val="Hyperlink"/>
            <w:rFonts w:ascii="Gill Sans MT" w:hAnsi="Gill Sans MT"/>
            <w:color w:val="5B9BD5" w:themeColor="accent5"/>
            <w:shd w:val="clear" w:color="auto" w:fill="FFFFFF"/>
          </w:rPr>
          <w:t>https://doi.org/10.1186/s12992-019-0470-1</w:t>
        </w:r>
      </w:hyperlink>
    </w:p>
    <w:p w14:paraId="6387F0CC" w14:textId="77777777" w:rsidR="00195068" w:rsidRPr="009A3860" w:rsidRDefault="00195068" w:rsidP="00195068">
      <w:pPr>
        <w:pStyle w:val="c-reading-companionreference-citation"/>
        <w:shd w:val="clear" w:color="auto" w:fill="FFFFFF"/>
        <w:spacing w:before="0" w:beforeAutospacing="0" w:after="0" w:afterAutospacing="0"/>
        <w:rPr>
          <w:rFonts w:ascii="Gill Sans MT" w:hAnsi="Gill Sans MT" w:cs="Segoe UI"/>
          <w:color w:val="5B9BD5" w:themeColor="accent5"/>
          <w:sz w:val="22"/>
          <w:szCs w:val="22"/>
        </w:rPr>
      </w:pPr>
      <w:r w:rsidRPr="009A3860">
        <w:rPr>
          <w:rFonts w:ascii="Gill Sans MT" w:hAnsi="Gill Sans MT" w:cs="Segoe UI"/>
          <w:color w:val="5B9BD5" w:themeColor="accent5"/>
          <w:sz w:val="22"/>
          <w:szCs w:val="22"/>
        </w:rPr>
        <w:t>4-Bekele A, Kefale M, Tadesse M. Preliminary assessment of the implementation of the health services extension program: the case of southern Ethiopia. Ethiopian J Health Dev (EJHD). 2008;22(3):302–5.</w:t>
      </w:r>
    </w:p>
    <w:p w14:paraId="712DA790" w14:textId="77777777" w:rsidR="00195068" w:rsidRPr="00122D0E" w:rsidRDefault="00195068" w:rsidP="00195068">
      <w:pPr>
        <w:spacing w:after="0" w:line="240" w:lineRule="auto"/>
        <w:rPr>
          <w:rFonts w:ascii="Gill Sans MT" w:hAnsi="Gill Sans MT"/>
          <w:color w:val="5B9BD5" w:themeColor="accent5"/>
          <w:shd w:val="clear" w:color="auto" w:fill="FFFFFF"/>
        </w:rPr>
      </w:pPr>
      <w:r w:rsidRPr="00122D0E">
        <w:rPr>
          <w:rFonts w:ascii="Gill Sans MT" w:hAnsi="Gill Sans MT"/>
          <w:color w:val="5B9BD5" w:themeColor="accent5"/>
          <w:shd w:val="clear" w:color="auto" w:fill="FFFFFF"/>
        </w:rPr>
        <w:t xml:space="preserve">5-Ethiopian Public Health Institute (EPHI). Ethiopian Service Availability and Readiness Assessment 2016 Summary Report Addis Ababa, Ethiopia: EPHI; 2017 [cited 2018 6 June]. Available </w:t>
      </w:r>
    </w:p>
    <w:p w14:paraId="7F822549" w14:textId="77777777" w:rsidR="00195068" w:rsidRPr="00122D0E" w:rsidRDefault="00195068" w:rsidP="00195068">
      <w:pPr>
        <w:shd w:val="clear" w:color="auto" w:fill="FFFFFF"/>
        <w:spacing w:after="0" w:line="240" w:lineRule="auto"/>
        <w:rPr>
          <w:rFonts w:ascii="Gill Sans MT" w:eastAsia="Times New Roman" w:hAnsi="Gill Sans MT" w:cs="Times New Roman"/>
          <w:color w:val="333333"/>
        </w:rPr>
      </w:pPr>
      <w:r w:rsidRPr="00122D0E">
        <w:rPr>
          <w:rFonts w:ascii="Gill Sans MT" w:hAnsi="Gill Sans MT" w:cs="Segoe UI"/>
          <w:color w:val="5B9BD5" w:themeColor="accent5"/>
        </w:rPr>
        <w:t>6-Fetene N, Linnander E, Fekadu B, Alemu H, Omer H, Canavan M, et al. The Ethiopian health extension program and variation in health systems performance: What matters? PLoS ONE. 2016;11(5). </w:t>
      </w:r>
      <w:hyperlink r:id="rId11" w:history="1">
        <w:r w:rsidRPr="00122D0E">
          <w:rPr>
            <w:rStyle w:val="Hyperlink"/>
            <w:rFonts w:ascii="Gill Sans MT" w:hAnsi="Gill Sans MT"/>
            <w:color w:val="5B9BD5" w:themeColor="accent5"/>
          </w:rPr>
          <w:t>https://doi.org/10.1371/journal.pone.0156438</w:t>
        </w:r>
      </w:hyperlink>
    </w:p>
    <w:p w14:paraId="3EDD69F7" w14:textId="77777777" w:rsidR="00195068" w:rsidRPr="00122D0E" w:rsidRDefault="00195068" w:rsidP="00195068">
      <w:pPr>
        <w:shd w:val="clear" w:color="auto" w:fill="FFFFFF"/>
        <w:spacing w:after="0" w:line="240" w:lineRule="auto"/>
        <w:rPr>
          <w:rFonts w:ascii="Georgia" w:eastAsia="Times New Roman" w:hAnsi="Georgia" w:cs="Times New Roman"/>
          <w:color w:val="5B9BD5" w:themeColor="accent5"/>
        </w:rPr>
      </w:pPr>
      <w:r w:rsidRPr="00122D0E">
        <w:rPr>
          <w:rFonts w:ascii="Gill Sans MT" w:hAnsi="Gill Sans MT"/>
          <w:color w:val="5B9BD5" w:themeColor="accent5"/>
          <w:shd w:val="clear" w:color="auto" w:fill="FFFFFF"/>
        </w:rPr>
        <w:t>from: </w:t>
      </w:r>
      <w:hyperlink r:id="rId12" w:history="1">
        <w:r w:rsidRPr="00122D0E">
          <w:rPr>
            <w:rStyle w:val="Hyperlink"/>
            <w:rFonts w:ascii="Gill Sans MT" w:hAnsi="Gill Sans MT"/>
            <w:color w:val="5B9BD5" w:themeColor="accent5"/>
            <w:shd w:val="clear" w:color="auto" w:fill="FFFFFF"/>
          </w:rPr>
          <w:t>https://www.washinhcf.org/documents/Final-SARA-Report-Jan-2017.pdf</w:t>
        </w:r>
      </w:hyperlink>
      <w:r w:rsidRPr="00122D0E">
        <w:rPr>
          <w:rFonts w:ascii="Georgia" w:hAnsi="Georgia"/>
          <w:color w:val="5B9BD5" w:themeColor="accent5"/>
          <w:shd w:val="clear" w:color="auto" w:fill="FFFFFF"/>
        </w:rPr>
        <w:t>.</w:t>
      </w:r>
    </w:p>
    <w:p w14:paraId="4F36F9BA" w14:textId="77777777" w:rsidR="00195068" w:rsidRPr="00122D0E" w:rsidRDefault="00195068" w:rsidP="00195068">
      <w:pPr>
        <w:spacing w:after="0" w:line="240" w:lineRule="auto"/>
        <w:rPr>
          <w:rFonts w:ascii="Gill Sans MT" w:hAnsi="Gill Sans MT" w:cs="Segoe UI"/>
          <w:color w:val="5B9BD5" w:themeColor="accent5"/>
          <w:shd w:val="clear" w:color="auto" w:fill="FFFFFF"/>
        </w:rPr>
      </w:pPr>
      <w:r w:rsidRPr="00122D0E">
        <w:rPr>
          <w:rFonts w:ascii="Gill Sans MT" w:hAnsi="Gill Sans MT" w:cs="Segoe UI"/>
          <w:color w:val="5B9BD5" w:themeColor="accent5"/>
          <w:shd w:val="clear" w:color="auto" w:fill="FFFFFF"/>
        </w:rPr>
        <w:t>7-Selamu M, Thornicroft G, Fekadu A, Hanlon C. Conceptualisation of job-related wellbeing, stress and burnout among healthcare workers in rural Ethiopia: a qualitative study. BMC Health Serv Res. 2017;17(1):412. </w:t>
      </w:r>
      <w:hyperlink r:id="rId13" w:history="1">
        <w:r w:rsidRPr="00122D0E">
          <w:rPr>
            <w:rStyle w:val="Hyperlink"/>
            <w:rFonts w:ascii="Gill Sans MT" w:hAnsi="Gill Sans MT"/>
            <w:color w:val="5B9BD5" w:themeColor="accent5"/>
            <w:shd w:val="clear" w:color="auto" w:fill="FFFFFF"/>
          </w:rPr>
          <w:t>https://doi.org/10.1186/s12913-017-2370-5</w:t>
        </w:r>
      </w:hyperlink>
      <w:r w:rsidRPr="00122D0E">
        <w:rPr>
          <w:rFonts w:ascii="Gill Sans MT" w:hAnsi="Gill Sans MT" w:cs="Segoe UI"/>
          <w:color w:val="5B9BD5" w:themeColor="accent5"/>
          <w:shd w:val="clear" w:color="auto" w:fill="FFFFFF"/>
        </w:rPr>
        <w:t>.</w:t>
      </w:r>
    </w:p>
    <w:p w14:paraId="0B173BFA" w14:textId="77777777" w:rsidR="00195068" w:rsidRPr="00122D0E" w:rsidRDefault="00195068" w:rsidP="00195068">
      <w:pPr>
        <w:spacing w:after="0" w:line="240" w:lineRule="auto"/>
        <w:rPr>
          <w:rFonts w:ascii="Gill Sans MT" w:hAnsi="Gill Sans MT" w:cs="Segoe UI"/>
          <w:color w:val="5B9BD5" w:themeColor="accent5"/>
          <w:shd w:val="clear" w:color="auto" w:fill="FFFFFF"/>
        </w:rPr>
      </w:pPr>
      <w:r w:rsidRPr="00122D0E">
        <w:rPr>
          <w:rFonts w:ascii="Gill Sans MT" w:hAnsi="Gill Sans MT" w:cs="Segoe UI"/>
          <w:color w:val="5B9BD5" w:themeColor="accent5"/>
          <w:shd w:val="clear" w:color="auto" w:fill="FFFFFF"/>
        </w:rPr>
        <w:t>8-Desta FA, Shifa GT, Dagoye DW, Carr C, Van Roosmalen J, Stekelenburg J, et al. Identifying gaps in the practices of rural health extension workers in Ethiopia: a task analysis study. BMC Health Serv Res. 2017;17(1):839. </w:t>
      </w:r>
      <w:hyperlink r:id="rId14" w:history="1">
        <w:r w:rsidRPr="00122D0E">
          <w:rPr>
            <w:rStyle w:val="Hyperlink"/>
            <w:rFonts w:ascii="Gill Sans MT" w:hAnsi="Gill Sans MT"/>
            <w:color w:val="5B9BD5" w:themeColor="accent5"/>
            <w:shd w:val="clear" w:color="auto" w:fill="FFFFFF"/>
          </w:rPr>
          <w:t>https://doi.org/10.1186/s12913-017-2804-0</w:t>
        </w:r>
      </w:hyperlink>
      <w:r w:rsidRPr="00122D0E">
        <w:rPr>
          <w:rFonts w:ascii="Gill Sans MT" w:hAnsi="Gill Sans MT" w:cs="Segoe UI"/>
          <w:color w:val="5B9BD5" w:themeColor="accent5"/>
          <w:shd w:val="clear" w:color="auto" w:fill="FFFFFF"/>
        </w:rPr>
        <w:t> PubMed PMID: 29262806; PubMed Central PMCID: PMCPMC5738923.</w:t>
      </w:r>
    </w:p>
    <w:p w14:paraId="15648C69" w14:textId="77777777" w:rsidR="00195068" w:rsidRPr="009A3860" w:rsidRDefault="00195068" w:rsidP="00195068">
      <w:pPr>
        <w:pStyle w:val="Heading1"/>
        <w:spacing w:before="0" w:line="240" w:lineRule="auto"/>
        <w:rPr>
          <w:rFonts w:cs="Segoe UI"/>
          <w:b w:val="0"/>
          <w:color w:val="5B9BD5" w:themeColor="accent5"/>
          <w:sz w:val="22"/>
          <w:szCs w:val="22"/>
          <w:shd w:val="clear" w:color="auto" w:fill="FFFFFF"/>
        </w:rPr>
      </w:pPr>
      <w:r w:rsidRPr="009A3860">
        <w:rPr>
          <w:rFonts w:cs="Segoe UI"/>
          <w:b w:val="0"/>
          <w:color w:val="5B9BD5" w:themeColor="accent5"/>
          <w:sz w:val="22"/>
          <w:szCs w:val="22"/>
          <w:shd w:val="clear" w:color="auto" w:fill="FFFFFF"/>
        </w:rPr>
        <w:t xml:space="preserve">9-Mengistu B, Karim AM, Eniyew A, Yitabrek A, Eniyew A, Tsegaye S, et al. Effect of performance review and clinical mentoring meetings (PRCMM) on recording of community case management by health extension workers in Ethiopia. Ethiop Med J. 2014;52(Suppl 3):73–81 PubMed PMID: 25845076. </w:t>
      </w:r>
    </w:p>
    <w:p w14:paraId="4D6B6086" w14:textId="77777777" w:rsidR="00195068" w:rsidRPr="00122D0E" w:rsidRDefault="00195068" w:rsidP="00195068">
      <w:pPr>
        <w:spacing w:after="0" w:line="240" w:lineRule="auto"/>
        <w:rPr>
          <w:rFonts w:ascii="Gill Sans MT" w:hAnsi="Gill Sans MT" w:cs="Segoe UI"/>
          <w:color w:val="5B9BD5" w:themeColor="accent5"/>
          <w:shd w:val="clear" w:color="auto" w:fill="FFFFFF"/>
        </w:rPr>
      </w:pPr>
      <w:r w:rsidRPr="00122D0E">
        <w:rPr>
          <w:rFonts w:ascii="Gill Sans MT" w:hAnsi="Gill Sans MT" w:cs="Segoe UI"/>
          <w:color w:val="5B9BD5" w:themeColor="accent5"/>
          <w:shd w:val="clear" w:color="auto" w:fill="FFFFFF"/>
        </w:rPr>
        <w:t xml:space="preserve">11-Tilahun H, Fekadu B, Abdisa H, Canavan M, Linnander E, Bradley EH, et al. Ethiopia’s health extension workers use of work time on duty: time and motion study. Health Policy Plan. 2017;32(3):320 8.  </w:t>
      </w:r>
      <w:hyperlink r:id="rId15" w:history="1">
        <w:r w:rsidRPr="00122D0E">
          <w:rPr>
            <w:rStyle w:val="Hyperlink"/>
            <w:rFonts w:ascii="Gill Sans MT" w:hAnsi="Gill Sans MT"/>
            <w:color w:val="5B9BD5" w:themeColor="accent5"/>
            <w:shd w:val="clear" w:color="auto" w:fill="FFFFFF"/>
          </w:rPr>
          <w:t>https://doi.org/10.1093/heapol/czw129</w:t>
        </w:r>
      </w:hyperlink>
      <w:r w:rsidRPr="00122D0E">
        <w:rPr>
          <w:rFonts w:ascii="Gill Sans MT" w:hAnsi="Gill Sans MT" w:cs="Segoe UI"/>
          <w:color w:val="5B9BD5" w:themeColor="accent5"/>
          <w:shd w:val="clear" w:color="auto" w:fill="FFFFFF"/>
        </w:rPr>
        <w:t>.</w:t>
      </w:r>
    </w:p>
    <w:p w14:paraId="2B62E05A" w14:textId="77777777" w:rsidR="00195068" w:rsidRPr="00122D0E" w:rsidRDefault="00195068" w:rsidP="00195068">
      <w:pPr>
        <w:spacing w:after="0" w:line="240" w:lineRule="auto"/>
        <w:rPr>
          <w:rFonts w:ascii="Gill Sans MT" w:hAnsi="Gill Sans MT" w:cs="Segoe UI"/>
          <w:color w:val="5B9BD5" w:themeColor="accent5"/>
          <w:shd w:val="clear" w:color="auto" w:fill="FFFFFF"/>
        </w:rPr>
      </w:pPr>
      <w:r w:rsidRPr="00122D0E">
        <w:rPr>
          <w:rFonts w:ascii="Gill Sans MT" w:hAnsi="Gill Sans MT" w:cs="Segoe UI"/>
          <w:color w:val="5B9BD5" w:themeColor="accent5"/>
          <w:shd w:val="clear" w:color="auto" w:fill="FFFFFF"/>
        </w:rPr>
        <w:t>12-Teklehaimanot A: Study of the working conditions for health extension workers in Ethiopia. Ethiopian Journal of Health Development. 2007, 21 (3): 246-259</w:t>
      </w:r>
    </w:p>
    <w:p w14:paraId="0B45B736" w14:textId="77777777" w:rsidR="00195068" w:rsidRPr="00122D0E" w:rsidRDefault="00195068" w:rsidP="00195068">
      <w:pPr>
        <w:spacing w:after="0" w:line="240" w:lineRule="auto"/>
        <w:rPr>
          <w:rFonts w:ascii="Gill Sans MT" w:hAnsi="Gill Sans MT" w:cs="Arial"/>
          <w:color w:val="C45911" w:themeColor="accent2" w:themeShade="BF"/>
          <w:shd w:val="clear" w:color="auto" w:fill="FFFFFF"/>
        </w:rPr>
      </w:pPr>
      <w:r w:rsidRPr="00122D0E">
        <w:rPr>
          <w:rFonts w:ascii="Gill Sans MT" w:hAnsi="Gill Sans MT" w:cs="Arial"/>
          <w:color w:val="C45911" w:themeColor="accent2" w:themeShade="BF"/>
          <w:shd w:val="clear" w:color="auto" w:fill="FFFFFF"/>
        </w:rPr>
        <w:t>a)-Assefa Y, Gelaw YA, Hill PS, et al. Community health extension program of Ethiopia, 2003–2018: successes and challenges toward universal coverage for primary healthcare services. Glob Health. 2019;15:24.</w:t>
      </w:r>
    </w:p>
    <w:p w14:paraId="0C925648" w14:textId="77777777" w:rsidR="00195068" w:rsidRPr="00122D0E" w:rsidRDefault="00195068" w:rsidP="00195068">
      <w:pPr>
        <w:spacing w:after="0"/>
        <w:rPr>
          <w:rFonts w:ascii="Gill Sans MT" w:hAnsi="Gill Sans MT"/>
          <w:b/>
          <w:color w:val="C45911" w:themeColor="accent2" w:themeShade="BF"/>
        </w:rPr>
      </w:pPr>
      <w:r w:rsidRPr="00122D0E">
        <w:rPr>
          <w:rFonts w:ascii="Gill Sans MT" w:hAnsi="Gill Sans MT" w:cs="Segoe UI"/>
          <w:color w:val="C45911" w:themeColor="accent2" w:themeShade="BF"/>
          <w:shd w:val="clear" w:color="auto" w:fill="FFFFFF"/>
        </w:rPr>
        <w:t>1-Jaskiewicz, W., Tulenko, K. Increasing community health worker productivity and effectiveness: a review of the influence of the work environment. </w:t>
      </w:r>
      <w:r w:rsidRPr="00122D0E">
        <w:rPr>
          <w:rFonts w:ascii="Gill Sans MT" w:hAnsi="Gill Sans MT" w:cs="Segoe UI"/>
          <w:i/>
          <w:iCs/>
          <w:color w:val="C45911" w:themeColor="accent2" w:themeShade="BF"/>
          <w:shd w:val="clear" w:color="auto" w:fill="FFFFFF"/>
        </w:rPr>
        <w:t>Hum Resour Health</w:t>
      </w:r>
      <w:r w:rsidRPr="00122D0E">
        <w:rPr>
          <w:rFonts w:ascii="Gill Sans MT" w:hAnsi="Gill Sans MT" w:cs="Segoe UI"/>
          <w:color w:val="C45911" w:themeColor="accent2" w:themeShade="BF"/>
          <w:shd w:val="clear" w:color="auto" w:fill="FFFFFF"/>
        </w:rPr>
        <w:t> </w:t>
      </w:r>
      <w:r w:rsidRPr="00122D0E">
        <w:rPr>
          <w:rFonts w:ascii="Gill Sans MT" w:hAnsi="Gill Sans MT" w:cs="Segoe UI"/>
          <w:b/>
          <w:bCs/>
          <w:color w:val="C45911" w:themeColor="accent2" w:themeShade="BF"/>
          <w:shd w:val="clear" w:color="auto" w:fill="FFFFFF"/>
        </w:rPr>
        <w:t>10</w:t>
      </w:r>
      <w:r w:rsidRPr="00122D0E">
        <w:rPr>
          <w:rFonts w:ascii="Gill Sans MT" w:hAnsi="Gill Sans MT" w:cs="Segoe UI"/>
          <w:color w:val="C45911" w:themeColor="accent2" w:themeShade="BF"/>
          <w:shd w:val="clear" w:color="auto" w:fill="FFFFFF"/>
        </w:rPr>
        <w:t>, 38 (2012). https://doi.org/10.1186/1478-4491-10-38</w:t>
      </w:r>
    </w:p>
    <w:p w14:paraId="6504BC74" w14:textId="77777777" w:rsidR="00195068" w:rsidRPr="00122D0E" w:rsidRDefault="00195068" w:rsidP="00195068">
      <w:pPr>
        <w:spacing w:after="0" w:line="240" w:lineRule="auto"/>
        <w:rPr>
          <w:rFonts w:ascii="Gill Sans MT" w:hAnsi="Gill Sans MT"/>
          <w:color w:val="C45911" w:themeColor="accent2" w:themeShade="BF"/>
        </w:rPr>
      </w:pPr>
      <w:r w:rsidRPr="00122D0E">
        <w:rPr>
          <w:rFonts w:ascii="Gill Sans MT" w:hAnsi="Gill Sans MT" w:cs="Segoe UI"/>
          <w:color w:val="C45911" w:themeColor="accent2" w:themeShade="BF"/>
          <w:shd w:val="clear" w:color="auto" w:fill="FFFFFF"/>
        </w:rPr>
        <w:t>2-Swider S: Outcome effectiveness of community health workers: an integrative literature review. Public Health Nursing. 2002, 19 (1): 11-20. 10.1046/j.1525-1446.2002.19003.x.</w:t>
      </w:r>
    </w:p>
    <w:p w14:paraId="01BEA61B" w14:textId="77777777" w:rsidR="00195068" w:rsidRPr="00122D0E" w:rsidRDefault="00195068" w:rsidP="00195068">
      <w:pPr>
        <w:spacing w:after="0" w:line="240" w:lineRule="auto"/>
        <w:rPr>
          <w:rFonts w:ascii="Gill Sans MT" w:hAnsi="Gill Sans MT"/>
        </w:rPr>
      </w:pPr>
      <w:r w:rsidRPr="00122D0E">
        <w:rPr>
          <w:rFonts w:ascii="Gill Sans MT" w:hAnsi="Gill Sans MT" w:cs="Segoe UI"/>
          <w:color w:val="C45911" w:themeColor="accent2" w:themeShade="BF"/>
          <w:shd w:val="clear" w:color="auto" w:fill="FFFFFF"/>
        </w:rPr>
        <w:t>3-Hermann K: Community health workers for ART in sub-Saharan Africa: learning from experience – capitalizing on new opportunities. Human Resources for Health. 2009, 7: 31-10.1186/1478-4491-7-31.</w:t>
      </w:r>
    </w:p>
    <w:p w14:paraId="09F705DF" w14:textId="77777777" w:rsidR="00195068" w:rsidRPr="00122D0E" w:rsidRDefault="00195068" w:rsidP="00195068">
      <w:pPr>
        <w:spacing w:after="0" w:line="240" w:lineRule="auto"/>
        <w:rPr>
          <w:rFonts w:ascii="Gill Sans MT" w:hAnsi="Gill Sans MT"/>
          <w:color w:val="C00000"/>
          <w:shd w:val="clear" w:color="auto" w:fill="FFFFFF"/>
        </w:rPr>
      </w:pPr>
      <w:r w:rsidRPr="00122D0E">
        <w:rPr>
          <w:rFonts w:ascii="Gill Sans MT" w:hAnsi="Gill Sans MT" w:cs="Segoe UI"/>
          <w:color w:val="C45911" w:themeColor="accent2" w:themeShade="BF"/>
          <w:shd w:val="clear" w:color="auto" w:fill="FFFFFF"/>
        </w:rPr>
        <w:t>4-Afsar HA, Younus M: Recommendations to strengthen the role of lady health workers in the national program for family planning and primary health care in Pakistan: the health workers perspective. Journal of Ayub Medical College, Abbottabad. 2005, 17: 48-53</w:t>
      </w:r>
    </w:p>
    <w:p w14:paraId="64A8E7FF" w14:textId="77777777" w:rsidR="00195068" w:rsidRPr="00122D0E" w:rsidRDefault="00195068" w:rsidP="00195068">
      <w:pPr>
        <w:spacing w:after="0" w:line="240" w:lineRule="auto"/>
        <w:rPr>
          <w:rFonts w:ascii="Gill Sans MT" w:hAnsi="Gill Sans MT"/>
          <w:color w:val="333333"/>
          <w:shd w:val="clear" w:color="auto" w:fill="FFFFFF"/>
        </w:rPr>
      </w:pPr>
      <w:r w:rsidRPr="00122D0E">
        <w:rPr>
          <w:rFonts w:ascii="Gill Sans MT" w:hAnsi="Gill Sans MT" w:cs="Segoe UI"/>
          <w:color w:val="C45911" w:themeColor="accent2" w:themeShade="BF"/>
          <w:shd w:val="clear" w:color="auto" w:fill="FFFFFF"/>
        </w:rPr>
        <w:lastRenderedPageBreak/>
        <w:t>5-Crigler L, Hill K, Furth R, Bjerregaard D: Community Health Worker Assessment and Improvement Matrix (CHW AIM): A Toolkit for Improving Community Health Worker Programs and Services. 2011, USAID Health Care Improvement Project, Bethesda, MD, University Research Co., LLC (URC)</w:t>
      </w:r>
    </w:p>
    <w:p w14:paraId="3ED90402" w14:textId="77777777" w:rsidR="00195068" w:rsidRPr="00122D0E" w:rsidRDefault="00195068" w:rsidP="00195068">
      <w:pPr>
        <w:spacing w:after="0" w:line="240" w:lineRule="auto"/>
        <w:rPr>
          <w:b/>
          <w:color w:val="333333"/>
          <w:shd w:val="clear" w:color="auto" w:fill="FFFFFF"/>
        </w:rPr>
      </w:pPr>
      <w:r w:rsidRPr="00122D0E">
        <w:rPr>
          <w:rFonts w:ascii="Gill Sans MT" w:hAnsi="Gill Sans MT" w:cs="Segoe UI"/>
          <w:color w:val="C45911" w:themeColor="accent2" w:themeShade="BF"/>
          <w:shd w:val="clear" w:color="auto" w:fill="FFFFFF"/>
        </w:rPr>
        <w:t>6-Hermann K: Community health workers for ART in sub-Saharan Africa: learning from experience – capitalizing on new opportunities. Human Resources for Health. 2009, 7: 31-10.1186/1478-4491-7-31.</w:t>
      </w:r>
    </w:p>
    <w:p w14:paraId="267B9E3D" w14:textId="77777777" w:rsidR="00195068" w:rsidRPr="00122D0E" w:rsidRDefault="00195068" w:rsidP="00195068">
      <w:pPr>
        <w:spacing w:after="0" w:line="240" w:lineRule="auto"/>
        <w:rPr>
          <w:rFonts w:ascii="Gill Sans MT" w:hAnsi="Gill Sans MT" w:cs="Segoe UI"/>
          <w:color w:val="C45911" w:themeColor="accent2" w:themeShade="BF"/>
          <w:shd w:val="clear" w:color="auto" w:fill="FFFFFF"/>
        </w:rPr>
      </w:pPr>
      <w:r w:rsidRPr="00122D0E">
        <w:rPr>
          <w:rFonts w:ascii="Gill Sans MT" w:hAnsi="Gill Sans MT" w:cs="Segoe UI"/>
          <w:color w:val="C45911" w:themeColor="accent2" w:themeShade="BF"/>
          <w:shd w:val="clear" w:color="auto" w:fill="FFFFFF"/>
        </w:rPr>
        <w:t>7-Haines A: Achieving child survival goals: potential contribution of community health workers. Lancet. 2007, 369: 2121-2131. 10.1016/S0140-6736(07)60325-0.</w:t>
      </w:r>
    </w:p>
    <w:p w14:paraId="6F725802" w14:textId="77777777" w:rsidR="00195068" w:rsidRPr="00122D0E" w:rsidRDefault="00195068" w:rsidP="00195068">
      <w:pPr>
        <w:spacing w:after="0" w:line="240" w:lineRule="auto"/>
        <w:rPr>
          <w:rFonts w:ascii="Gill Sans MT" w:hAnsi="Gill Sans MT" w:cs="Segoe UI"/>
          <w:color w:val="C45911" w:themeColor="accent2" w:themeShade="BF"/>
          <w:shd w:val="clear" w:color="auto" w:fill="FFFFFF"/>
        </w:rPr>
      </w:pPr>
      <w:r w:rsidRPr="00122D0E">
        <w:rPr>
          <w:rFonts w:ascii="Gill Sans MT" w:hAnsi="Gill Sans MT" w:cs="Segoe UI"/>
          <w:color w:val="C45911" w:themeColor="accent2" w:themeShade="BF"/>
          <w:shd w:val="clear" w:color="auto" w:fill="FFFFFF"/>
        </w:rPr>
        <w:t>8-Haines A: Achieving child survival goals: potential contribution of community health workers. Lancet. 2007, 369: 2121-2131. 10.1016/S0140-6736(07)60325-0.</w:t>
      </w:r>
    </w:p>
    <w:p w14:paraId="10A73A5E" w14:textId="77777777" w:rsidR="00195068" w:rsidRPr="00122D0E" w:rsidRDefault="00195068" w:rsidP="00195068">
      <w:pPr>
        <w:spacing w:after="0" w:line="240" w:lineRule="auto"/>
        <w:rPr>
          <w:rFonts w:ascii="Gill Sans MT" w:hAnsi="Gill Sans MT"/>
          <w:color w:val="C45911" w:themeColor="accent2" w:themeShade="BF"/>
        </w:rPr>
      </w:pPr>
      <w:r w:rsidRPr="00122D0E">
        <w:rPr>
          <w:rFonts w:ascii="Gill Sans MT" w:hAnsi="Gill Sans MT" w:cs="Segoe UI"/>
          <w:color w:val="C45911" w:themeColor="accent2" w:themeShade="BF"/>
          <w:shd w:val="clear" w:color="auto" w:fill="FFFFFF"/>
        </w:rPr>
        <w:t>9-Bhattacharyya K: Community health worker incentives and disincentives: how they affect motivation, retention and sustainability. 2001, Arlington, VA, BASICS/USAID</w:t>
      </w:r>
    </w:p>
    <w:p w14:paraId="7A76E284" w14:textId="77777777" w:rsidR="00195068" w:rsidRPr="009A3860" w:rsidRDefault="00195068" w:rsidP="00195068">
      <w:pPr>
        <w:pStyle w:val="NormalWeb"/>
        <w:shd w:val="clear" w:color="auto" w:fill="FFFFFF"/>
        <w:spacing w:before="0" w:beforeAutospacing="0" w:after="0" w:afterAutospacing="0"/>
        <w:rPr>
          <w:rFonts w:ascii="Gill Sans MT" w:hAnsi="Gill Sans MT" w:cs="Segoe UI"/>
          <w:color w:val="C45911" w:themeColor="accent2" w:themeShade="BF"/>
          <w:sz w:val="22"/>
          <w:szCs w:val="22"/>
          <w:shd w:val="clear" w:color="auto" w:fill="FFFFFF"/>
        </w:rPr>
      </w:pPr>
      <w:r w:rsidRPr="009A3860">
        <w:rPr>
          <w:rFonts w:ascii="Gill Sans MT" w:hAnsi="Gill Sans MT" w:cs="Segoe UI"/>
          <w:color w:val="C45911" w:themeColor="accent2" w:themeShade="BF"/>
          <w:sz w:val="22"/>
          <w:szCs w:val="22"/>
          <w:shd w:val="clear" w:color="auto" w:fill="FFFFFF"/>
        </w:rPr>
        <w:t>10-Prasad BM, Muraleedharan VR: Community health workers: a review of concepts, practice and policy concerns. 2007, London, CREHS</w:t>
      </w:r>
    </w:p>
    <w:p w14:paraId="3DDCCEE6" w14:textId="77777777" w:rsidR="00195068" w:rsidRPr="009A3860" w:rsidRDefault="00195068" w:rsidP="00195068">
      <w:pPr>
        <w:pStyle w:val="NormalWeb"/>
        <w:shd w:val="clear" w:color="auto" w:fill="FFFFFF"/>
        <w:spacing w:before="0" w:beforeAutospacing="0" w:after="0" w:afterAutospacing="0"/>
        <w:rPr>
          <w:rFonts w:ascii="Gill Sans MT" w:hAnsi="Gill Sans MT"/>
          <w:color w:val="C45911" w:themeColor="accent2" w:themeShade="BF"/>
          <w:sz w:val="22"/>
          <w:szCs w:val="22"/>
          <w:shd w:val="clear" w:color="auto" w:fill="FFFFFF"/>
        </w:rPr>
      </w:pPr>
      <w:r w:rsidRPr="009A3860">
        <w:rPr>
          <w:rFonts w:ascii="Gill Sans MT" w:hAnsi="Gill Sans MT" w:cs="Segoe UI"/>
          <w:color w:val="C45911" w:themeColor="accent2" w:themeShade="BF"/>
          <w:sz w:val="22"/>
          <w:szCs w:val="22"/>
          <w:shd w:val="clear" w:color="auto" w:fill="FFFFFF"/>
        </w:rPr>
        <w:t>11-Bhattacharyya K: Community health worker incentives and disincentives: how they affect motivation, retention and sustainability. 2001, Arlington, VA, BASICS/USAID</w:t>
      </w:r>
    </w:p>
    <w:p w14:paraId="5AFA2B97" w14:textId="77777777" w:rsidR="00195068" w:rsidRPr="009A3860" w:rsidRDefault="00195068" w:rsidP="00195068">
      <w:pPr>
        <w:pStyle w:val="NormalWeb"/>
        <w:shd w:val="clear" w:color="auto" w:fill="FFFFFF"/>
        <w:spacing w:before="0" w:beforeAutospacing="0" w:after="0" w:afterAutospacing="0"/>
        <w:rPr>
          <w:rFonts w:ascii="Gill Sans MT" w:hAnsi="Gill Sans MT" w:cs="Segoe UI"/>
          <w:color w:val="C45911" w:themeColor="accent2" w:themeShade="BF"/>
          <w:sz w:val="22"/>
          <w:szCs w:val="22"/>
          <w:shd w:val="clear" w:color="auto" w:fill="FFFFFF"/>
        </w:rPr>
      </w:pPr>
      <w:r w:rsidRPr="009A3860">
        <w:rPr>
          <w:rFonts w:ascii="Gill Sans MT" w:hAnsi="Gill Sans MT" w:cs="Segoe UI"/>
          <w:color w:val="C45911" w:themeColor="accent2" w:themeShade="BF"/>
          <w:sz w:val="22"/>
          <w:szCs w:val="22"/>
          <w:shd w:val="clear" w:color="auto" w:fill="FFFFFF"/>
        </w:rPr>
        <w:t>12-Ruwoldt P, Hassett P: Zanzibar health care worker productivity study: preliminary study findings. 2007, Chapel Hill, NC, Capacity Project</w:t>
      </w:r>
    </w:p>
    <w:p w14:paraId="4A67181F" w14:textId="77777777" w:rsidR="00195068" w:rsidRPr="009A3860" w:rsidRDefault="00195068" w:rsidP="00195068">
      <w:pPr>
        <w:pStyle w:val="NormalWeb"/>
        <w:shd w:val="clear" w:color="auto" w:fill="FFFFFF"/>
        <w:spacing w:before="0" w:beforeAutospacing="0" w:after="0" w:afterAutospacing="0"/>
        <w:rPr>
          <w:rFonts w:ascii="Gill Sans MT" w:hAnsi="Gill Sans MT"/>
          <w:color w:val="333333"/>
          <w:sz w:val="22"/>
          <w:szCs w:val="22"/>
          <w:shd w:val="clear" w:color="auto" w:fill="FFFFFF"/>
        </w:rPr>
      </w:pPr>
      <w:r w:rsidRPr="009A3860">
        <w:rPr>
          <w:rFonts w:ascii="Gill Sans MT" w:hAnsi="Gill Sans MT" w:cs="Segoe UI"/>
          <w:color w:val="C45911" w:themeColor="accent2" w:themeShade="BF"/>
          <w:sz w:val="22"/>
          <w:szCs w:val="22"/>
          <w:shd w:val="clear" w:color="auto" w:fill="FFFFFF"/>
        </w:rPr>
        <w:t>Janowitz B: Make better use of provider time in public health clinics. 2006, Population Council, Washington, DC, FRONTIERS Program Brief No. 7</w:t>
      </w:r>
    </w:p>
    <w:p w14:paraId="7015360D" w14:textId="77777777" w:rsidR="00195068" w:rsidRPr="00122D0E" w:rsidRDefault="00195068" w:rsidP="00195068">
      <w:pPr>
        <w:spacing w:after="0" w:line="240" w:lineRule="auto"/>
        <w:rPr>
          <w:rFonts w:ascii="Gill Sans MT" w:hAnsi="Gill Sans MT" w:cs="Segoe UI"/>
          <w:color w:val="C45911" w:themeColor="accent2" w:themeShade="BF"/>
          <w:shd w:val="clear" w:color="auto" w:fill="FFFFFF"/>
        </w:rPr>
      </w:pPr>
      <w:r w:rsidRPr="00122D0E">
        <w:rPr>
          <w:rFonts w:ascii="Gill Sans MT" w:hAnsi="Gill Sans MT" w:cs="Segoe UI"/>
          <w:color w:val="C45911" w:themeColor="accent2" w:themeShade="BF"/>
          <w:shd w:val="clear" w:color="auto" w:fill="FFFFFF"/>
        </w:rPr>
        <w:t>13-Ojofeitimi EO, Jinadu MK, Elegbe I: Increasing the productivity of community health workers in rural Nigeria through supervision. Socio-Economic Planning Sciences. 1988, 22 (1): 29-31. 10.1016/0038-0121(88)90032-8.</w:t>
      </w:r>
    </w:p>
    <w:p w14:paraId="78C773ED" w14:textId="77777777" w:rsidR="00195068" w:rsidRPr="00122D0E" w:rsidRDefault="00195068" w:rsidP="00195068">
      <w:pPr>
        <w:spacing w:after="0" w:line="240" w:lineRule="auto"/>
        <w:rPr>
          <w:rFonts w:ascii="Gill Sans MT" w:hAnsi="Gill Sans MT" w:cs="Segoe UI"/>
          <w:color w:val="C45911" w:themeColor="accent2" w:themeShade="BF"/>
          <w:shd w:val="clear" w:color="auto" w:fill="FFFFFF"/>
        </w:rPr>
      </w:pPr>
      <w:r w:rsidRPr="00122D0E">
        <w:rPr>
          <w:rFonts w:ascii="Gill Sans MT" w:hAnsi="Gill Sans MT" w:cs="Segoe UI"/>
          <w:color w:val="C45911" w:themeColor="accent2" w:themeShade="BF"/>
          <w:shd w:val="clear" w:color="auto" w:fill="FFFFFF"/>
        </w:rPr>
        <w:t>14-Ashenafi A, Karim AM, Ameha A, Erbo A, Getachew N, Betemariam W. Effect of the health extension program and other accessibility factors on care-seeking behaviors for common childhood illnesses in rural Ethiopia. Ethiop Med J. 2014;52:57–64</w:t>
      </w:r>
    </w:p>
    <w:p w14:paraId="16B737D2" w14:textId="77777777" w:rsidR="00195068" w:rsidRPr="00122D0E" w:rsidRDefault="00195068" w:rsidP="00195068">
      <w:pPr>
        <w:spacing w:after="0"/>
        <w:rPr>
          <w:rFonts w:ascii="Gill Sans MT" w:hAnsi="Gill Sans MT" w:cs="Segoe UI"/>
          <w:color w:val="7030A0"/>
          <w:shd w:val="clear" w:color="auto" w:fill="FFFFFF"/>
        </w:rPr>
      </w:pPr>
      <w:r w:rsidRPr="00122D0E">
        <w:rPr>
          <w:rFonts w:ascii="Gill Sans MT" w:hAnsi="Gill Sans MT" w:cs="Segoe UI"/>
          <w:color w:val="7030A0"/>
          <w:shd w:val="clear" w:color="auto" w:fill="FFFFFF"/>
        </w:rPr>
        <w:t xml:space="preserve">1-Yitayal M, Berhane Y, Worku A, Kebede Y. Health extension program factors, frequency of household visits and being model households, improved utilization of basic health services in Ethiopia. BMC Health Serv Res. 2014;14(1):156. </w:t>
      </w:r>
    </w:p>
    <w:p w14:paraId="0DE53C59" w14:textId="77777777" w:rsidR="00195068" w:rsidRPr="00122D0E" w:rsidRDefault="00195068" w:rsidP="00195068">
      <w:pPr>
        <w:spacing w:after="0"/>
        <w:rPr>
          <w:rFonts w:ascii="Gill Sans MT" w:hAnsi="Gill Sans MT"/>
          <w:color w:val="7030A0"/>
          <w:shd w:val="clear" w:color="auto" w:fill="FFFFFF"/>
        </w:rPr>
      </w:pPr>
      <w:r w:rsidRPr="00122D0E">
        <w:rPr>
          <w:rFonts w:ascii="Gill Sans MT" w:hAnsi="Gill Sans MT" w:cs="Segoe UI"/>
          <w:color w:val="7030A0"/>
          <w:shd w:val="clear" w:color="auto" w:fill="FFFFFF"/>
        </w:rPr>
        <w:t>2-Miller NP, Bagheri Ardestani F, Wong H, Stokes S, Mengistu B, Paulos M, Agonafir N, Sylla M, Ameha A, Birhanu BG, Khan S, Lemango ET. Barriers to the utilization of community-based child and newborn health services in Ethiopia: a scoping review. Health Policy Plan. 2021 Aug 12;36(7):1187-1196. doi: 10.1093/heapol/czab047. PMID: 33885143; PMCID: PMC8496769</w:t>
      </w:r>
    </w:p>
    <w:p w14:paraId="2E48D9A1" w14:textId="77777777" w:rsidR="00195068" w:rsidRPr="009A3860" w:rsidRDefault="00195068" w:rsidP="00195068">
      <w:pPr>
        <w:pStyle w:val="c-reading-companionreference-citation"/>
        <w:shd w:val="clear" w:color="auto" w:fill="FFFFFF"/>
        <w:spacing w:before="0" w:beforeAutospacing="0" w:after="0" w:afterAutospacing="0"/>
        <w:rPr>
          <w:rFonts w:ascii="Gill Sans MT" w:hAnsi="Gill Sans MT" w:cs="Segoe UI"/>
          <w:color w:val="7030A0"/>
          <w:sz w:val="22"/>
          <w:szCs w:val="22"/>
        </w:rPr>
      </w:pPr>
      <w:r w:rsidRPr="009A3860">
        <w:rPr>
          <w:rFonts w:ascii="Gill Sans MT" w:hAnsi="Gill Sans MT" w:cs="Segoe UI"/>
          <w:color w:val="7030A0"/>
          <w:sz w:val="22"/>
          <w:szCs w:val="22"/>
        </w:rPr>
        <w:t>3-Medhanyie A, Spigt M, Kifle Y, Schaay N, Sanders D, Blanco R, et al. The role of health extension workers in improving utilization of maternal health services in rural areas in Ethiopia: a cross sectional study. BMC Health Serv Res. 2012;12(1):352.</w:t>
      </w:r>
    </w:p>
    <w:p w14:paraId="3BD1D147" w14:textId="77777777" w:rsidR="00195068" w:rsidRPr="00122D0E" w:rsidRDefault="00195068" w:rsidP="00195068">
      <w:pPr>
        <w:spacing w:after="0"/>
        <w:rPr>
          <w:rFonts w:ascii="Gill Sans MT" w:hAnsi="Gill Sans MT"/>
          <w:color w:val="7030A0"/>
        </w:rPr>
      </w:pPr>
      <w:r w:rsidRPr="00122D0E">
        <w:rPr>
          <w:rFonts w:ascii="Gill Sans MT" w:hAnsi="Gill Sans MT" w:cs="Segoe UI"/>
          <w:color w:val="7030A0"/>
          <w:shd w:val="clear" w:color="auto" w:fill="FFFFFF"/>
        </w:rPr>
        <w:t>4-Sibley LM, Amare Y, Abebe ST, Belew ML, Shiffra K, Barry D. Appropriateness and timeliness of care-seeking for complications of pregnancy and childbirth in rural Ethiopia: a case study of the Maternal and Newborn Health in Ethiopia Partnership. J Health Popul Nutr. 2017;36(Suppl 1):50. </w:t>
      </w:r>
      <w:hyperlink r:id="rId16" w:history="1">
        <w:r w:rsidRPr="00122D0E">
          <w:rPr>
            <w:rStyle w:val="Hyperlink"/>
            <w:rFonts w:ascii="Gill Sans MT" w:hAnsi="Gill Sans MT"/>
            <w:color w:val="7030A0"/>
            <w:shd w:val="clear" w:color="auto" w:fill="FFFFFF"/>
          </w:rPr>
          <w:t>https://doi.org/10.1186/s41043-017-0120-2</w:t>
        </w:r>
      </w:hyperlink>
      <w:r w:rsidRPr="00122D0E">
        <w:rPr>
          <w:rFonts w:ascii="Gill Sans MT" w:hAnsi="Gill Sans MT" w:cs="Segoe UI"/>
          <w:color w:val="7030A0"/>
          <w:shd w:val="clear" w:color="auto" w:fill="FFFFFF"/>
        </w:rPr>
        <w:t> </w:t>
      </w:r>
    </w:p>
    <w:p w14:paraId="7B5657D2" w14:textId="77777777" w:rsidR="00195068" w:rsidRPr="00122D0E" w:rsidRDefault="00195068" w:rsidP="00195068">
      <w:pPr>
        <w:spacing w:after="0"/>
        <w:rPr>
          <w:rFonts w:ascii="Gill Sans MT" w:hAnsi="Gill Sans MT" w:cs="Segoe UI"/>
          <w:color w:val="7030A0"/>
          <w:shd w:val="clear" w:color="auto" w:fill="FFFFFF"/>
        </w:rPr>
      </w:pPr>
      <w:r w:rsidRPr="00122D0E">
        <w:rPr>
          <w:rFonts w:ascii="Gill Sans MT" w:hAnsi="Gill Sans MT" w:cs="Segoe UI"/>
          <w:color w:val="7030A0"/>
          <w:shd w:val="clear" w:color="auto" w:fill="FFFFFF"/>
        </w:rPr>
        <w:t>5-Afework MF, Admassu K, Mekonnen A, Hagos S, Asegid M, Ahmed S. Effect of an innovative community based health program on maternal health service utilization in north and south central Ethiopia: A community based cross sectional study. Reproductive Health. 2014;11(1). </w:t>
      </w:r>
      <w:hyperlink r:id="rId17" w:history="1">
        <w:r w:rsidRPr="00122D0E">
          <w:rPr>
            <w:rStyle w:val="Hyperlink"/>
            <w:rFonts w:ascii="Gill Sans MT" w:hAnsi="Gill Sans MT"/>
            <w:color w:val="7030A0"/>
            <w:shd w:val="clear" w:color="auto" w:fill="FFFFFF"/>
          </w:rPr>
          <w:t>https://doi.org/10.1186/1742-4755-11-28</w:t>
        </w:r>
      </w:hyperlink>
      <w:r w:rsidRPr="00122D0E">
        <w:rPr>
          <w:rFonts w:ascii="Gill Sans MT" w:hAnsi="Gill Sans MT" w:cs="Segoe UI"/>
          <w:color w:val="7030A0"/>
          <w:shd w:val="clear" w:color="auto" w:fill="FFFFFF"/>
        </w:rPr>
        <w:t>.</w:t>
      </w:r>
    </w:p>
    <w:p w14:paraId="3A741AFC" w14:textId="77777777" w:rsidR="00195068" w:rsidRPr="009A3860" w:rsidRDefault="00195068" w:rsidP="00195068">
      <w:r w:rsidRPr="00122D0E">
        <w:rPr>
          <w:rFonts w:ascii="Gill Sans MT" w:hAnsi="Gill Sans MT" w:cs="Segoe UI"/>
          <w:color w:val="7030A0"/>
          <w:shd w:val="clear" w:color="auto" w:fill="FFFFFF"/>
        </w:rPr>
        <w:t>6-Shaw B, Amouzou A, Miller NP, Tsui AO, Bryce J, Tafesse M, Surkan PJ. Determinants of Utilization of Health Extension Workers in the Context of Scale-Up of Integrated Community Case Management of Childhood Illnesses in Ethiopia. Am J Trop Med Hyg. 2015 Sep;93(3):636-647. doi: 10.4269/ajtmh.14-0660. Epub 2015 Jul 20. PMID: 26195461; PMCID: PMC4559711.</w:t>
      </w:r>
    </w:p>
    <w:p w14:paraId="133C0D97" w14:textId="77777777" w:rsidR="00195068" w:rsidRPr="00122D0E" w:rsidRDefault="00195068" w:rsidP="00195068">
      <w:pPr>
        <w:spacing w:after="0"/>
        <w:rPr>
          <w:rFonts w:ascii="Gill Sans MT" w:hAnsi="Gill Sans MT"/>
          <w:color w:val="00B050"/>
        </w:rPr>
      </w:pPr>
      <w:r w:rsidRPr="00122D0E">
        <w:rPr>
          <w:rFonts w:ascii="Gill Sans MT" w:hAnsi="Gill Sans MT"/>
          <w:color w:val="00B050"/>
        </w:rPr>
        <w:lastRenderedPageBreak/>
        <w:t>a-Ethiopian Public Health Institute (EPHI) [Ethiopia] and ICF. 2021. Ethiopia Mini Demographic and Health Survey 2019: Final Report. Rockville, Maryland, USA: EPHI and ICF</w:t>
      </w:r>
    </w:p>
    <w:p w14:paraId="01E21DBF" w14:textId="77777777" w:rsidR="00195068" w:rsidRPr="00122D0E" w:rsidRDefault="00195068" w:rsidP="00195068">
      <w:pPr>
        <w:spacing w:after="0"/>
        <w:rPr>
          <w:rFonts w:ascii="Gill Sans MT" w:hAnsi="Gill Sans MT"/>
          <w:color w:val="00B050"/>
        </w:rPr>
      </w:pPr>
      <w:r w:rsidRPr="00122D0E">
        <w:rPr>
          <w:rFonts w:ascii="Gill Sans MT" w:hAnsi="Gill Sans MT"/>
          <w:color w:val="00B050"/>
        </w:rPr>
        <w:t xml:space="preserve">b-(Lancet 2013) </w:t>
      </w:r>
    </w:p>
    <w:p w14:paraId="5A9BCB3A" w14:textId="77777777" w:rsidR="00195068" w:rsidRPr="00122D0E" w:rsidRDefault="00195068" w:rsidP="00195068">
      <w:pPr>
        <w:spacing w:after="0"/>
        <w:rPr>
          <w:color w:val="00B050"/>
        </w:rPr>
      </w:pPr>
      <w:r w:rsidRPr="00122D0E">
        <w:rPr>
          <w:color w:val="00B050"/>
        </w:rPr>
        <w:t>c-Central Statistical Agency (CSA) [Ethiopia] and ICF. 2016. Ethiopia Demographic and Health Survey 2016. Addis Ababa, Ethiopia, and Rockville, Maryland, USA: CSA and ICF</w:t>
      </w:r>
    </w:p>
    <w:p w14:paraId="25D05BAC" w14:textId="77777777" w:rsidR="00195068" w:rsidRPr="00122D0E" w:rsidRDefault="00195068" w:rsidP="00195068">
      <w:pPr>
        <w:spacing w:after="0"/>
        <w:rPr>
          <w:rFonts w:ascii="Gill Sans MT" w:hAnsi="Gill Sans MT"/>
          <w:color w:val="00B050"/>
        </w:rPr>
      </w:pPr>
      <w:r w:rsidRPr="00122D0E">
        <w:rPr>
          <w:color w:val="00B050"/>
        </w:rPr>
        <w:t>d-Ethiopian Public Health Institute (EPHI) [Ethiopia] and ICF. 2021. Ethiopia Mini Demographic and Health Survey 2019: Final Report. Rockville, Maryland, USA: EPHI and ICF</w:t>
      </w:r>
    </w:p>
    <w:p w14:paraId="455999AB" w14:textId="77777777" w:rsidR="00195068" w:rsidRPr="00122D0E" w:rsidRDefault="00195068" w:rsidP="00195068">
      <w:pPr>
        <w:spacing w:after="0"/>
        <w:rPr>
          <w:i/>
          <w:color w:val="00B050"/>
        </w:rPr>
      </w:pPr>
      <w:r w:rsidRPr="00122D0E">
        <w:rPr>
          <w:color w:val="00B050"/>
        </w:rPr>
        <w:t xml:space="preserve">e-Ethiopian Public Health Institute, </w:t>
      </w:r>
      <w:r w:rsidRPr="00122D0E">
        <w:rPr>
          <w:i/>
          <w:color w:val="00B050"/>
        </w:rPr>
        <w:t>Ethiopia National Food Consumption Survey 2013</w:t>
      </w:r>
      <w:r w:rsidRPr="00122D0E">
        <w:rPr>
          <w:color w:val="00B050"/>
        </w:rPr>
        <w:t xml:space="preserve"> Addis Ababa, Ethiopia August, 2013</w:t>
      </w:r>
    </w:p>
    <w:p w14:paraId="19691A34" w14:textId="77777777" w:rsidR="00195068" w:rsidRPr="00122D0E" w:rsidRDefault="00195068" w:rsidP="00195068">
      <w:pPr>
        <w:spacing w:after="0" w:line="240" w:lineRule="auto"/>
        <w:rPr>
          <w:rFonts w:ascii="Gill Sans MT" w:hAnsi="Gill Sans MT"/>
          <w:color w:val="00B050"/>
        </w:rPr>
      </w:pPr>
      <w:r w:rsidRPr="00122D0E">
        <w:rPr>
          <w:rFonts w:ascii="Gill Sans MT" w:hAnsi="Gill Sans MT"/>
          <w:color w:val="00B050"/>
        </w:rPr>
        <w:t>f-Witmer A, Seifer SD, Finocchio L, Leslie J, O'neil EH. Community health workers: integral members of the health care work force. Am J Public Health. 1995;85(8_Pt_1):1055–8.</w:t>
      </w:r>
    </w:p>
    <w:p w14:paraId="701EF1A3" w14:textId="77777777" w:rsidR="00195068" w:rsidRPr="00122D0E" w:rsidRDefault="00195068" w:rsidP="00195068">
      <w:pPr>
        <w:spacing w:after="0"/>
        <w:rPr>
          <w:rFonts w:ascii="Gill Sans MT" w:hAnsi="Gill Sans MT"/>
          <w:color w:val="00B050"/>
          <w:shd w:val="clear" w:color="auto" w:fill="FFFFFF"/>
        </w:rPr>
      </w:pPr>
      <w:r w:rsidRPr="00122D0E">
        <w:rPr>
          <w:rFonts w:ascii="Gill Sans MT" w:hAnsi="Gill Sans MT"/>
          <w:color w:val="00B050"/>
          <w:shd w:val="clear" w:color="auto" w:fill="FFFFFF"/>
        </w:rPr>
        <w:t>g-Workie N.W. &amp; Ramana G.N.V. (2013) The health extension program in Ethiopia In: UNICO Studies Series 10. The World Bank: Washington DC. [Google Scholar]</w:t>
      </w:r>
    </w:p>
    <w:p w14:paraId="6E28F59F" w14:textId="77777777" w:rsidR="00195068" w:rsidRPr="00122D0E" w:rsidRDefault="00195068" w:rsidP="00195068">
      <w:pPr>
        <w:spacing w:after="0" w:line="240" w:lineRule="auto"/>
        <w:rPr>
          <w:rFonts w:ascii="Gill Sans MT" w:hAnsi="Gill Sans MT"/>
          <w:color w:val="00B050"/>
        </w:rPr>
      </w:pPr>
      <w:r w:rsidRPr="00122D0E">
        <w:rPr>
          <w:rFonts w:ascii="Gill Sans MT" w:hAnsi="Gill Sans MT"/>
          <w:color w:val="00B050"/>
        </w:rPr>
        <w:t xml:space="preserve">h-Assefa Y, Van Damme W, Williams OD, Hill PS. Successes and challenges of the millennium development goals in Ethiopia: lessons for the sustainable development goals. BMJ Global Health. 2017; 2(2):e000318. </w:t>
      </w:r>
    </w:p>
    <w:p w14:paraId="3463B4E5" w14:textId="77777777" w:rsidR="00195068" w:rsidRPr="00122D0E" w:rsidRDefault="00195068" w:rsidP="00195068">
      <w:pPr>
        <w:spacing w:after="0" w:line="240" w:lineRule="auto"/>
        <w:rPr>
          <w:rFonts w:ascii="Gill Sans MT" w:hAnsi="Gill Sans MT"/>
          <w:color w:val="00B050"/>
        </w:rPr>
      </w:pPr>
      <w:r w:rsidRPr="00122D0E">
        <w:rPr>
          <w:rFonts w:ascii="Gill Sans MT" w:hAnsi="Gill Sans MT"/>
          <w:color w:val="00B050"/>
        </w:rPr>
        <w:t>i-Wang, Huihui; Tesfaye, Roman; Ramana, Gandham N.V.; Chekagn, Chala Tesfaye. 2016. Ethiopia Health Extension Program: An Institutionalized Community Approach for Universal Health Coverage. World Bank Studies; Washington, DC: World Bank. © World Bank. https://openknowledge.worldbank.org/handle/10986/24119 License: CC BY 3.0 IGO.</w:t>
      </w:r>
    </w:p>
    <w:p w14:paraId="701F90D3" w14:textId="77777777" w:rsidR="00195068" w:rsidRPr="00122D0E" w:rsidRDefault="00195068" w:rsidP="00195068">
      <w:pPr>
        <w:spacing w:after="0" w:line="240" w:lineRule="auto"/>
        <w:rPr>
          <w:rFonts w:ascii="Gill Sans MT" w:hAnsi="Gill Sans MT"/>
          <w:color w:val="00B050"/>
        </w:rPr>
      </w:pPr>
      <w:r w:rsidRPr="00122D0E">
        <w:rPr>
          <w:rFonts w:ascii="Gill Sans MT" w:hAnsi="Gill Sans MT"/>
          <w:color w:val="00B050"/>
        </w:rPr>
        <w:t>j-Ashenafi A, Karim AM, Ameha A, Erbo A, Getachew N, Betemariam W. Effect of the health extension program and other accessibility factors on care-seeking behaviors for common childhood illnesses in rural Ethiopia. Ethiop Med J. 2014;52:57–64</w:t>
      </w:r>
    </w:p>
    <w:p w14:paraId="0603F47A" w14:textId="77777777" w:rsidR="00195068" w:rsidRPr="00122D0E" w:rsidRDefault="00195068" w:rsidP="00195068">
      <w:pPr>
        <w:spacing w:after="0"/>
        <w:rPr>
          <w:rStyle w:val="nowrap"/>
          <w:rFonts w:ascii="Gill Sans MT" w:hAnsi="Gill Sans MT"/>
          <w:color w:val="00B050"/>
        </w:rPr>
      </w:pPr>
      <w:r w:rsidRPr="00122D0E">
        <w:rPr>
          <w:rStyle w:val="ref-journal"/>
          <w:rFonts w:ascii="Gill Sans MT" w:hAnsi="Gill Sans MT"/>
          <w:i/>
          <w:iCs/>
          <w:color w:val="00B050"/>
        </w:rPr>
        <w:t>K-The Impact of Ethiopian Health Services Extension Program on Maternal and Child Health Outcomes: The Case of Tigray Region</w:t>
      </w:r>
      <w:r w:rsidRPr="00122D0E">
        <w:rPr>
          <w:rStyle w:val="mixed-citation"/>
          <w:rFonts w:ascii="Gill Sans MT" w:hAnsi="Gill Sans MT"/>
          <w:color w:val="00B050"/>
        </w:rPr>
        <w:t>. In: School of Public Health. Georgia State University, Atlanta, Georgia, USA, </w:t>
      </w:r>
      <w:hyperlink r:id="rId18" w:tgtFrame="_blank" w:history="1">
        <w:r w:rsidRPr="00122D0E">
          <w:rPr>
            <w:rStyle w:val="Hyperlink"/>
            <w:rFonts w:ascii="Gill Sans MT" w:hAnsi="Gill Sans MT"/>
            <w:color w:val="00B050"/>
          </w:rPr>
          <w:t>http://scholarworks.gsu.edu/iph_theses</w:t>
        </w:r>
      </w:hyperlink>
      <w:r w:rsidRPr="00122D0E">
        <w:rPr>
          <w:rStyle w:val="mixed-citation"/>
          <w:rFonts w:ascii="Gill Sans MT" w:hAnsi="Gill Sans MT"/>
          <w:color w:val="00B050"/>
        </w:rPr>
        <w:t>. </w:t>
      </w:r>
      <w:r w:rsidRPr="00122D0E">
        <w:rPr>
          <w:rStyle w:val="nowrap"/>
          <w:rFonts w:ascii="Gill Sans MT" w:hAnsi="Gill Sans MT"/>
          <w:color w:val="00B050"/>
        </w:rPr>
        <w:t>[</w:t>
      </w:r>
      <w:hyperlink r:id="rId19" w:tgtFrame="_blank" w:history="1">
        <w:r w:rsidRPr="00122D0E">
          <w:rPr>
            <w:rStyle w:val="Hyperlink"/>
            <w:rFonts w:ascii="Gill Sans MT" w:hAnsi="Gill Sans MT"/>
            <w:color w:val="00B050"/>
          </w:rPr>
          <w:t>Google Scholar</w:t>
        </w:r>
      </w:hyperlink>
      <w:r w:rsidRPr="00122D0E">
        <w:rPr>
          <w:rStyle w:val="nowrap"/>
          <w:rFonts w:ascii="Gill Sans MT" w:hAnsi="Gill Sans MT"/>
          <w:color w:val="00B050"/>
        </w:rPr>
        <w:t>]</w:t>
      </w:r>
    </w:p>
    <w:p w14:paraId="60C6AFAE" w14:textId="77777777" w:rsidR="00195068" w:rsidRPr="00122D0E" w:rsidRDefault="00195068" w:rsidP="00195068">
      <w:pPr>
        <w:spacing w:after="0"/>
        <w:rPr>
          <w:rFonts w:ascii="Gill Sans MT" w:hAnsi="Gill Sans MT"/>
          <w:color w:val="00B050"/>
        </w:rPr>
      </w:pPr>
      <w:r w:rsidRPr="00122D0E">
        <w:rPr>
          <w:rStyle w:val="mixed-citation"/>
          <w:rFonts w:ascii="Gill Sans MT" w:hAnsi="Gill Sans MT"/>
          <w:color w:val="00B050"/>
        </w:rPr>
        <w:t>l-Lemma F. &amp; Matji J. (2013) </w:t>
      </w:r>
      <w:r w:rsidRPr="00122D0E">
        <w:rPr>
          <w:rStyle w:val="ref-title"/>
          <w:rFonts w:ascii="Gill Sans MT" w:hAnsi="Gill Sans MT"/>
          <w:color w:val="00B050"/>
        </w:rPr>
        <w:t>Delivery platforms for sustained nutrition in Ethiopia</w:t>
      </w:r>
      <w:r w:rsidRPr="00122D0E">
        <w:rPr>
          <w:rStyle w:val="mixed-citation"/>
          <w:rFonts w:ascii="Gill Sans MT" w:hAnsi="Gill Sans MT"/>
          <w:color w:val="00B050"/>
        </w:rPr>
        <w:t>. </w:t>
      </w:r>
      <w:r w:rsidRPr="00122D0E">
        <w:rPr>
          <w:rStyle w:val="ref-journal"/>
          <w:rFonts w:ascii="Gill Sans MT" w:hAnsi="Gill Sans MT"/>
          <w:i/>
          <w:iCs/>
          <w:color w:val="00B050"/>
        </w:rPr>
        <w:t>Lancet</w:t>
      </w:r>
      <w:r w:rsidRPr="00122D0E">
        <w:rPr>
          <w:rStyle w:val="mixed-citation"/>
          <w:rFonts w:ascii="Gill Sans MT" w:hAnsi="Gill Sans MT"/>
          <w:color w:val="00B050"/>
        </w:rPr>
        <w:t> </w:t>
      </w:r>
      <w:r w:rsidRPr="00122D0E">
        <w:rPr>
          <w:rStyle w:val="ref-vol"/>
          <w:rFonts w:ascii="Gill Sans MT" w:hAnsi="Gill Sans MT"/>
          <w:color w:val="00B050"/>
        </w:rPr>
        <w:t>382</w:t>
      </w:r>
      <w:r w:rsidRPr="00122D0E">
        <w:rPr>
          <w:rStyle w:val="mixed-citation"/>
          <w:rFonts w:ascii="Gill Sans MT" w:hAnsi="Gill Sans MT"/>
          <w:color w:val="00B050"/>
        </w:rPr>
        <w:t>, 488–489. [</w:t>
      </w:r>
      <w:hyperlink r:id="rId20" w:history="1">
        <w:r w:rsidRPr="00122D0E">
          <w:rPr>
            <w:rStyle w:val="Hyperlink"/>
            <w:rFonts w:ascii="Gill Sans MT" w:hAnsi="Gill Sans MT"/>
            <w:color w:val="00B050"/>
          </w:rPr>
          <w:t>PubMed</w:t>
        </w:r>
      </w:hyperlink>
      <w:r w:rsidRPr="00122D0E">
        <w:rPr>
          <w:rStyle w:val="mixed-citation"/>
          <w:rFonts w:ascii="Gill Sans MT" w:hAnsi="Gill Sans MT"/>
          <w:color w:val="00B050"/>
        </w:rPr>
        <w:t>] </w:t>
      </w:r>
      <w:r w:rsidRPr="00122D0E">
        <w:rPr>
          <w:rStyle w:val="nowrap"/>
          <w:rFonts w:ascii="Gill Sans MT" w:hAnsi="Gill Sans MT"/>
          <w:color w:val="00B050"/>
        </w:rPr>
        <w:t>[</w:t>
      </w:r>
      <w:hyperlink r:id="rId21" w:tgtFrame="_blank" w:history="1">
        <w:r w:rsidRPr="00122D0E">
          <w:rPr>
            <w:rStyle w:val="Hyperlink"/>
            <w:rFonts w:ascii="Gill Sans MT" w:hAnsi="Gill Sans MT"/>
            <w:color w:val="00B050"/>
          </w:rPr>
          <w:t>Google Scholar</w:t>
        </w:r>
      </w:hyperlink>
      <w:r w:rsidRPr="00122D0E">
        <w:rPr>
          <w:rStyle w:val="nowrap"/>
          <w:rFonts w:ascii="Gill Sans MT" w:hAnsi="Gill Sans MT"/>
          <w:color w:val="00B050"/>
        </w:rPr>
        <w:t>]</w:t>
      </w:r>
    </w:p>
    <w:p w14:paraId="414E8B5D" w14:textId="77777777" w:rsidR="00195068" w:rsidRPr="002879C1" w:rsidRDefault="00195068" w:rsidP="00195068">
      <w:r w:rsidRPr="00122D0E">
        <w:rPr>
          <w:rFonts w:ascii="Gill Sans MT" w:hAnsi="Gill Sans MT" w:cs="Segoe UI"/>
          <w:color w:val="FF0000"/>
          <w:shd w:val="clear" w:color="auto" w:fill="FFFFFF"/>
        </w:rPr>
        <w:t>x-Orkin, A.M., Rao, S., Venugopal, J. </w:t>
      </w:r>
      <w:r w:rsidRPr="00122D0E">
        <w:rPr>
          <w:rFonts w:ascii="Gill Sans MT" w:hAnsi="Gill Sans MT" w:cs="Segoe UI"/>
          <w:i/>
          <w:iCs/>
          <w:color w:val="FF0000"/>
          <w:shd w:val="clear" w:color="auto" w:fill="FFFFFF"/>
        </w:rPr>
        <w:t>et al.</w:t>
      </w:r>
      <w:r w:rsidRPr="00122D0E">
        <w:rPr>
          <w:rFonts w:ascii="Gill Sans MT" w:hAnsi="Gill Sans MT" w:cs="Segoe UI"/>
          <w:color w:val="FF0000"/>
          <w:shd w:val="clear" w:color="auto" w:fill="FFFFFF"/>
        </w:rPr>
        <w:t> Conceptual framework for task shifting and task sharing: an international Delphi study. </w:t>
      </w:r>
      <w:r w:rsidRPr="00122D0E">
        <w:rPr>
          <w:rFonts w:ascii="Gill Sans MT" w:hAnsi="Gill Sans MT" w:cs="Segoe UI"/>
          <w:i/>
          <w:iCs/>
          <w:color w:val="FF0000"/>
          <w:shd w:val="clear" w:color="auto" w:fill="FFFFFF"/>
        </w:rPr>
        <w:t>Hum Resour Health</w:t>
      </w:r>
      <w:r w:rsidRPr="00122D0E">
        <w:rPr>
          <w:rFonts w:ascii="Gill Sans MT" w:hAnsi="Gill Sans MT" w:cs="Segoe UI"/>
          <w:color w:val="FF0000"/>
          <w:shd w:val="clear" w:color="auto" w:fill="FFFFFF"/>
        </w:rPr>
        <w:t> </w:t>
      </w:r>
      <w:r w:rsidRPr="00122D0E">
        <w:rPr>
          <w:rFonts w:ascii="Gill Sans MT" w:hAnsi="Gill Sans MT" w:cs="Segoe UI"/>
          <w:b/>
          <w:bCs/>
          <w:color w:val="FF0000"/>
          <w:shd w:val="clear" w:color="auto" w:fill="FFFFFF"/>
        </w:rPr>
        <w:t>19</w:t>
      </w:r>
      <w:r w:rsidRPr="00122D0E">
        <w:rPr>
          <w:rFonts w:ascii="Gill Sans MT" w:hAnsi="Gill Sans MT" w:cs="Segoe UI"/>
          <w:color w:val="FF0000"/>
          <w:shd w:val="clear" w:color="auto" w:fill="FFFFFF"/>
        </w:rPr>
        <w:t xml:space="preserve">, 61 (2021). </w:t>
      </w:r>
      <w:hyperlink r:id="rId22" w:history="1">
        <w:r w:rsidRPr="00122D0E">
          <w:rPr>
            <w:rStyle w:val="Hyperlink"/>
            <w:rFonts w:ascii="Gill Sans MT" w:hAnsi="Gill Sans MT" w:cs="Segoe UI"/>
            <w:shd w:val="clear" w:color="auto" w:fill="FFFFFF"/>
          </w:rPr>
          <w:t>https://doi.org/10.1186/s12960-021-00605-z</w:t>
        </w:r>
      </w:hyperlink>
    </w:p>
    <w:p w14:paraId="7D4550DD" w14:textId="77777777" w:rsidR="00195068" w:rsidRDefault="00195068" w:rsidP="00195068">
      <w:pPr>
        <w:rPr>
          <w:rFonts w:ascii="Gill Sans MT" w:eastAsiaTheme="majorEastAsia" w:hAnsi="Gill Sans MT" w:cstheme="majorBidi"/>
          <w:b/>
          <w:sz w:val="32"/>
          <w:szCs w:val="32"/>
        </w:rPr>
      </w:pPr>
      <w:r>
        <w:br w:type="page"/>
      </w:r>
    </w:p>
    <w:p w14:paraId="673C2592" w14:textId="77777777" w:rsidR="00195068" w:rsidRDefault="00195068" w:rsidP="00195068">
      <w:pPr>
        <w:pStyle w:val="Heading1"/>
      </w:pPr>
      <w:r>
        <w:lastRenderedPageBreak/>
        <w:t xml:space="preserve">Annex-2 </w:t>
      </w:r>
      <w:r w:rsidRPr="00426CF7">
        <w:t>Alternative strategies to address bott</w:t>
      </w:r>
      <w:r>
        <w:t>lenecks in nutrition service delivery through the HEP</w:t>
      </w:r>
    </w:p>
    <w:p w14:paraId="097A327A" w14:textId="77777777" w:rsidR="00195068" w:rsidRPr="00A47BC8" w:rsidRDefault="00195068" w:rsidP="00195068"/>
    <w:tbl>
      <w:tblPr>
        <w:tblStyle w:val="TableGrid"/>
        <w:tblW w:w="5000" w:type="pct"/>
        <w:tblLook w:val="04A0" w:firstRow="1" w:lastRow="0" w:firstColumn="1" w:lastColumn="0" w:noHBand="0" w:noVBand="1"/>
      </w:tblPr>
      <w:tblGrid>
        <w:gridCol w:w="1255"/>
        <w:gridCol w:w="8095"/>
      </w:tblGrid>
      <w:tr w:rsidR="00195068" w:rsidRPr="00426CF7" w14:paraId="508670D6" w14:textId="77777777" w:rsidTr="009C00E4">
        <w:tc>
          <w:tcPr>
            <w:tcW w:w="671" w:type="pct"/>
          </w:tcPr>
          <w:p w14:paraId="2FEF1D08" w14:textId="77777777" w:rsidR="00195068" w:rsidRPr="00426CF7" w:rsidRDefault="00195068" w:rsidP="009C00E4">
            <w:pPr>
              <w:pStyle w:val="ListParagraph"/>
              <w:ind w:left="0"/>
              <w:rPr>
                <w:rFonts w:ascii="Gill Sans MT" w:hAnsi="Gill Sans MT"/>
                <w:b/>
                <w:szCs w:val="24"/>
              </w:rPr>
            </w:pPr>
          </w:p>
        </w:tc>
        <w:tc>
          <w:tcPr>
            <w:tcW w:w="4329" w:type="pct"/>
          </w:tcPr>
          <w:p w14:paraId="033983EB" w14:textId="77777777" w:rsidR="00195068" w:rsidRPr="00426CF7" w:rsidRDefault="00195068" w:rsidP="009C00E4">
            <w:pPr>
              <w:pStyle w:val="ListParagraph"/>
              <w:ind w:left="0"/>
              <w:rPr>
                <w:rFonts w:ascii="Gill Sans MT" w:hAnsi="Gill Sans MT"/>
                <w:b/>
                <w:szCs w:val="24"/>
              </w:rPr>
            </w:pPr>
          </w:p>
        </w:tc>
      </w:tr>
      <w:tr w:rsidR="00195068" w:rsidRPr="00426CF7" w14:paraId="59D4A387" w14:textId="77777777" w:rsidTr="009C00E4">
        <w:tc>
          <w:tcPr>
            <w:tcW w:w="671" w:type="pct"/>
          </w:tcPr>
          <w:p w14:paraId="50A3B0DD" w14:textId="77777777" w:rsidR="00195068" w:rsidRPr="00426CF7" w:rsidRDefault="00195068" w:rsidP="009C00E4">
            <w:pPr>
              <w:pStyle w:val="ListParagraph"/>
              <w:ind w:left="0"/>
              <w:rPr>
                <w:rFonts w:ascii="Gill Sans MT" w:hAnsi="Gill Sans MT"/>
                <w:szCs w:val="24"/>
              </w:rPr>
            </w:pPr>
            <w:r w:rsidRPr="00426CF7">
              <w:rPr>
                <w:rFonts w:ascii="Gill Sans MT" w:hAnsi="Gill Sans MT"/>
                <w:szCs w:val="24"/>
              </w:rPr>
              <w:t>Long term strategies</w:t>
            </w:r>
          </w:p>
        </w:tc>
        <w:tc>
          <w:tcPr>
            <w:tcW w:w="4329" w:type="pct"/>
          </w:tcPr>
          <w:p w14:paraId="32C4E714" w14:textId="77777777" w:rsidR="00195068" w:rsidRDefault="00195068" w:rsidP="009C00E4">
            <w:pPr>
              <w:pStyle w:val="ListParagraph"/>
              <w:ind w:left="0"/>
              <w:rPr>
                <w:rFonts w:ascii="Gill Sans MT" w:hAnsi="Gill Sans MT"/>
                <w:szCs w:val="24"/>
              </w:rPr>
            </w:pPr>
            <w:r w:rsidRPr="00426CF7">
              <w:rPr>
                <w:rFonts w:ascii="Gill Sans MT" w:hAnsi="Gill Sans MT"/>
                <w:szCs w:val="24"/>
              </w:rPr>
              <w:t xml:space="preserve">Advocate for addition of </w:t>
            </w:r>
            <w:r>
              <w:rPr>
                <w:rFonts w:ascii="Gill Sans MT" w:hAnsi="Gill Sans MT"/>
                <w:szCs w:val="24"/>
              </w:rPr>
              <w:t>one nutrition-cadre for</w:t>
            </w:r>
            <w:r w:rsidRPr="00426CF7">
              <w:rPr>
                <w:rFonts w:ascii="Gill Sans MT" w:hAnsi="Gill Sans MT"/>
                <w:szCs w:val="24"/>
              </w:rPr>
              <w:t xml:space="preserve"> each HP.</w:t>
            </w:r>
          </w:p>
          <w:p w14:paraId="46E1A71B" w14:textId="77777777" w:rsidR="00195068" w:rsidRPr="00426CF7" w:rsidRDefault="00195068" w:rsidP="009C00E4">
            <w:pPr>
              <w:pStyle w:val="ListParagraph"/>
              <w:ind w:left="0"/>
              <w:rPr>
                <w:rFonts w:ascii="Gill Sans MT" w:hAnsi="Gill Sans MT"/>
                <w:szCs w:val="24"/>
              </w:rPr>
            </w:pPr>
            <w:r>
              <w:rPr>
                <w:rFonts w:ascii="Gill Sans MT" w:hAnsi="Gill Sans MT"/>
                <w:szCs w:val="24"/>
              </w:rPr>
              <w:t>R</w:t>
            </w:r>
            <w:r w:rsidRPr="00E15A54">
              <w:rPr>
                <w:rFonts w:ascii="Gill Sans MT" w:hAnsi="Gill Sans MT"/>
                <w:szCs w:val="24"/>
              </w:rPr>
              <w:t>eview HEWs’ scope of practice, update pre-service education curricula and prioritize in-service training modules.</w:t>
            </w:r>
          </w:p>
        </w:tc>
      </w:tr>
      <w:tr w:rsidR="00195068" w:rsidRPr="00426CF7" w14:paraId="3DC72F88" w14:textId="77777777" w:rsidTr="009C00E4">
        <w:tc>
          <w:tcPr>
            <w:tcW w:w="671" w:type="pct"/>
          </w:tcPr>
          <w:p w14:paraId="4D926163" w14:textId="77777777" w:rsidR="00195068" w:rsidRPr="00426CF7" w:rsidRDefault="00195068" w:rsidP="009C00E4">
            <w:pPr>
              <w:pStyle w:val="ListParagraph"/>
              <w:ind w:left="0"/>
              <w:rPr>
                <w:rFonts w:ascii="Gill Sans MT" w:hAnsi="Gill Sans MT"/>
                <w:szCs w:val="24"/>
              </w:rPr>
            </w:pPr>
            <w:r w:rsidRPr="00426CF7">
              <w:rPr>
                <w:rFonts w:ascii="Gill Sans MT" w:hAnsi="Gill Sans MT"/>
                <w:szCs w:val="24"/>
              </w:rPr>
              <w:t>Mid-term strategies</w:t>
            </w:r>
          </w:p>
        </w:tc>
        <w:tc>
          <w:tcPr>
            <w:tcW w:w="4329" w:type="pct"/>
          </w:tcPr>
          <w:p w14:paraId="03AEE9A9" w14:textId="77777777" w:rsidR="00195068" w:rsidRPr="00426CF7" w:rsidRDefault="00195068" w:rsidP="009C00E4">
            <w:pPr>
              <w:pStyle w:val="ListParagraph"/>
              <w:ind w:left="0"/>
              <w:rPr>
                <w:rFonts w:ascii="Gill Sans MT" w:hAnsi="Gill Sans MT"/>
                <w:szCs w:val="24"/>
              </w:rPr>
            </w:pPr>
            <w:r>
              <w:rPr>
                <w:rFonts w:ascii="Gill Sans MT" w:hAnsi="Gill Sans MT"/>
                <w:szCs w:val="24"/>
              </w:rPr>
              <w:t xml:space="preserve">Provide TA to improve the information system and data use culture, and the supply management </w:t>
            </w:r>
          </w:p>
          <w:p w14:paraId="6846B1F0" w14:textId="77777777" w:rsidR="00195068" w:rsidRDefault="00195068" w:rsidP="009C00E4">
            <w:pPr>
              <w:rPr>
                <w:rFonts w:ascii="Gill Sans MT" w:hAnsi="Gill Sans MT" w:cstheme="minorHAnsi"/>
                <w:color w:val="212121"/>
                <w:szCs w:val="24"/>
                <w:shd w:val="clear" w:color="auto" w:fill="FFFFFF"/>
              </w:rPr>
            </w:pPr>
            <w:r>
              <w:rPr>
                <w:rFonts w:ascii="Gill Sans MT" w:hAnsi="Gill Sans MT"/>
                <w:szCs w:val="24"/>
              </w:rPr>
              <w:t>Test and i</w:t>
            </w:r>
            <w:r w:rsidRPr="00426CF7">
              <w:rPr>
                <w:rFonts w:ascii="Gill Sans MT" w:hAnsi="Gill Sans MT"/>
                <w:szCs w:val="24"/>
              </w:rPr>
              <w:t>nstitutionalize integrated out-reach services for selected hard-to-reach areas</w:t>
            </w:r>
            <w:r w:rsidRPr="00426CF7">
              <w:rPr>
                <w:rFonts w:ascii="Gill Sans MT" w:hAnsi="Gill Sans MT" w:cstheme="minorHAnsi"/>
                <w:color w:val="212121"/>
                <w:szCs w:val="24"/>
                <w:shd w:val="clear" w:color="auto" w:fill="FFFFFF"/>
              </w:rPr>
              <w:t xml:space="preserve"> </w:t>
            </w:r>
          </w:p>
          <w:p w14:paraId="7B253134" w14:textId="77777777" w:rsidR="00195068" w:rsidRDefault="00195068" w:rsidP="009C00E4">
            <w:pPr>
              <w:rPr>
                <w:rFonts w:ascii="Gill Sans MT" w:hAnsi="Gill Sans MT"/>
                <w:szCs w:val="24"/>
              </w:rPr>
            </w:pPr>
            <w:r w:rsidRPr="00426CF7">
              <w:rPr>
                <w:rFonts w:ascii="Gill Sans MT" w:hAnsi="Gill Sans MT" w:cstheme="minorHAnsi"/>
                <w:color w:val="212121"/>
                <w:szCs w:val="24"/>
                <w:shd w:val="clear" w:color="auto" w:fill="FFFFFF"/>
              </w:rPr>
              <w:t>Multifaceted demand generation activities including community education</w:t>
            </w:r>
            <w:r>
              <w:rPr>
                <w:rFonts w:ascii="Gill Sans MT" w:hAnsi="Gill Sans MT" w:cstheme="minorHAnsi"/>
                <w:color w:val="212121"/>
                <w:szCs w:val="24"/>
                <w:shd w:val="clear" w:color="auto" w:fill="FFFFFF"/>
              </w:rPr>
              <w:t>,</w:t>
            </w:r>
            <w:r>
              <w:rPr>
                <w:rFonts w:ascii="Gill Sans MT" w:hAnsi="Gill Sans MT"/>
                <w:szCs w:val="24"/>
              </w:rPr>
              <w:t xml:space="preserve"> </w:t>
            </w:r>
            <w:r w:rsidRPr="00426CF7">
              <w:rPr>
                <w:rFonts w:ascii="Gill Sans MT" w:hAnsi="Gill Sans MT"/>
                <w:szCs w:val="24"/>
              </w:rPr>
              <w:t>a</w:t>
            </w:r>
            <w:r>
              <w:rPr>
                <w:rFonts w:ascii="Gill Sans MT" w:hAnsi="Gill Sans MT"/>
                <w:szCs w:val="24"/>
              </w:rPr>
              <w:t xml:space="preserve">ddressing </w:t>
            </w:r>
            <w:r w:rsidRPr="00426CF7">
              <w:rPr>
                <w:rFonts w:ascii="Gill Sans MT" w:hAnsi="Gill Sans MT"/>
                <w:szCs w:val="24"/>
              </w:rPr>
              <w:t>barriers women face</w:t>
            </w:r>
            <w:r>
              <w:rPr>
                <w:rFonts w:ascii="Gill Sans MT" w:hAnsi="Gill Sans MT"/>
                <w:szCs w:val="24"/>
              </w:rPr>
              <w:t xml:space="preserve"> etc</w:t>
            </w:r>
            <w:r w:rsidRPr="00426CF7">
              <w:rPr>
                <w:rFonts w:ascii="Gill Sans MT" w:hAnsi="Gill Sans MT"/>
                <w:szCs w:val="24"/>
              </w:rPr>
              <w:t>.</w:t>
            </w:r>
          </w:p>
          <w:p w14:paraId="5CDDA31B" w14:textId="77777777" w:rsidR="00195068" w:rsidRPr="00426CF7" w:rsidRDefault="00195068" w:rsidP="009C00E4">
            <w:pPr>
              <w:rPr>
                <w:rFonts w:ascii="Gill Sans MT" w:hAnsi="Gill Sans MT"/>
                <w:szCs w:val="24"/>
              </w:rPr>
            </w:pPr>
            <w:r>
              <w:rPr>
                <w:rFonts w:ascii="Gill Sans MT" w:hAnsi="Gill Sans MT"/>
                <w:szCs w:val="24"/>
              </w:rPr>
              <w:t xml:space="preserve">Improve linkage between HPs and health centers (i.e. the PHCU linkage) </w:t>
            </w:r>
          </w:p>
        </w:tc>
      </w:tr>
      <w:tr w:rsidR="00195068" w:rsidRPr="00426CF7" w14:paraId="51A953AD" w14:textId="77777777" w:rsidTr="009C00E4">
        <w:tc>
          <w:tcPr>
            <w:tcW w:w="671" w:type="pct"/>
          </w:tcPr>
          <w:p w14:paraId="1D773D64" w14:textId="77777777" w:rsidR="00195068" w:rsidRPr="00426CF7" w:rsidRDefault="00195068" w:rsidP="009C00E4">
            <w:pPr>
              <w:pStyle w:val="ListParagraph"/>
              <w:ind w:left="0"/>
              <w:rPr>
                <w:rFonts w:ascii="Gill Sans MT" w:hAnsi="Gill Sans MT"/>
                <w:szCs w:val="24"/>
              </w:rPr>
            </w:pPr>
            <w:r w:rsidRPr="00426CF7">
              <w:rPr>
                <w:rFonts w:ascii="Gill Sans MT" w:hAnsi="Gill Sans MT"/>
                <w:szCs w:val="24"/>
              </w:rPr>
              <w:t>Short-term strategies</w:t>
            </w:r>
          </w:p>
        </w:tc>
        <w:tc>
          <w:tcPr>
            <w:tcW w:w="4329" w:type="pct"/>
          </w:tcPr>
          <w:p w14:paraId="027AD5A9" w14:textId="77777777" w:rsidR="00195068" w:rsidRDefault="00195068" w:rsidP="009C00E4">
            <w:pPr>
              <w:pStyle w:val="ListParagraph"/>
              <w:ind w:left="0"/>
              <w:rPr>
                <w:rFonts w:ascii="Gill Sans MT" w:hAnsi="Gill Sans MT"/>
                <w:szCs w:val="24"/>
              </w:rPr>
            </w:pPr>
            <w:r w:rsidRPr="00426CF7">
              <w:rPr>
                <w:rFonts w:ascii="Gill Sans MT" w:hAnsi="Gill Sans MT"/>
                <w:szCs w:val="24"/>
              </w:rPr>
              <w:t xml:space="preserve">Test </w:t>
            </w:r>
            <w:r>
              <w:rPr>
                <w:rFonts w:ascii="Gill Sans MT" w:hAnsi="Gill Sans MT"/>
                <w:szCs w:val="24"/>
              </w:rPr>
              <w:t xml:space="preserve">and scale-up </w:t>
            </w:r>
            <w:r w:rsidRPr="00426CF7">
              <w:rPr>
                <w:rFonts w:ascii="Gill Sans MT" w:hAnsi="Gill Sans MT"/>
                <w:szCs w:val="24"/>
              </w:rPr>
              <w:t>task-shifting and task-sharing initiative in small scale</w:t>
            </w:r>
          </w:p>
          <w:p w14:paraId="3D636DF1" w14:textId="77777777" w:rsidR="00195068" w:rsidRDefault="00195068" w:rsidP="009C00E4">
            <w:pPr>
              <w:pStyle w:val="ListParagraph"/>
              <w:ind w:left="0"/>
              <w:rPr>
                <w:rFonts w:ascii="Gill Sans MT" w:hAnsi="Gill Sans MT"/>
                <w:szCs w:val="24"/>
              </w:rPr>
            </w:pPr>
            <w:r>
              <w:rPr>
                <w:rFonts w:ascii="Gill Sans MT" w:hAnsi="Gill Sans MT"/>
                <w:szCs w:val="24"/>
              </w:rPr>
              <w:t>Provide gap filling training</w:t>
            </w:r>
          </w:p>
          <w:p w14:paraId="2A7D7D36" w14:textId="77777777" w:rsidR="00195068" w:rsidRDefault="00195068" w:rsidP="009C00E4">
            <w:pPr>
              <w:pStyle w:val="ListParagraph"/>
              <w:ind w:left="0"/>
              <w:rPr>
                <w:rFonts w:ascii="Gill Sans MT" w:hAnsi="Gill Sans MT"/>
                <w:szCs w:val="24"/>
              </w:rPr>
            </w:pPr>
            <w:r>
              <w:rPr>
                <w:rFonts w:ascii="Gill Sans MT" w:hAnsi="Gill Sans MT"/>
                <w:szCs w:val="24"/>
              </w:rPr>
              <w:t>Improve nutrition literacy of community gate keepers</w:t>
            </w:r>
          </w:p>
          <w:p w14:paraId="2B39561D" w14:textId="77777777" w:rsidR="00195068" w:rsidRPr="00426CF7" w:rsidRDefault="00195068" w:rsidP="009C00E4">
            <w:pPr>
              <w:pStyle w:val="ListParagraph"/>
              <w:ind w:left="0"/>
              <w:rPr>
                <w:rFonts w:ascii="Gill Sans MT" w:hAnsi="Gill Sans MT"/>
                <w:szCs w:val="24"/>
              </w:rPr>
            </w:pPr>
            <w:r>
              <w:rPr>
                <w:rFonts w:ascii="Gill Sans MT" w:hAnsi="Gill Sans MT"/>
                <w:szCs w:val="24"/>
              </w:rPr>
              <w:t>Provide onsite technical support to health facilities and health offices</w:t>
            </w:r>
          </w:p>
        </w:tc>
      </w:tr>
    </w:tbl>
    <w:p w14:paraId="67FBF614" w14:textId="77777777" w:rsidR="00195068" w:rsidRDefault="00195068" w:rsidP="00195068">
      <w:pPr>
        <w:spacing w:line="240" w:lineRule="auto"/>
        <w:rPr>
          <w:color w:val="ED7D31" w:themeColor="accent2"/>
        </w:rPr>
      </w:pPr>
    </w:p>
    <w:p w14:paraId="481C3C20" w14:textId="77777777" w:rsidR="00195068" w:rsidRPr="00CA1704" w:rsidRDefault="00195068" w:rsidP="00195068">
      <w:pPr>
        <w:spacing w:line="240" w:lineRule="auto"/>
        <w:rPr>
          <w:color w:val="ED7D31" w:themeColor="accent2"/>
        </w:rPr>
      </w:pPr>
      <w:r w:rsidRPr="00901454">
        <w:rPr>
          <w:rFonts w:ascii="Gill Sans MT" w:hAnsi="Gill Sans MT"/>
          <w:sz w:val="24"/>
          <w:szCs w:val="24"/>
        </w:rPr>
        <w:t xml:space="preserve">Workload plays a defining role in the level of productivity and quality that can be expected of CHWs. Workload is a multifactorial concept that can be described by the interplay of the number and organization of tasks and the catchment. To ensure a realistic workload, all of the subcomponents must be considered in turn </w:t>
      </w:r>
    </w:p>
    <w:p w14:paraId="7E3B6FD0" w14:textId="77777777" w:rsidR="00195068" w:rsidRPr="006F731B" w:rsidRDefault="00195068" w:rsidP="00195068">
      <w:r>
        <w:rPr>
          <w:noProof/>
        </w:rPr>
        <w:drawing>
          <wp:inline distT="0" distB="0" distL="0" distR="0" wp14:anchorId="7ECFA43A" wp14:editId="7EDC4977">
            <wp:extent cx="5791200" cy="1676400"/>
            <wp:effectExtent l="0" t="133350" r="0" b="114300"/>
            <wp:docPr id="17" name="Diagram 1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3" r:lo="rId24" r:qs="rId25" r:cs="rId26"/>
              </a:graphicData>
            </a:graphic>
          </wp:inline>
        </w:drawing>
      </w:r>
    </w:p>
    <w:p w14:paraId="493D76BF" w14:textId="77777777" w:rsidR="00195068" w:rsidRDefault="00195068" w:rsidP="00195068">
      <w:pPr>
        <w:spacing w:after="0" w:line="240" w:lineRule="auto"/>
        <w:rPr>
          <w:rFonts w:ascii="Gill Sans MT" w:hAnsi="Gill Sans MT"/>
          <w:b/>
          <w:color w:val="333333"/>
          <w:sz w:val="24"/>
          <w:szCs w:val="24"/>
          <w:shd w:val="clear" w:color="auto" w:fill="FFFFFF"/>
        </w:rPr>
      </w:pPr>
    </w:p>
    <w:p w14:paraId="584F6A68" w14:textId="6024E64C" w:rsidR="001F5E00" w:rsidRDefault="001F5E00"/>
    <w:sectPr w:rsidR="001F5E0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4867A9"/>
    <w:multiLevelType w:val="hybridMultilevel"/>
    <w:tmpl w:val="28F210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3E4E653D"/>
    <w:multiLevelType w:val="hybridMultilevel"/>
    <w:tmpl w:val="075250AC"/>
    <w:lvl w:ilvl="0" w:tplc="A4861BA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4B5F4D32"/>
    <w:multiLevelType w:val="hybridMultilevel"/>
    <w:tmpl w:val="7CE85AEC"/>
    <w:lvl w:ilvl="0" w:tplc="A4861BA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5ACD34C2"/>
    <w:multiLevelType w:val="hybridMultilevel"/>
    <w:tmpl w:val="A572AB86"/>
    <w:lvl w:ilvl="0" w:tplc="A4861BA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66220531"/>
    <w:multiLevelType w:val="hybridMultilevel"/>
    <w:tmpl w:val="C3C602F8"/>
    <w:lvl w:ilvl="0" w:tplc="A4861BA4">
      <w:start w:val="1"/>
      <w:numFmt w:val="decimal"/>
      <w:lvlText w:val="%1-"/>
      <w:lvlJc w:val="left"/>
      <w:pPr>
        <w:tabs>
          <w:tab w:val="num" w:pos="360"/>
        </w:tabs>
        <w:ind w:left="360" w:hanging="360"/>
      </w:pPr>
      <w:rPr>
        <w:rFonts w:hint="default"/>
      </w:rPr>
    </w:lvl>
    <w:lvl w:ilvl="1" w:tplc="327E779C" w:tentative="1">
      <w:start w:val="1"/>
      <w:numFmt w:val="bullet"/>
      <w:lvlText w:val="•"/>
      <w:lvlJc w:val="left"/>
      <w:pPr>
        <w:tabs>
          <w:tab w:val="num" w:pos="1080"/>
        </w:tabs>
        <w:ind w:left="1080" w:hanging="360"/>
      </w:pPr>
      <w:rPr>
        <w:rFonts w:ascii="Times New Roman" w:hAnsi="Times New Roman" w:hint="default"/>
      </w:rPr>
    </w:lvl>
    <w:lvl w:ilvl="2" w:tplc="37D8D636" w:tentative="1">
      <w:start w:val="1"/>
      <w:numFmt w:val="bullet"/>
      <w:lvlText w:val="•"/>
      <w:lvlJc w:val="left"/>
      <w:pPr>
        <w:tabs>
          <w:tab w:val="num" w:pos="1800"/>
        </w:tabs>
        <w:ind w:left="1800" w:hanging="360"/>
      </w:pPr>
      <w:rPr>
        <w:rFonts w:ascii="Times New Roman" w:hAnsi="Times New Roman" w:hint="default"/>
      </w:rPr>
    </w:lvl>
    <w:lvl w:ilvl="3" w:tplc="80501626" w:tentative="1">
      <w:start w:val="1"/>
      <w:numFmt w:val="bullet"/>
      <w:lvlText w:val="•"/>
      <w:lvlJc w:val="left"/>
      <w:pPr>
        <w:tabs>
          <w:tab w:val="num" w:pos="2520"/>
        </w:tabs>
        <w:ind w:left="2520" w:hanging="360"/>
      </w:pPr>
      <w:rPr>
        <w:rFonts w:ascii="Times New Roman" w:hAnsi="Times New Roman" w:hint="default"/>
      </w:rPr>
    </w:lvl>
    <w:lvl w:ilvl="4" w:tplc="33280974" w:tentative="1">
      <w:start w:val="1"/>
      <w:numFmt w:val="bullet"/>
      <w:lvlText w:val="•"/>
      <w:lvlJc w:val="left"/>
      <w:pPr>
        <w:tabs>
          <w:tab w:val="num" w:pos="3240"/>
        </w:tabs>
        <w:ind w:left="3240" w:hanging="360"/>
      </w:pPr>
      <w:rPr>
        <w:rFonts w:ascii="Times New Roman" w:hAnsi="Times New Roman" w:hint="default"/>
      </w:rPr>
    </w:lvl>
    <w:lvl w:ilvl="5" w:tplc="F7BEE6F6" w:tentative="1">
      <w:start w:val="1"/>
      <w:numFmt w:val="bullet"/>
      <w:lvlText w:val="•"/>
      <w:lvlJc w:val="left"/>
      <w:pPr>
        <w:tabs>
          <w:tab w:val="num" w:pos="3960"/>
        </w:tabs>
        <w:ind w:left="3960" w:hanging="360"/>
      </w:pPr>
      <w:rPr>
        <w:rFonts w:ascii="Times New Roman" w:hAnsi="Times New Roman" w:hint="default"/>
      </w:rPr>
    </w:lvl>
    <w:lvl w:ilvl="6" w:tplc="F61E61FE" w:tentative="1">
      <w:start w:val="1"/>
      <w:numFmt w:val="bullet"/>
      <w:lvlText w:val="•"/>
      <w:lvlJc w:val="left"/>
      <w:pPr>
        <w:tabs>
          <w:tab w:val="num" w:pos="4680"/>
        </w:tabs>
        <w:ind w:left="4680" w:hanging="360"/>
      </w:pPr>
      <w:rPr>
        <w:rFonts w:ascii="Times New Roman" w:hAnsi="Times New Roman" w:hint="default"/>
      </w:rPr>
    </w:lvl>
    <w:lvl w:ilvl="7" w:tplc="DDA8FC2E" w:tentative="1">
      <w:start w:val="1"/>
      <w:numFmt w:val="bullet"/>
      <w:lvlText w:val="•"/>
      <w:lvlJc w:val="left"/>
      <w:pPr>
        <w:tabs>
          <w:tab w:val="num" w:pos="5400"/>
        </w:tabs>
        <w:ind w:left="5400" w:hanging="360"/>
      </w:pPr>
      <w:rPr>
        <w:rFonts w:ascii="Times New Roman" w:hAnsi="Times New Roman" w:hint="default"/>
      </w:rPr>
    </w:lvl>
    <w:lvl w:ilvl="8" w:tplc="2A0423E2" w:tentative="1">
      <w:start w:val="1"/>
      <w:numFmt w:val="bullet"/>
      <w:lvlText w:val="•"/>
      <w:lvlJc w:val="left"/>
      <w:pPr>
        <w:tabs>
          <w:tab w:val="num" w:pos="6120"/>
        </w:tabs>
        <w:ind w:left="6120" w:hanging="360"/>
      </w:pPr>
      <w:rPr>
        <w:rFonts w:ascii="Times New Roman" w:hAnsi="Times New Roman" w:hint="default"/>
      </w:rPr>
    </w:lvl>
  </w:abstractNum>
  <w:num w:numId="1" w16cid:durableId="1677343887">
    <w:abstractNumId w:val="3"/>
  </w:num>
  <w:num w:numId="2" w16cid:durableId="1850020489">
    <w:abstractNumId w:val="2"/>
  </w:num>
  <w:num w:numId="3" w16cid:durableId="1309018256">
    <w:abstractNumId w:val="1"/>
  </w:num>
  <w:num w:numId="4" w16cid:durableId="831602205">
    <w:abstractNumId w:val="4"/>
  </w:num>
  <w:num w:numId="5" w16cid:durableId="7959506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5068"/>
    <w:rsid w:val="00195068"/>
    <w:rsid w:val="001F5E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35EAEF"/>
  <w15:chartTrackingRefBased/>
  <w15:docId w15:val="{D5351FCF-14D6-4F11-8266-7C765F0053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5068"/>
  </w:style>
  <w:style w:type="paragraph" w:styleId="Heading1">
    <w:name w:val="heading 1"/>
    <w:basedOn w:val="Normal"/>
    <w:next w:val="Normal"/>
    <w:link w:val="Heading1Char"/>
    <w:uiPriority w:val="9"/>
    <w:qFormat/>
    <w:rsid w:val="00195068"/>
    <w:pPr>
      <w:keepNext/>
      <w:keepLines/>
      <w:spacing w:before="240" w:after="0"/>
      <w:outlineLvl w:val="0"/>
    </w:pPr>
    <w:rPr>
      <w:rFonts w:ascii="Gill Sans MT" w:eastAsiaTheme="majorEastAsia" w:hAnsi="Gill Sans MT" w:cstheme="majorBidi"/>
      <w:b/>
      <w:sz w:val="32"/>
      <w:szCs w:val="32"/>
    </w:rPr>
  </w:style>
  <w:style w:type="paragraph" w:styleId="Heading3">
    <w:name w:val="heading 3"/>
    <w:basedOn w:val="Normal"/>
    <w:next w:val="Normal"/>
    <w:link w:val="Heading3Char"/>
    <w:uiPriority w:val="9"/>
    <w:unhideWhenUsed/>
    <w:qFormat/>
    <w:rsid w:val="00195068"/>
    <w:pPr>
      <w:keepNext/>
      <w:keepLines/>
      <w:spacing w:before="40" w:after="0"/>
      <w:outlineLvl w:val="2"/>
    </w:pPr>
    <w:rPr>
      <w:rFonts w:ascii="Gill Sans MT" w:eastAsiaTheme="majorEastAsia" w:hAnsi="Gill Sans MT" w:cstheme="majorBidi"/>
      <w:b/>
      <w:color w:val="4472C4" w:themeColor="accent1"/>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5068"/>
    <w:rPr>
      <w:rFonts w:ascii="Gill Sans MT" w:eastAsiaTheme="majorEastAsia" w:hAnsi="Gill Sans MT" w:cstheme="majorBidi"/>
      <w:b/>
      <w:sz w:val="32"/>
      <w:szCs w:val="32"/>
    </w:rPr>
  </w:style>
  <w:style w:type="character" w:customStyle="1" w:styleId="Heading3Char">
    <w:name w:val="Heading 3 Char"/>
    <w:basedOn w:val="DefaultParagraphFont"/>
    <w:link w:val="Heading3"/>
    <w:uiPriority w:val="9"/>
    <w:rsid w:val="00195068"/>
    <w:rPr>
      <w:rFonts w:ascii="Gill Sans MT" w:eastAsiaTheme="majorEastAsia" w:hAnsi="Gill Sans MT" w:cstheme="majorBidi"/>
      <w:b/>
      <w:color w:val="4472C4" w:themeColor="accent1"/>
      <w:sz w:val="24"/>
      <w:szCs w:val="24"/>
    </w:rPr>
  </w:style>
  <w:style w:type="paragraph" w:styleId="ListParagraph">
    <w:name w:val="List Paragraph"/>
    <w:basedOn w:val="Normal"/>
    <w:uiPriority w:val="34"/>
    <w:qFormat/>
    <w:rsid w:val="00195068"/>
    <w:pPr>
      <w:ind w:left="720"/>
      <w:contextualSpacing/>
    </w:pPr>
  </w:style>
  <w:style w:type="character" w:styleId="Hyperlink">
    <w:name w:val="Hyperlink"/>
    <w:basedOn w:val="DefaultParagraphFont"/>
    <w:uiPriority w:val="99"/>
    <w:unhideWhenUsed/>
    <w:rsid w:val="00195068"/>
    <w:rPr>
      <w:color w:val="0563C1" w:themeColor="hyperlink"/>
      <w:u w:val="single"/>
    </w:rPr>
  </w:style>
  <w:style w:type="table" w:styleId="TableGrid">
    <w:name w:val="Table Grid"/>
    <w:basedOn w:val="TableNormal"/>
    <w:uiPriority w:val="39"/>
    <w:rsid w:val="001950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19506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reading-companionreference-citation">
    <w:name w:val="c-reading-companion__reference-citation"/>
    <w:basedOn w:val="Normal"/>
    <w:rsid w:val="0019506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ixed-citation">
    <w:name w:val="mixed-citation"/>
    <w:basedOn w:val="DefaultParagraphFont"/>
    <w:rsid w:val="00195068"/>
  </w:style>
  <w:style w:type="character" w:customStyle="1" w:styleId="ref-title">
    <w:name w:val="ref-title"/>
    <w:basedOn w:val="DefaultParagraphFont"/>
    <w:rsid w:val="00195068"/>
  </w:style>
  <w:style w:type="character" w:customStyle="1" w:styleId="ref-journal">
    <w:name w:val="ref-journal"/>
    <w:basedOn w:val="DefaultParagraphFont"/>
    <w:rsid w:val="00195068"/>
  </w:style>
  <w:style w:type="character" w:customStyle="1" w:styleId="ref-vol">
    <w:name w:val="ref-vol"/>
    <w:basedOn w:val="DefaultParagraphFont"/>
    <w:rsid w:val="00195068"/>
  </w:style>
  <w:style w:type="character" w:customStyle="1" w:styleId="nowrap">
    <w:name w:val="nowrap"/>
    <w:basedOn w:val="DefaultParagraphFont"/>
    <w:rsid w:val="001950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Colors" Target="diagrams/colors1.xml"/><Relationship Id="rId13" Type="http://schemas.openxmlformats.org/officeDocument/2006/relationships/hyperlink" Target="https://doi.org/10.1186/s12913-017-2370-5" TargetMode="External"/><Relationship Id="rId18" Type="http://schemas.openxmlformats.org/officeDocument/2006/relationships/hyperlink" Target="http://scholarworks.gsu.edu/iph_theses" TargetMode="External"/><Relationship Id="rId26" Type="http://schemas.openxmlformats.org/officeDocument/2006/relationships/diagramColors" Target="diagrams/colors2.xml"/><Relationship Id="rId3" Type="http://schemas.openxmlformats.org/officeDocument/2006/relationships/settings" Target="settings.xml"/><Relationship Id="rId21" Type="http://schemas.openxmlformats.org/officeDocument/2006/relationships/hyperlink" Target="https://scholar.google.com/scholar_lookup?journal=Lancet&amp;title=Delivery+platforms+for+sustained+nutrition+in+Ethiopia&amp;volume=382&amp;publication_year=2013&amp;pages=488-489&amp;pmid=23746774&amp;" TargetMode="External"/><Relationship Id="rId7" Type="http://schemas.openxmlformats.org/officeDocument/2006/relationships/diagramQuickStyle" Target="diagrams/quickStyle1.xml"/><Relationship Id="rId12" Type="http://schemas.openxmlformats.org/officeDocument/2006/relationships/hyperlink" Target="https://www.washinhcf.org/documents/Final-SARA-Report-Jan-2017.pdf" TargetMode="External"/><Relationship Id="rId17" Type="http://schemas.openxmlformats.org/officeDocument/2006/relationships/hyperlink" Target="https://doi.org/10.1186/1742-4755-11-28" TargetMode="External"/><Relationship Id="rId25" Type="http://schemas.openxmlformats.org/officeDocument/2006/relationships/diagramQuickStyle" Target="diagrams/quickStyle2.xml"/><Relationship Id="rId2" Type="http://schemas.openxmlformats.org/officeDocument/2006/relationships/styles" Target="styles.xml"/><Relationship Id="rId16" Type="http://schemas.openxmlformats.org/officeDocument/2006/relationships/hyperlink" Target="https://doi.org/10.1186/s41043-017-0120-2" TargetMode="External"/><Relationship Id="rId20" Type="http://schemas.openxmlformats.org/officeDocument/2006/relationships/hyperlink" Target="https://pubmed.ncbi.nlm.nih.gov/23746774"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diagramLayout" Target="diagrams/layout1.xml"/><Relationship Id="rId11" Type="http://schemas.openxmlformats.org/officeDocument/2006/relationships/hyperlink" Target="https://doi.org/10.1371/journal.pone.0156438" TargetMode="External"/><Relationship Id="rId24" Type="http://schemas.openxmlformats.org/officeDocument/2006/relationships/diagramLayout" Target="diagrams/layout2.xml"/><Relationship Id="rId5" Type="http://schemas.openxmlformats.org/officeDocument/2006/relationships/diagramData" Target="diagrams/data1.xml"/><Relationship Id="rId15" Type="http://schemas.openxmlformats.org/officeDocument/2006/relationships/hyperlink" Target="https://doi.org/10.1093/heapol/czw129" TargetMode="External"/><Relationship Id="rId23" Type="http://schemas.openxmlformats.org/officeDocument/2006/relationships/diagramData" Target="diagrams/data2.xml"/><Relationship Id="rId28" Type="http://schemas.openxmlformats.org/officeDocument/2006/relationships/fontTable" Target="fontTable.xml"/><Relationship Id="rId10" Type="http://schemas.openxmlformats.org/officeDocument/2006/relationships/hyperlink" Target="https://doi.org/10.1186/s12992-019-0470-1" TargetMode="External"/><Relationship Id="rId19" Type="http://schemas.openxmlformats.org/officeDocument/2006/relationships/hyperlink" Target="https://scholar.google.com/scholar_lookup?title=The+Impact+of+Ethiopian+Health+Services+Extension+Program+on+Maternal+and+Child+Health+Outcomes:+The+Case+of+Tigray+Region&amp;publication_year=2013&amp;" TargetMode="External"/><Relationship Id="rId4" Type="http://schemas.openxmlformats.org/officeDocument/2006/relationships/webSettings" Target="webSettings.xml"/><Relationship Id="rId9" Type="http://schemas.microsoft.com/office/2007/relationships/diagramDrawing" Target="diagrams/drawing1.xml"/><Relationship Id="rId14" Type="http://schemas.openxmlformats.org/officeDocument/2006/relationships/hyperlink" Target="https://doi.org/10.1186/s12913-017-2804-0" TargetMode="External"/><Relationship Id="rId22" Type="http://schemas.openxmlformats.org/officeDocument/2006/relationships/hyperlink" Target="https://doi.org/10.1186/s12960-021-00605-z" TargetMode="External"/><Relationship Id="rId27" Type="http://schemas.microsoft.com/office/2007/relationships/diagramDrawing" Target="diagrams/drawing2.xml"/></Relationships>
</file>

<file path=word/diagrams/colors1.xml><?xml version="1.0" encoding="utf-8"?>
<dgm:colorsDef xmlns:dgm="http://schemas.openxmlformats.org/drawingml/2006/diagram" xmlns:a="http://schemas.openxmlformats.org/drawingml/2006/main" uniqueId="urn:microsoft.com/office/officeart/2005/8/colors/accent0_3">
  <dgm:title val=""/>
  <dgm:desc val=""/>
  <dgm:catLst>
    <dgm:cat type="mainScheme" pri="10300"/>
  </dgm:catLst>
  <dgm:styleLbl name="node0">
    <dgm:fillClrLst meth="repeat">
      <a:schemeClr val="dk2"/>
    </dgm:fillClrLst>
    <dgm:linClrLst meth="repeat">
      <a:schemeClr val="lt2"/>
    </dgm:linClrLst>
    <dgm:effectClrLst/>
    <dgm:txLinClrLst/>
    <dgm:txFillClrLst/>
    <dgm:txEffectClrLst/>
  </dgm:styleLbl>
  <dgm:styleLbl name="alignNode1">
    <dgm:fillClrLst meth="repeat">
      <a:schemeClr val="dk2"/>
    </dgm:fillClrLst>
    <dgm:linClrLst meth="repeat">
      <a:schemeClr val="dk2"/>
    </dgm:linClrLst>
    <dgm:effectClrLst/>
    <dgm:txLinClrLst/>
    <dgm:txFillClrLst/>
    <dgm:txEffectClrLst/>
  </dgm:styleLbl>
  <dgm:styleLbl name="node1">
    <dgm:fillClrLst meth="repeat">
      <a:schemeClr val="dk2"/>
    </dgm:fillClrLst>
    <dgm:linClrLst meth="repeat">
      <a:schemeClr val="lt2"/>
    </dgm:linClrLst>
    <dgm:effectClrLst/>
    <dgm:txLinClrLst/>
    <dgm:txFillClrLst/>
    <dgm:txEffectClrLst/>
  </dgm:styleLbl>
  <dgm:styleLbl name="lnNode1">
    <dgm:fillClrLst meth="repeat">
      <a:schemeClr val="dk2"/>
    </dgm:fillClrLst>
    <dgm:linClrLst meth="repeat">
      <a:schemeClr val="lt2"/>
    </dgm:linClrLst>
    <dgm:effectClrLst/>
    <dgm:txLinClrLst/>
    <dgm:txFillClrLst/>
    <dgm:txEffectClrLst/>
  </dgm:styleLbl>
  <dgm:styleLbl name="vennNode1">
    <dgm:fillClrLst meth="repeat">
      <a:schemeClr val="dk2">
        <a:alpha val="50000"/>
      </a:schemeClr>
    </dgm:fillClrLst>
    <dgm:linClrLst meth="repeat">
      <a:schemeClr val="lt2"/>
    </dgm:linClrLst>
    <dgm:effectClrLst/>
    <dgm:txLinClrLst/>
    <dgm:txFillClrLst/>
    <dgm:txEffectClrLst/>
  </dgm:styleLbl>
  <dgm:styleLbl name="node2">
    <dgm:fillClrLst meth="repeat">
      <a:schemeClr val="dk2"/>
    </dgm:fillClrLst>
    <dgm:linClrLst meth="repeat">
      <a:schemeClr val="lt2"/>
    </dgm:linClrLst>
    <dgm:effectClrLst/>
    <dgm:txLinClrLst/>
    <dgm:txFillClrLst/>
    <dgm:txEffectClrLst/>
  </dgm:styleLbl>
  <dgm:styleLbl name="node3">
    <dgm:fillClrLst meth="repeat">
      <a:schemeClr val="dk2"/>
    </dgm:fillClrLst>
    <dgm:linClrLst meth="repeat">
      <a:schemeClr val="lt2"/>
    </dgm:linClrLst>
    <dgm:effectClrLst/>
    <dgm:txLinClrLst/>
    <dgm:txFillClrLst/>
    <dgm:txEffectClrLst/>
  </dgm:styleLbl>
  <dgm:styleLbl name="node4">
    <dgm:fillClrLst meth="repeat">
      <a:schemeClr val="dk2"/>
    </dgm:fillClrLst>
    <dgm:linClrLst meth="repeat">
      <a:schemeClr val="lt2"/>
    </dgm:linClrLst>
    <dgm:effectClrLst/>
    <dgm:txLinClrLst/>
    <dgm:txFillClrLst/>
    <dgm:txEffectClrLst/>
  </dgm:styleLbl>
  <dgm:styleLbl name="fgImgPlace1">
    <dgm:fillClrLst meth="repeat">
      <a:schemeClr val="dk2">
        <a:tint val="50000"/>
      </a:schemeClr>
    </dgm:fillClrLst>
    <dgm:linClrLst meth="repeat">
      <a:schemeClr val="lt2"/>
    </dgm:linClrLst>
    <dgm:effectClrLst/>
    <dgm:txLinClrLst/>
    <dgm:txFillClrLst meth="repeat">
      <a:schemeClr val="lt2"/>
    </dgm:txFillClrLst>
    <dgm:txEffectClrLst/>
  </dgm:styleLbl>
  <dgm:styleLbl name="align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bg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dgm:txEffectClrLst/>
  </dgm:styleLbl>
  <dgm:styleLbl name="sibTrans1D1">
    <dgm:fillClrLst meth="repeat">
      <a:schemeClr val="dk2"/>
    </dgm:fillClrLst>
    <dgm:linClrLst meth="repeat">
      <a:schemeClr val="dk2"/>
    </dgm:linClrLst>
    <dgm:effectClrLst/>
    <dgm:txLinClrLst/>
    <dgm:txFillClrLst meth="repeat">
      <a:schemeClr val="lt2"/>
    </dgm:txFillClrLst>
    <dgm:txEffectClrLst/>
  </dgm:styleLbl>
  <dgm:styleLbl name="callout">
    <dgm:fillClrLst meth="repeat">
      <a:schemeClr val="dk2"/>
    </dgm:fillClrLst>
    <dgm:linClrLst meth="repeat">
      <a:schemeClr val="dk2">
        <a:tint val="50000"/>
      </a:schemeClr>
    </dgm:linClrLst>
    <dgm:effectClrLst/>
    <dgm:txLinClrLst/>
    <dgm:txFillClrLst meth="repeat">
      <a:schemeClr val="lt2"/>
    </dgm:txFillClrLst>
    <dgm:txEffectClrLst/>
  </dgm:styleLbl>
  <dgm:styleLbl name="asst0">
    <dgm:fillClrLst meth="repeat">
      <a:schemeClr val="dk2"/>
    </dgm:fillClrLst>
    <dgm:linClrLst meth="repeat">
      <a:schemeClr val="lt2"/>
    </dgm:linClrLst>
    <dgm:effectClrLst/>
    <dgm:txLinClrLst/>
    <dgm:txFillClrLst/>
    <dgm:txEffectClrLst/>
  </dgm:styleLbl>
  <dgm:styleLbl name="asst1">
    <dgm:fillClrLst meth="repeat">
      <a:schemeClr val="dk2"/>
    </dgm:fillClrLst>
    <dgm:linClrLst meth="repeat">
      <a:schemeClr val="lt2"/>
    </dgm:linClrLst>
    <dgm:effectClrLst/>
    <dgm:txLinClrLst/>
    <dgm:txFillClrLst/>
    <dgm:txEffectClrLst/>
  </dgm:styleLbl>
  <dgm:styleLbl name="asst2">
    <dgm:fillClrLst meth="repeat">
      <a:schemeClr val="dk2"/>
    </dgm:fillClrLst>
    <dgm:linClrLst meth="repeat">
      <a:schemeClr val="lt2"/>
    </dgm:linClrLst>
    <dgm:effectClrLst/>
    <dgm:txLinClrLst/>
    <dgm:txFillClrLst/>
    <dgm:txEffectClrLst/>
  </dgm:styleLbl>
  <dgm:styleLbl name="asst3">
    <dgm:fillClrLst meth="repeat">
      <a:schemeClr val="dk2"/>
    </dgm:fillClrLst>
    <dgm:linClrLst meth="repeat">
      <a:schemeClr val="lt2"/>
    </dgm:linClrLst>
    <dgm:effectClrLst/>
    <dgm:txLinClrLst/>
    <dgm:txFillClrLst/>
    <dgm:txEffectClrLst/>
  </dgm:styleLbl>
  <dgm:styleLbl name="asst4">
    <dgm:fillClrLst meth="repeat">
      <a:schemeClr val="dk2"/>
    </dgm:fillClrLst>
    <dgm:linClrLst meth="repeat">
      <a:schemeClr val="lt2"/>
    </dgm:linClrLst>
    <dgm:effectClrLst/>
    <dgm:txLinClrLst/>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meth="repeat">
      <a:schemeClr val="lt2"/>
    </dgm:txFillClrLst>
    <dgm:txEffectClrLst/>
  </dgm:styleLbl>
  <dgm:styleLbl name="parChTrans2D2">
    <dgm:fillClrLst meth="repeat">
      <a:schemeClr val="dk2"/>
    </dgm:fillClrLst>
    <dgm:linClrLst meth="repeat">
      <a:schemeClr val="dk2"/>
    </dgm:linClrLst>
    <dgm:effectClrLst/>
    <dgm:txLinClrLst/>
    <dgm:txFillClrLst meth="repeat">
      <a:schemeClr val="lt2"/>
    </dgm:txFillClrLst>
    <dgm:txEffectClrLst/>
  </dgm:styleLbl>
  <dgm:styleLbl name="parChTrans2D3">
    <dgm:fillClrLst meth="repeat">
      <a:schemeClr val="dk2"/>
    </dgm:fillClrLst>
    <dgm:linClrLst meth="repeat">
      <a:schemeClr val="dk2"/>
    </dgm:linClrLst>
    <dgm:effectClrLst/>
    <dgm:txLinClrLst/>
    <dgm:txFillClrLst meth="repeat">
      <a:schemeClr val="lt2"/>
    </dgm:txFillClrLst>
    <dgm:txEffectClrLst/>
  </dgm:styleLbl>
  <dgm:styleLbl name="parChTrans2D4">
    <dgm:fillClrLst meth="repeat">
      <a:schemeClr val="dk2"/>
    </dgm:fillClrLst>
    <dgm:linClrLst meth="repeat">
      <a:schemeClr val="dk2"/>
    </dgm:linClrLst>
    <dgm:effectClrLst/>
    <dgm:txLinClrLst/>
    <dgm:txFillClrLst meth="repeat">
      <a:schemeClr val="lt2"/>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con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align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trAlignAcc1">
    <dgm:fillClrLst meth="repeat">
      <a:schemeClr val="lt2">
        <a:alpha val="40000"/>
      </a:schemeClr>
    </dgm:fillClrLst>
    <dgm:linClrLst meth="repeat">
      <a:schemeClr val="dk2"/>
    </dgm:linClrLst>
    <dgm:effectClrLst/>
    <dgm:txLinClrLst/>
    <dgm:txFillClrLst meth="repeat">
      <a:schemeClr val="dk1"/>
    </dgm:txFillClrLst>
    <dgm:txEffectClrLst/>
  </dgm:styleLbl>
  <dgm:styleLbl name="b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solidFgAcc1">
    <dgm:fillClrLst meth="repeat">
      <a:schemeClr val="lt2"/>
    </dgm:fillClrLst>
    <dgm:linClrLst meth="repeat">
      <a:schemeClr val="dk2"/>
    </dgm:linClrLst>
    <dgm:effectClrLst/>
    <dgm:txLinClrLst/>
    <dgm:txFillClrLst meth="repeat">
      <a:schemeClr val="dk1"/>
    </dgm:txFillClrLst>
    <dgm:txEffectClrLst/>
  </dgm:styleLbl>
  <dgm:styleLbl name="solidAlignAcc1">
    <dgm:fillClrLst meth="repeat">
      <a:schemeClr val="lt2"/>
    </dgm:fillClrLst>
    <dgm:linClrLst meth="repeat">
      <a:schemeClr val="dk2"/>
    </dgm:linClrLst>
    <dgm:effectClrLst/>
    <dgm:txLinClrLst/>
    <dgm:txFillClrLst meth="repeat">
      <a:schemeClr val="dk1"/>
    </dgm:txFillClrLst>
    <dgm:txEffectClrLst/>
  </dgm:styleLbl>
  <dgm:styleLbl name="solidBgAcc1">
    <dgm:fillClrLst meth="repeat">
      <a:schemeClr val="lt2"/>
    </dgm:fillClrLst>
    <dgm:linClrLst meth="repeat">
      <a:schemeClr val="dk2"/>
    </dgm:linClrLst>
    <dgm:effectClrLst/>
    <dgm:txLinClrLst/>
    <dgm:txFillClrLst meth="repeat">
      <a:schemeClr val="dk1"/>
    </dgm:txFillClrLst>
    <dgm:txEffectClrLst/>
  </dgm:styleLbl>
  <dgm:styleLbl name="f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align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b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fgAcc0">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2">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3">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4">
    <dgm:fillClrLst meth="repeat">
      <a:schemeClr val="lt2">
        <a:alpha val="90000"/>
      </a:schemeClr>
    </dgm:fillClrLst>
    <dgm:linClrLst meth="repeat">
      <a:schemeClr val="dk2"/>
    </dgm:linClrLst>
    <dgm:effectClrLst/>
    <dgm:txLinClrLst/>
    <dgm:txFillClrLst meth="repeat">
      <a:schemeClr val="dk1"/>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1"/>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1"/>
    </dgm:txFillClrLst>
    <dgm:txEffectClrLst/>
  </dgm:styleLbl>
  <dgm:styleLbl name="fgShp">
    <dgm:fillClrLst meth="repeat">
      <a:schemeClr val="dk2">
        <a:tint val="60000"/>
      </a:schemeClr>
    </dgm:fillClrLst>
    <dgm:linClrLst meth="repeat">
      <a:schemeClr val="lt2"/>
    </dgm:linClrLst>
    <dgm:effectClrLst/>
    <dgm:txLinClrLst/>
    <dgm:txFillClrLst meth="repeat">
      <a:schemeClr val="dk1"/>
    </dgm:txFillClrLst>
    <dgm:txEffectClrLst/>
  </dgm:styleLbl>
  <dgm:styleLbl name="revTx">
    <dgm:fillClrLst meth="repeat">
      <a:schemeClr val="lt2">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E1318505-0006-4A3B-BED8-670132FDF765}" type="doc">
      <dgm:prSet loTypeId="urn:microsoft.com/office/officeart/2005/8/layout/vList2" loCatId="list" qsTypeId="urn:microsoft.com/office/officeart/2005/8/quickstyle/simple1" qsCatId="simple" csTypeId="urn:microsoft.com/office/officeart/2005/8/colors/accent0_3" csCatId="mainScheme" phldr="1"/>
      <dgm:spPr/>
      <dgm:t>
        <a:bodyPr/>
        <a:lstStyle/>
        <a:p>
          <a:endParaRPr lang="en-US"/>
        </a:p>
      </dgm:t>
    </dgm:pt>
    <dgm:pt modelId="{6790CBB0-FAC6-429F-A0D5-610B1FF48DBE}">
      <dgm:prSet phldrT="[Text]" custT="1"/>
      <dgm:spPr/>
      <dgm:t>
        <a:bodyPr/>
        <a:lstStyle/>
        <a:p>
          <a:r>
            <a:rPr lang="en-US" sz="1000" b="1" u="none">
              <a:latin typeface="Calibri" panose="020F0502020204030204" pitchFamily="34" charset="0"/>
              <a:ea typeface="Calibri" panose="020F0502020204030204" pitchFamily="34" charset="0"/>
              <a:cs typeface="Times New Roman" panose="02020603050405020304" pitchFamily="18" charset="0"/>
            </a:rPr>
            <a:t>Regional launching workshop- </a:t>
          </a:r>
          <a:endParaRPr lang="en-US" sz="1000" u="none" dirty="0"/>
        </a:p>
      </dgm:t>
    </dgm:pt>
    <dgm:pt modelId="{0B3F6EC1-0018-413E-B217-225522A77F76}" type="parTrans" cxnId="{DA89DD6D-DBD8-412F-AE11-9700CA242B6A}">
      <dgm:prSet/>
      <dgm:spPr/>
      <dgm:t>
        <a:bodyPr/>
        <a:lstStyle/>
        <a:p>
          <a:endParaRPr lang="en-US" sz="1000" u="none">
            <a:solidFill>
              <a:schemeClr val="tx1"/>
            </a:solidFill>
          </a:endParaRPr>
        </a:p>
      </dgm:t>
    </dgm:pt>
    <dgm:pt modelId="{14342C6E-5FE5-4654-BD79-472F2C9A6A29}" type="sibTrans" cxnId="{DA89DD6D-DBD8-412F-AE11-9700CA242B6A}">
      <dgm:prSet custT="1"/>
      <dgm:spPr/>
      <dgm:t>
        <a:bodyPr/>
        <a:lstStyle/>
        <a:p>
          <a:endParaRPr lang="en-US" sz="1000" u="none">
            <a:solidFill>
              <a:schemeClr val="tx1"/>
            </a:solidFill>
          </a:endParaRPr>
        </a:p>
      </dgm:t>
    </dgm:pt>
    <dgm:pt modelId="{824B215F-C474-47E6-9193-31E9AC9153E7}">
      <dgm:prSet custT="1"/>
      <dgm:spPr/>
      <dgm:t>
        <a:bodyPr/>
        <a:lstStyle/>
        <a:p>
          <a:r>
            <a:rPr lang="en-US" sz="1000" u="none">
              <a:latin typeface="Calibri" panose="020F0502020204030204" pitchFamily="34" charset="0"/>
              <a:ea typeface="Calibri" panose="020F0502020204030204" pitchFamily="34" charset="0"/>
              <a:cs typeface="Times New Roman" panose="02020603050405020304" pitchFamily="18" charset="0"/>
            </a:rPr>
            <a:t>Inputs received and uniform understanding created</a:t>
          </a:r>
          <a:r>
            <a:rPr lang="en-US" sz="1000" u="none" dirty="0">
              <a:latin typeface="Calibri" panose="020F0502020204030204" pitchFamily="34" charset="0"/>
              <a:ea typeface="Calibri" panose="020F0502020204030204" pitchFamily="34" charset="0"/>
              <a:cs typeface="Times New Roman" panose="02020603050405020304" pitchFamily="18" charset="0"/>
            </a:rPr>
            <a:t>.</a:t>
          </a:r>
        </a:p>
      </dgm:t>
    </dgm:pt>
    <dgm:pt modelId="{06D003E7-DBE7-4B0F-8405-6C304B66A359}" type="parTrans" cxnId="{AD4A9216-3F75-4E30-BB1C-D9D7CD1E8AB0}">
      <dgm:prSet/>
      <dgm:spPr/>
      <dgm:t>
        <a:bodyPr/>
        <a:lstStyle/>
        <a:p>
          <a:endParaRPr lang="en-US" sz="1000" u="none">
            <a:solidFill>
              <a:schemeClr val="tx1"/>
            </a:solidFill>
          </a:endParaRPr>
        </a:p>
      </dgm:t>
    </dgm:pt>
    <dgm:pt modelId="{CA16B3C2-B0B1-4C5D-82BC-4B1B4BE236B5}" type="sibTrans" cxnId="{AD4A9216-3F75-4E30-BB1C-D9D7CD1E8AB0}">
      <dgm:prSet/>
      <dgm:spPr/>
      <dgm:t>
        <a:bodyPr/>
        <a:lstStyle/>
        <a:p>
          <a:endParaRPr lang="en-US" sz="1000" u="none">
            <a:solidFill>
              <a:schemeClr val="tx1"/>
            </a:solidFill>
          </a:endParaRPr>
        </a:p>
      </dgm:t>
    </dgm:pt>
    <dgm:pt modelId="{3B3A50B9-B582-4430-9986-4B90C04AEA26}">
      <dgm:prSet custT="1"/>
      <dgm:spPr/>
      <dgm:t>
        <a:bodyPr/>
        <a:lstStyle/>
        <a:p>
          <a:r>
            <a:rPr lang="en-US" sz="1000" b="1" u="none">
              <a:latin typeface="Calibri" panose="020F0502020204030204" pitchFamily="34" charset="0"/>
              <a:ea typeface="Calibri" panose="020F0502020204030204" pitchFamily="34" charset="0"/>
              <a:cs typeface="Times New Roman" panose="02020603050405020304" pitchFamily="18" charset="0"/>
            </a:rPr>
            <a:t>Training</a:t>
          </a:r>
          <a:r>
            <a:rPr lang="en-US" sz="1000" u="none">
              <a:latin typeface="Calibri" panose="020F0502020204030204" pitchFamily="34" charset="0"/>
              <a:ea typeface="Calibri" panose="020F0502020204030204" pitchFamily="34" charset="0"/>
              <a:cs typeface="Times New Roman" panose="02020603050405020304" pitchFamily="18" charset="0"/>
            </a:rPr>
            <a:t>: </a:t>
          </a:r>
          <a:endParaRPr lang="en-US" sz="1000" u="none" dirty="0">
            <a:latin typeface="Calibri" panose="020F0502020204030204" pitchFamily="34" charset="0"/>
            <a:ea typeface="Calibri" panose="020F0502020204030204" pitchFamily="34" charset="0"/>
            <a:cs typeface="Times New Roman" panose="02020603050405020304" pitchFamily="18" charset="0"/>
          </a:endParaRPr>
        </a:p>
      </dgm:t>
    </dgm:pt>
    <dgm:pt modelId="{4C27638A-A932-4770-86BF-C9E459209D6E}" type="parTrans" cxnId="{8BF8D4F8-3C8D-4076-8BA2-030433073C29}">
      <dgm:prSet/>
      <dgm:spPr/>
      <dgm:t>
        <a:bodyPr/>
        <a:lstStyle/>
        <a:p>
          <a:endParaRPr lang="en-US" sz="1000" u="none">
            <a:solidFill>
              <a:schemeClr val="tx1"/>
            </a:solidFill>
          </a:endParaRPr>
        </a:p>
      </dgm:t>
    </dgm:pt>
    <dgm:pt modelId="{5E33941B-CC8A-473D-A761-7D5E8CE80E37}" type="sibTrans" cxnId="{8BF8D4F8-3C8D-4076-8BA2-030433073C29}">
      <dgm:prSet custT="1"/>
      <dgm:spPr/>
      <dgm:t>
        <a:bodyPr/>
        <a:lstStyle/>
        <a:p>
          <a:endParaRPr lang="en-US" sz="1000" u="none">
            <a:solidFill>
              <a:schemeClr val="tx1"/>
            </a:solidFill>
          </a:endParaRPr>
        </a:p>
      </dgm:t>
    </dgm:pt>
    <dgm:pt modelId="{68871460-F783-4496-8B2C-671E46CA9719}">
      <dgm:prSet custT="1"/>
      <dgm:spPr/>
      <dgm:t>
        <a:bodyPr/>
        <a:lstStyle/>
        <a:p>
          <a:r>
            <a:rPr lang="en-US" sz="1000" b="1" u="none">
              <a:latin typeface="Calibri" panose="020F0502020204030204" pitchFamily="34" charset="0"/>
              <a:ea typeface="Calibri" panose="020F0502020204030204" pitchFamily="34" charset="0"/>
              <a:cs typeface="Times New Roman" panose="02020603050405020304" pitchFamily="18" charset="0"/>
            </a:rPr>
            <a:t>Implementation of the TS/S</a:t>
          </a:r>
          <a:r>
            <a:rPr lang="en-US" sz="1000" u="none">
              <a:latin typeface="Calibri" panose="020F0502020204030204" pitchFamily="34" charset="0"/>
              <a:ea typeface="Calibri" panose="020F0502020204030204" pitchFamily="34" charset="0"/>
              <a:cs typeface="Times New Roman" panose="02020603050405020304" pitchFamily="18" charset="0"/>
            </a:rPr>
            <a:t>:</a:t>
          </a:r>
          <a:endParaRPr lang="en-US" sz="1000" u="none" dirty="0">
            <a:latin typeface="Calibri" panose="020F0502020204030204" pitchFamily="34" charset="0"/>
            <a:ea typeface="Calibri" panose="020F0502020204030204" pitchFamily="34" charset="0"/>
            <a:cs typeface="Times New Roman" panose="02020603050405020304" pitchFamily="18" charset="0"/>
          </a:endParaRPr>
        </a:p>
      </dgm:t>
    </dgm:pt>
    <dgm:pt modelId="{0E555A7E-4A86-4EF7-ADCE-1DC7C5C0FF53}" type="parTrans" cxnId="{D8CFEF9F-4B73-4A5F-8391-3CFD9463BDA0}">
      <dgm:prSet/>
      <dgm:spPr/>
      <dgm:t>
        <a:bodyPr/>
        <a:lstStyle/>
        <a:p>
          <a:endParaRPr lang="en-US" sz="1000" u="none">
            <a:solidFill>
              <a:schemeClr val="tx1"/>
            </a:solidFill>
          </a:endParaRPr>
        </a:p>
      </dgm:t>
    </dgm:pt>
    <dgm:pt modelId="{AA942317-8540-400B-895E-82E507F7C473}" type="sibTrans" cxnId="{D8CFEF9F-4B73-4A5F-8391-3CFD9463BDA0}">
      <dgm:prSet custT="1"/>
      <dgm:spPr/>
      <dgm:t>
        <a:bodyPr/>
        <a:lstStyle/>
        <a:p>
          <a:endParaRPr lang="en-US" sz="1000" u="none">
            <a:solidFill>
              <a:schemeClr val="tx1"/>
            </a:solidFill>
          </a:endParaRPr>
        </a:p>
      </dgm:t>
    </dgm:pt>
    <dgm:pt modelId="{A457593C-B354-4AAF-BBB8-D1AF1C746795}">
      <dgm:prSet custT="1"/>
      <dgm:spPr/>
      <dgm:t>
        <a:bodyPr/>
        <a:lstStyle/>
        <a:p>
          <a:r>
            <a:rPr lang="en-US" sz="1000" b="1" u="none">
              <a:latin typeface="Calibri" panose="020F0502020204030204" pitchFamily="34" charset="0"/>
              <a:ea typeface="Calibri" panose="020F0502020204030204" pitchFamily="34" charset="0"/>
              <a:cs typeface="Times New Roman" panose="02020603050405020304" pitchFamily="18" charset="0"/>
            </a:rPr>
            <a:t>Monitoring and technical support: </a:t>
          </a:r>
          <a:endParaRPr lang="en-US" sz="1000" b="1" u="none" dirty="0">
            <a:latin typeface="Calibri" panose="020F0502020204030204" pitchFamily="34" charset="0"/>
            <a:ea typeface="Calibri" panose="020F0502020204030204" pitchFamily="34" charset="0"/>
            <a:cs typeface="Times New Roman" panose="02020603050405020304" pitchFamily="18" charset="0"/>
          </a:endParaRPr>
        </a:p>
      </dgm:t>
    </dgm:pt>
    <dgm:pt modelId="{E2568EED-DD0F-4DA5-A7DD-9FC0C8D6EA68}" type="parTrans" cxnId="{1083162F-CE31-4DC8-9555-D32F3FF2828A}">
      <dgm:prSet/>
      <dgm:spPr/>
      <dgm:t>
        <a:bodyPr/>
        <a:lstStyle/>
        <a:p>
          <a:endParaRPr lang="en-US" sz="1000" u="none">
            <a:solidFill>
              <a:schemeClr val="tx1"/>
            </a:solidFill>
          </a:endParaRPr>
        </a:p>
      </dgm:t>
    </dgm:pt>
    <dgm:pt modelId="{8DF57DDF-B406-45B3-BB65-8173258827D9}" type="sibTrans" cxnId="{1083162F-CE31-4DC8-9555-D32F3FF2828A}">
      <dgm:prSet custT="1"/>
      <dgm:spPr/>
      <dgm:t>
        <a:bodyPr/>
        <a:lstStyle/>
        <a:p>
          <a:endParaRPr lang="en-US" sz="1000" u="none">
            <a:solidFill>
              <a:schemeClr val="tx1"/>
            </a:solidFill>
          </a:endParaRPr>
        </a:p>
      </dgm:t>
    </dgm:pt>
    <dgm:pt modelId="{81335D36-376F-44A7-A052-502B5CD98801}">
      <dgm:prSet custT="1"/>
      <dgm:spPr/>
      <dgm:t>
        <a:bodyPr/>
        <a:lstStyle/>
        <a:p>
          <a:r>
            <a:rPr lang="en-US" sz="1000" b="0" u="none">
              <a:latin typeface="Calibri" panose="020F0502020204030204" pitchFamily="34" charset="0"/>
              <a:ea typeface="Calibri" panose="020F0502020204030204" pitchFamily="34" charset="0"/>
              <a:cs typeface="Times New Roman" panose="02020603050405020304" pitchFamily="18" charset="0"/>
            </a:rPr>
            <a:t>A field exercise done to ensure proper practice</a:t>
          </a:r>
          <a:endParaRPr lang="en-US" sz="1000" b="0" u="none" dirty="0">
            <a:solidFill>
              <a:schemeClr val="tx1"/>
            </a:solidFill>
            <a:latin typeface="Calibri" panose="020F0502020204030204" pitchFamily="34" charset="0"/>
            <a:ea typeface="Calibri" panose="020F0502020204030204" pitchFamily="34" charset="0"/>
            <a:cs typeface="Times New Roman" panose="02020603050405020304" pitchFamily="18" charset="0"/>
          </a:endParaRPr>
        </a:p>
      </dgm:t>
    </dgm:pt>
    <dgm:pt modelId="{6E9717DD-8A21-4798-81AB-66EC08185AE9}" type="parTrans" cxnId="{7640D6D2-255E-44C4-9CE7-EA03EFF88512}">
      <dgm:prSet/>
      <dgm:spPr/>
      <dgm:t>
        <a:bodyPr/>
        <a:lstStyle/>
        <a:p>
          <a:endParaRPr lang="en-US" sz="1000"/>
        </a:p>
      </dgm:t>
    </dgm:pt>
    <dgm:pt modelId="{012D6FA3-BC0F-493D-A682-E7B099A35434}" type="sibTrans" cxnId="{7640D6D2-255E-44C4-9CE7-EA03EFF88512}">
      <dgm:prSet/>
      <dgm:spPr/>
      <dgm:t>
        <a:bodyPr/>
        <a:lstStyle/>
        <a:p>
          <a:endParaRPr lang="en-US" sz="1000"/>
        </a:p>
      </dgm:t>
    </dgm:pt>
    <dgm:pt modelId="{57F6534F-4044-4CA6-B6E8-D132BAB0C3AA}">
      <dgm:prSet custT="1"/>
      <dgm:spPr/>
      <dgm:t>
        <a:bodyPr/>
        <a:lstStyle/>
        <a:p>
          <a:r>
            <a:rPr lang="en-US" sz="1000" b="0" u="none">
              <a:latin typeface="Calibri" panose="020F0502020204030204" pitchFamily="34" charset="0"/>
              <a:ea typeface="Calibri" panose="020F0502020204030204" pitchFamily="34" charset="0"/>
              <a:cs typeface="Times New Roman" panose="02020603050405020304" pitchFamily="18" charset="0"/>
            </a:rPr>
            <a:t>A two days training provided to the HDAs</a:t>
          </a:r>
          <a:endParaRPr lang="en-US" sz="1000" b="0" u="none" dirty="0">
            <a:solidFill>
              <a:schemeClr val="tx1"/>
            </a:solidFill>
            <a:latin typeface="Calibri" panose="020F0502020204030204" pitchFamily="34" charset="0"/>
            <a:ea typeface="Calibri" panose="020F0502020204030204" pitchFamily="34" charset="0"/>
            <a:cs typeface="Times New Roman" panose="02020603050405020304" pitchFamily="18" charset="0"/>
          </a:endParaRPr>
        </a:p>
      </dgm:t>
    </dgm:pt>
    <dgm:pt modelId="{A2F0FCE0-BD2B-4839-94B9-921EA73F7D43}" type="parTrans" cxnId="{6B2CD335-7D40-4EAC-8E19-01FAB93E11CB}">
      <dgm:prSet/>
      <dgm:spPr/>
      <dgm:t>
        <a:bodyPr/>
        <a:lstStyle/>
        <a:p>
          <a:endParaRPr lang="en-US" sz="1000"/>
        </a:p>
      </dgm:t>
    </dgm:pt>
    <dgm:pt modelId="{C60C8A47-0283-499F-93CA-F1D081CE471B}" type="sibTrans" cxnId="{6B2CD335-7D40-4EAC-8E19-01FAB93E11CB}">
      <dgm:prSet/>
      <dgm:spPr/>
      <dgm:t>
        <a:bodyPr/>
        <a:lstStyle/>
        <a:p>
          <a:endParaRPr lang="en-US" sz="1000"/>
        </a:p>
      </dgm:t>
    </dgm:pt>
    <dgm:pt modelId="{333EBA70-D838-4DB2-9768-2E06DE7A2FDE}">
      <dgm:prSet custT="1"/>
      <dgm:spPr/>
      <dgm:t>
        <a:bodyPr/>
        <a:lstStyle/>
        <a:p>
          <a:r>
            <a:rPr lang="en-US" sz="1000" u="none">
              <a:latin typeface="Calibri" panose="020F0502020204030204" pitchFamily="34" charset="0"/>
              <a:ea typeface="Calibri" panose="020F0502020204030204" pitchFamily="34" charset="0"/>
              <a:cs typeface="Times New Roman" panose="02020603050405020304" pitchFamily="18" charset="0"/>
            </a:rPr>
            <a:t>HEWs continuously monitor, mentor, and provide technical supports to the HDAs</a:t>
          </a:r>
        </a:p>
        <a:p>
          <a:r>
            <a:rPr lang="en-US" sz="1000" u="none" dirty="0">
              <a:latin typeface="Calibri" panose="020F0502020204030204" pitchFamily="34" charset="0"/>
              <a:ea typeface="Calibri" panose="020F0502020204030204" pitchFamily="34" charset="0"/>
              <a:cs typeface="Times New Roman" panose="02020603050405020304" pitchFamily="18" charset="0"/>
            </a:rPr>
            <a:t>Recording tools for HDAs improved and counseling skills built further</a:t>
          </a:r>
          <a:endParaRPr lang="en-US" sz="1000" u="none" dirty="0">
            <a:solidFill>
              <a:schemeClr val="tx1"/>
            </a:solidFill>
            <a:latin typeface="Calibri" panose="020F0502020204030204" pitchFamily="34" charset="0"/>
            <a:ea typeface="Calibri" panose="020F0502020204030204" pitchFamily="34" charset="0"/>
            <a:cs typeface="Times New Roman" panose="02020603050405020304" pitchFamily="18" charset="0"/>
          </a:endParaRPr>
        </a:p>
      </dgm:t>
    </dgm:pt>
    <dgm:pt modelId="{5FC9710F-C682-4C06-BC71-1C7501C13FFC}" type="parTrans" cxnId="{012DB541-6264-4880-8171-345807825EB6}">
      <dgm:prSet/>
      <dgm:spPr/>
      <dgm:t>
        <a:bodyPr/>
        <a:lstStyle/>
        <a:p>
          <a:endParaRPr lang="en-US" sz="1000"/>
        </a:p>
      </dgm:t>
    </dgm:pt>
    <dgm:pt modelId="{061DAE44-0D96-482B-AFAF-66633CB46F97}" type="sibTrans" cxnId="{012DB541-6264-4880-8171-345807825EB6}">
      <dgm:prSet/>
      <dgm:spPr/>
      <dgm:t>
        <a:bodyPr/>
        <a:lstStyle/>
        <a:p>
          <a:endParaRPr lang="en-US" sz="1000"/>
        </a:p>
      </dgm:t>
    </dgm:pt>
    <dgm:pt modelId="{21F6BEAE-6551-4419-955B-0673DAF5F96A}">
      <dgm:prSet custT="1"/>
      <dgm:spPr/>
      <dgm:t>
        <a:bodyPr/>
        <a:lstStyle/>
        <a:p>
          <a:r>
            <a:rPr lang="en-US" sz="1000" b="0" u="none">
              <a:latin typeface="Calibri" panose="020F0502020204030204" pitchFamily="34" charset="0"/>
              <a:ea typeface="Calibri" panose="020F0502020204030204" pitchFamily="34" charset="0"/>
              <a:cs typeface="Times New Roman" panose="02020603050405020304" pitchFamily="18" charset="0"/>
            </a:rPr>
            <a:t>The HDAs did: </a:t>
          </a:r>
          <a:r>
            <a:rPr lang="en-US" sz="1000" u="none">
              <a:latin typeface="Calibri" panose="020F0502020204030204" pitchFamily="34" charset="0"/>
              <a:ea typeface="Calibri" panose="020F0502020204030204" pitchFamily="34" charset="0"/>
              <a:cs typeface="Times New Roman" panose="02020603050405020304" pitchFamily="18" charset="0"/>
            </a:rPr>
            <a:t>Monthly MUAC &amp; edema screening; Monthly GMP for U2 children and identify &amp; link children for VAS&amp; deworming</a:t>
          </a:r>
          <a:endParaRPr lang="en-US" sz="1000" b="0" u="none" dirty="0">
            <a:solidFill>
              <a:schemeClr val="tx1"/>
            </a:solidFill>
            <a:latin typeface="Calibri" panose="020F0502020204030204" pitchFamily="34" charset="0"/>
            <a:ea typeface="Calibri" panose="020F0502020204030204" pitchFamily="34" charset="0"/>
            <a:cs typeface="Times New Roman" panose="02020603050405020304" pitchFamily="18" charset="0"/>
          </a:endParaRPr>
        </a:p>
      </dgm:t>
    </dgm:pt>
    <dgm:pt modelId="{4401EAC2-2A52-49C9-BE16-869330B1E6DA}" type="parTrans" cxnId="{A4B1F8BA-B99E-4C7F-8508-ACA9205BB86B}">
      <dgm:prSet/>
      <dgm:spPr/>
      <dgm:t>
        <a:bodyPr/>
        <a:lstStyle/>
        <a:p>
          <a:endParaRPr lang="en-US" sz="1000"/>
        </a:p>
      </dgm:t>
    </dgm:pt>
    <dgm:pt modelId="{666B7216-BA2D-431D-9A01-8B2C5443A64D}" type="sibTrans" cxnId="{A4B1F8BA-B99E-4C7F-8508-ACA9205BB86B}">
      <dgm:prSet/>
      <dgm:spPr/>
      <dgm:t>
        <a:bodyPr/>
        <a:lstStyle/>
        <a:p>
          <a:endParaRPr lang="en-US" sz="1000"/>
        </a:p>
      </dgm:t>
    </dgm:pt>
    <dgm:pt modelId="{153B4458-A9D4-4C0D-BC7F-BFB3117494CD}">
      <dgm:prSet phldrT="[Text]" custT="1"/>
      <dgm:spPr/>
      <dgm:t>
        <a:bodyPr/>
        <a:lstStyle/>
        <a:p>
          <a:r>
            <a:rPr lang="en-US" sz="1000" b="1" u="none" dirty="0"/>
            <a:t>Baseline Survey</a:t>
          </a:r>
        </a:p>
      </dgm:t>
    </dgm:pt>
    <dgm:pt modelId="{A9584D66-B38A-4048-9CF3-58E403F00D24}" type="parTrans" cxnId="{39E064E1-9944-40F9-8290-04CB735E43B6}">
      <dgm:prSet/>
      <dgm:spPr/>
      <dgm:t>
        <a:bodyPr/>
        <a:lstStyle/>
        <a:p>
          <a:endParaRPr lang="en-US" sz="2000"/>
        </a:p>
      </dgm:t>
    </dgm:pt>
    <dgm:pt modelId="{19912C26-6E7E-4530-B61C-36E8866208D7}" type="sibTrans" cxnId="{39E064E1-9944-40F9-8290-04CB735E43B6}">
      <dgm:prSet/>
      <dgm:spPr/>
      <dgm:t>
        <a:bodyPr/>
        <a:lstStyle/>
        <a:p>
          <a:endParaRPr lang="en-US" sz="2000"/>
        </a:p>
      </dgm:t>
    </dgm:pt>
    <dgm:pt modelId="{4D223CAC-40EE-495E-9134-585567509499}">
      <dgm:prSet phldrT="[Text]" custT="1"/>
      <dgm:spPr/>
      <dgm:t>
        <a:bodyPr/>
        <a:lstStyle/>
        <a:p>
          <a:r>
            <a:rPr lang="en-US" sz="1000" u="none" dirty="0"/>
            <a:t>House to house survey done </a:t>
          </a:r>
        </a:p>
      </dgm:t>
    </dgm:pt>
    <dgm:pt modelId="{6F34B41F-D607-46F7-B5E9-984A6A6A5256}" type="parTrans" cxnId="{1CE765F1-44FC-4E5A-AD44-8269CC3C3A07}">
      <dgm:prSet/>
      <dgm:spPr/>
      <dgm:t>
        <a:bodyPr/>
        <a:lstStyle/>
        <a:p>
          <a:endParaRPr lang="en-US" sz="2000"/>
        </a:p>
      </dgm:t>
    </dgm:pt>
    <dgm:pt modelId="{958CB4A6-4AC5-4851-8EBB-98340CC6FEE1}" type="sibTrans" cxnId="{1CE765F1-44FC-4E5A-AD44-8269CC3C3A07}">
      <dgm:prSet/>
      <dgm:spPr/>
      <dgm:t>
        <a:bodyPr/>
        <a:lstStyle/>
        <a:p>
          <a:endParaRPr lang="en-US" sz="2000"/>
        </a:p>
      </dgm:t>
    </dgm:pt>
    <dgm:pt modelId="{2FFDFF5A-0B89-4C5B-9ABF-F123024163A2}">
      <dgm:prSet phldrT="[Text]" custT="1"/>
      <dgm:spPr/>
      <dgm:t>
        <a:bodyPr/>
        <a:lstStyle/>
        <a:p>
          <a:r>
            <a:rPr lang="en-US" sz="1000" u="none" dirty="0"/>
            <a:t>The reported and  recorded coverages were compared to survey</a:t>
          </a:r>
        </a:p>
      </dgm:t>
    </dgm:pt>
    <dgm:pt modelId="{54608CBC-56C3-4DA8-9F85-906BF8A2CA19}" type="parTrans" cxnId="{0AA80209-DDCA-4A15-8982-D399A9C8AB14}">
      <dgm:prSet/>
      <dgm:spPr/>
      <dgm:t>
        <a:bodyPr/>
        <a:lstStyle/>
        <a:p>
          <a:endParaRPr lang="en-US" sz="2000"/>
        </a:p>
      </dgm:t>
    </dgm:pt>
    <dgm:pt modelId="{30B37BB9-459A-4919-9AE9-0A35F1CF640A}" type="sibTrans" cxnId="{0AA80209-DDCA-4A15-8982-D399A9C8AB14}">
      <dgm:prSet/>
      <dgm:spPr/>
      <dgm:t>
        <a:bodyPr/>
        <a:lstStyle/>
        <a:p>
          <a:endParaRPr lang="en-US" sz="2000"/>
        </a:p>
      </dgm:t>
    </dgm:pt>
    <dgm:pt modelId="{249E849F-6C52-46CB-B246-65C028CB1F1C}">
      <dgm:prSet custT="1"/>
      <dgm:spPr/>
      <dgm:t>
        <a:bodyPr/>
        <a:lstStyle/>
        <a:p>
          <a:r>
            <a:rPr lang="en-US" sz="1000" b="1" u="none" dirty="0">
              <a:solidFill>
                <a:schemeClr val="bg1"/>
              </a:solidFill>
              <a:latin typeface="Calibri" panose="020F0502020204030204" pitchFamily="34" charset="0"/>
              <a:ea typeface="Calibri" panose="020F0502020204030204" pitchFamily="34" charset="0"/>
              <a:cs typeface="Times New Roman" panose="02020603050405020304" pitchFamily="18" charset="0"/>
            </a:rPr>
            <a:t>2nd house-to-house survey conducted</a:t>
          </a:r>
        </a:p>
      </dgm:t>
    </dgm:pt>
    <dgm:pt modelId="{03B484BF-BFAA-4201-B299-201A493F7B6E}" type="parTrans" cxnId="{630549CF-5A83-479E-B57C-01D211F57A65}">
      <dgm:prSet/>
      <dgm:spPr/>
      <dgm:t>
        <a:bodyPr/>
        <a:lstStyle/>
        <a:p>
          <a:endParaRPr lang="en-US" sz="2000"/>
        </a:p>
      </dgm:t>
    </dgm:pt>
    <dgm:pt modelId="{69CE4CE2-AD37-496D-899A-ED01C50C722F}" type="sibTrans" cxnId="{630549CF-5A83-479E-B57C-01D211F57A65}">
      <dgm:prSet/>
      <dgm:spPr/>
      <dgm:t>
        <a:bodyPr/>
        <a:lstStyle/>
        <a:p>
          <a:endParaRPr lang="en-US" sz="2000"/>
        </a:p>
      </dgm:t>
    </dgm:pt>
    <dgm:pt modelId="{DFE8D451-6213-4870-9678-C525DA881279}">
      <dgm:prSet custT="1"/>
      <dgm:spPr/>
      <dgm:t>
        <a:bodyPr/>
        <a:lstStyle/>
        <a:p>
          <a:r>
            <a:rPr lang="en-US" sz="1000" u="none" dirty="0">
              <a:solidFill>
                <a:schemeClr val="tx1"/>
              </a:solidFill>
              <a:latin typeface="Calibri" panose="020F0502020204030204" pitchFamily="34" charset="0"/>
              <a:ea typeface="Calibri" panose="020F0502020204030204" pitchFamily="34" charset="0"/>
              <a:cs typeface="Times New Roman" panose="02020603050405020304" pitchFamily="18" charset="0"/>
            </a:rPr>
            <a:t>The recorded&amp; reported coverages are compared with the survey findings</a:t>
          </a:r>
        </a:p>
      </dgm:t>
    </dgm:pt>
    <dgm:pt modelId="{CB768629-71C4-44FE-B6E3-2DF91206BF7E}" type="parTrans" cxnId="{43C24BE5-CE38-41DF-8E0C-2C044691692F}">
      <dgm:prSet/>
      <dgm:spPr/>
      <dgm:t>
        <a:bodyPr/>
        <a:lstStyle/>
        <a:p>
          <a:endParaRPr lang="en-US" sz="2000"/>
        </a:p>
      </dgm:t>
    </dgm:pt>
    <dgm:pt modelId="{31B1B783-D2EA-4E3F-887D-BA41614C1120}" type="sibTrans" cxnId="{43C24BE5-CE38-41DF-8E0C-2C044691692F}">
      <dgm:prSet/>
      <dgm:spPr/>
      <dgm:t>
        <a:bodyPr/>
        <a:lstStyle/>
        <a:p>
          <a:endParaRPr lang="en-US" sz="2000"/>
        </a:p>
      </dgm:t>
    </dgm:pt>
    <dgm:pt modelId="{6FB57B1F-E09B-4C2F-90A9-789549C704E5}">
      <dgm:prSet custT="1"/>
      <dgm:spPr/>
      <dgm:t>
        <a:bodyPr/>
        <a:lstStyle/>
        <a:p>
          <a:r>
            <a:rPr lang="en-US" sz="1000" u="none" dirty="0">
              <a:solidFill>
                <a:schemeClr val="tx1"/>
              </a:solidFill>
              <a:latin typeface="Calibri" panose="020F0502020204030204" pitchFamily="34" charset="0"/>
              <a:ea typeface="Calibri" panose="020F0502020204030204" pitchFamily="34" charset="0"/>
              <a:cs typeface="Times New Roman" panose="02020603050405020304" pitchFamily="18" charset="0"/>
            </a:rPr>
            <a:t>Feedbacks recieved from HEW, HDAs and communities</a:t>
          </a:r>
        </a:p>
      </dgm:t>
    </dgm:pt>
    <dgm:pt modelId="{810A2A3E-A329-4B7A-BD2A-1AC69F4490A0}" type="parTrans" cxnId="{BE7F3EF4-966C-4AF8-BBE3-1DD70DFF8E36}">
      <dgm:prSet/>
      <dgm:spPr/>
      <dgm:t>
        <a:bodyPr/>
        <a:lstStyle/>
        <a:p>
          <a:endParaRPr lang="en-US" sz="2000"/>
        </a:p>
      </dgm:t>
    </dgm:pt>
    <dgm:pt modelId="{5E2B8D0E-B7D3-4E34-A422-D096752FA4E4}" type="sibTrans" cxnId="{BE7F3EF4-966C-4AF8-BBE3-1DD70DFF8E36}">
      <dgm:prSet/>
      <dgm:spPr/>
      <dgm:t>
        <a:bodyPr/>
        <a:lstStyle/>
        <a:p>
          <a:endParaRPr lang="en-US" sz="2000"/>
        </a:p>
      </dgm:t>
    </dgm:pt>
    <dgm:pt modelId="{458041D2-EBA6-42DE-952A-4F5DEFF70205}" type="pres">
      <dgm:prSet presAssocID="{E1318505-0006-4A3B-BED8-670132FDF765}" presName="linear" presStyleCnt="0">
        <dgm:presLayoutVars>
          <dgm:animLvl val="lvl"/>
          <dgm:resizeHandles val="exact"/>
        </dgm:presLayoutVars>
      </dgm:prSet>
      <dgm:spPr/>
    </dgm:pt>
    <dgm:pt modelId="{6B5E6D47-A947-4C33-9387-40DB2BF76751}" type="pres">
      <dgm:prSet presAssocID="{153B4458-A9D4-4C0D-BC7F-BFB3117494CD}" presName="parentText" presStyleLbl="node1" presStyleIdx="0" presStyleCnt="6">
        <dgm:presLayoutVars>
          <dgm:chMax val="0"/>
          <dgm:bulletEnabled val="1"/>
        </dgm:presLayoutVars>
      </dgm:prSet>
      <dgm:spPr/>
    </dgm:pt>
    <dgm:pt modelId="{9DDEC6E9-17F2-46C6-90F4-BF09E1032E1C}" type="pres">
      <dgm:prSet presAssocID="{153B4458-A9D4-4C0D-BC7F-BFB3117494CD}" presName="childText" presStyleLbl="revTx" presStyleIdx="0" presStyleCnt="6">
        <dgm:presLayoutVars>
          <dgm:bulletEnabled val="1"/>
        </dgm:presLayoutVars>
      </dgm:prSet>
      <dgm:spPr/>
    </dgm:pt>
    <dgm:pt modelId="{CA260034-29F2-4EFA-8E40-21194E40E4EE}" type="pres">
      <dgm:prSet presAssocID="{6790CBB0-FAC6-429F-A0D5-610B1FF48DBE}" presName="parentText" presStyleLbl="node1" presStyleIdx="1" presStyleCnt="6">
        <dgm:presLayoutVars>
          <dgm:chMax val="0"/>
          <dgm:bulletEnabled val="1"/>
        </dgm:presLayoutVars>
      </dgm:prSet>
      <dgm:spPr/>
    </dgm:pt>
    <dgm:pt modelId="{E6930AEC-5DE3-4568-A83E-8AD88E6BF81A}" type="pres">
      <dgm:prSet presAssocID="{6790CBB0-FAC6-429F-A0D5-610B1FF48DBE}" presName="childText" presStyleLbl="revTx" presStyleIdx="1" presStyleCnt="6">
        <dgm:presLayoutVars>
          <dgm:bulletEnabled val="1"/>
        </dgm:presLayoutVars>
      </dgm:prSet>
      <dgm:spPr/>
    </dgm:pt>
    <dgm:pt modelId="{CDC0ED15-D02C-48A8-9983-6A573BE5C743}" type="pres">
      <dgm:prSet presAssocID="{3B3A50B9-B582-4430-9986-4B90C04AEA26}" presName="parentText" presStyleLbl="node1" presStyleIdx="2" presStyleCnt="6">
        <dgm:presLayoutVars>
          <dgm:chMax val="0"/>
          <dgm:bulletEnabled val="1"/>
        </dgm:presLayoutVars>
      </dgm:prSet>
      <dgm:spPr/>
    </dgm:pt>
    <dgm:pt modelId="{E866C1D6-81F5-463D-B355-816F316E8E94}" type="pres">
      <dgm:prSet presAssocID="{3B3A50B9-B582-4430-9986-4B90C04AEA26}" presName="childText" presStyleLbl="revTx" presStyleIdx="2" presStyleCnt="6">
        <dgm:presLayoutVars>
          <dgm:bulletEnabled val="1"/>
        </dgm:presLayoutVars>
      </dgm:prSet>
      <dgm:spPr/>
    </dgm:pt>
    <dgm:pt modelId="{3BDF09F6-A552-462D-90AE-E2B709E14BB4}" type="pres">
      <dgm:prSet presAssocID="{68871460-F783-4496-8B2C-671E46CA9719}" presName="parentText" presStyleLbl="node1" presStyleIdx="3" presStyleCnt="6">
        <dgm:presLayoutVars>
          <dgm:chMax val="0"/>
          <dgm:bulletEnabled val="1"/>
        </dgm:presLayoutVars>
      </dgm:prSet>
      <dgm:spPr/>
    </dgm:pt>
    <dgm:pt modelId="{84DF4329-C797-4017-8160-BCE02EFEBE35}" type="pres">
      <dgm:prSet presAssocID="{68871460-F783-4496-8B2C-671E46CA9719}" presName="childText" presStyleLbl="revTx" presStyleIdx="3" presStyleCnt="6">
        <dgm:presLayoutVars>
          <dgm:bulletEnabled val="1"/>
        </dgm:presLayoutVars>
      </dgm:prSet>
      <dgm:spPr/>
    </dgm:pt>
    <dgm:pt modelId="{23CA3412-7A4E-4988-8EC8-6F35B0A965C3}" type="pres">
      <dgm:prSet presAssocID="{A457593C-B354-4AAF-BBB8-D1AF1C746795}" presName="parentText" presStyleLbl="node1" presStyleIdx="4" presStyleCnt="6">
        <dgm:presLayoutVars>
          <dgm:chMax val="0"/>
          <dgm:bulletEnabled val="1"/>
        </dgm:presLayoutVars>
      </dgm:prSet>
      <dgm:spPr/>
    </dgm:pt>
    <dgm:pt modelId="{D2B10908-9EC4-4B55-A982-41FA071A00CE}" type="pres">
      <dgm:prSet presAssocID="{A457593C-B354-4AAF-BBB8-D1AF1C746795}" presName="childText" presStyleLbl="revTx" presStyleIdx="4" presStyleCnt="6">
        <dgm:presLayoutVars>
          <dgm:bulletEnabled val="1"/>
        </dgm:presLayoutVars>
      </dgm:prSet>
      <dgm:spPr/>
    </dgm:pt>
    <dgm:pt modelId="{1FEFE32E-3DF8-438E-A8FE-18F5AEB041C0}" type="pres">
      <dgm:prSet presAssocID="{249E849F-6C52-46CB-B246-65C028CB1F1C}" presName="parentText" presStyleLbl="node1" presStyleIdx="5" presStyleCnt="6">
        <dgm:presLayoutVars>
          <dgm:chMax val="0"/>
          <dgm:bulletEnabled val="1"/>
        </dgm:presLayoutVars>
      </dgm:prSet>
      <dgm:spPr/>
    </dgm:pt>
    <dgm:pt modelId="{E669B4D9-25EA-47F3-A211-84709BDD38F1}" type="pres">
      <dgm:prSet presAssocID="{249E849F-6C52-46CB-B246-65C028CB1F1C}" presName="childText" presStyleLbl="revTx" presStyleIdx="5" presStyleCnt="6">
        <dgm:presLayoutVars>
          <dgm:bulletEnabled val="1"/>
        </dgm:presLayoutVars>
      </dgm:prSet>
      <dgm:spPr/>
    </dgm:pt>
  </dgm:ptLst>
  <dgm:cxnLst>
    <dgm:cxn modelId="{0AA80209-DDCA-4A15-8982-D399A9C8AB14}" srcId="{153B4458-A9D4-4C0D-BC7F-BFB3117494CD}" destId="{2FFDFF5A-0B89-4C5B-9ABF-F123024163A2}" srcOrd="1" destOrd="0" parTransId="{54608CBC-56C3-4DA8-9F85-906BF8A2CA19}" sibTransId="{30B37BB9-459A-4919-9AE9-0A35F1CF640A}"/>
    <dgm:cxn modelId="{AD4A9216-3F75-4E30-BB1C-D9D7CD1E8AB0}" srcId="{6790CBB0-FAC6-429F-A0D5-610B1FF48DBE}" destId="{824B215F-C474-47E6-9193-31E9AC9153E7}" srcOrd="0" destOrd="0" parTransId="{06D003E7-DBE7-4B0F-8405-6C304B66A359}" sibTransId="{CA16B3C2-B0B1-4C5D-82BC-4B1B4BE236B5}"/>
    <dgm:cxn modelId="{661C8C1E-9452-4EDF-A66A-AE5C3BE1264F}" type="presOf" srcId="{6FB57B1F-E09B-4C2F-90A9-789549C704E5}" destId="{E669B4D9-25EA-47F3-A211-84709BDD38F1}" srcOrd="0" destOrd="1" presId="urn:microsoft.com/office/officeart/2005/8/layout/vList2"/>
    <dgm:cxn modelId="{20C40625-D6B9-49C3-BB54-6A1FA48ED5EA}" type="presOf" srcId="{249E849F-6C52-46CB-B246-65C028CB1F1C}" destId="{1FEFE32E-3DF8-438E-A8FE-18F5AEB041C0}" srcOrd="0" destOrd="0" presId="urn:microsoft.com/office/officeart/2005/8/layout/vList2"/>
    <dgm:cxn modelId="{3C837026-8FD0-4F0A-9E68-D0FC516823C9}" type="presOf" srcId="{333EBA70-D838-4DB2-9768-2E06DE7A2FDE}" destId="{D2B10908-9EC4-4B55-A982-41FA071A00CE}" srcOrd="0" destOrd="0" presId="urn:microsoft.com/office/officeart/2005/8/layout/vList2"/>
    <dgm:cxn modelId="{1083162F-CE31-4DC8-9555-D32F3FF2828A}" srcId="{E1318505-0006-4A3B-BED8-670132FDF765}" destId="{A457593C-B354-4AAF-BBB8-D1AF1C746795}" srcOrd="4" destOrd="0" parTransId="{E2568EED-DD0F-4DA5-A7DD-9FC0C8D6EA68}" sibTransId="{8DF57DDF-B406-45B3-BB65-8173258827D9}"/>
    <dgm:cxn modelId="{0641CC32-B59C-419B-A120-2F092A503C49}" type="presOf" srcId="{2FFDFF5A-0B89-4C5B-9ABF-F123024163A2}" destId="{9DDEC6E9-17F2-46C6-90F4-BF09E1032E1C}" srcOrd="0" destOrd="1" presId="urn:microsoft.com/office/officeart/2005/8/layout/vList2"/>
    <dgm:cxn modelId="{6B2CD335-7D40-4EAC-8E19-01FAB93E11CB}" srcId="{3B3A50B9-B582-4430-9986-4B90C04AEA26}" destId="{57F6534F-4044-4CA6-B6E8-D132BAB0C3AA}" srcOrd="0" destOrd="0" parTransId="{A2F0FCE0-BD2B-4839-94B9-921EA73F7D43}" sibTransId="{C60C8A47-0283-499F-93CA-F1D081CE471B}"/>
    <dgm:cxn modelId="{CA14DA5B-F416-412E-A0DB-F4FDD02613B5}" type="presOf" srcId="{E1318505-0006-4A3B-BED8-670132FDF765}" destId="{458041D2-EBA6-42DE-952A-4F5DEFF70205}" srcOrd="0" destOrd="0" presId="urn:microsoft.com/office/officeart/2005/8/layout/vList2"/>
    <dgm:cxn modelId="{012DB541-6264-4880-8171-345807825EB6}" srcId="{A457593C-B354-4AAF-BBB8-D1AF1C746795}" destId="{333EBA70-D838-4DB2-9768-2E06DE7A2FDE}" srcOrd="0" destOrd="0" parTransId="{5FC9710F-C682-4C06-BC71-1C7501C13FFC}" sibTransId="{061DAE44-0D96-482B-AFAF-66633CB46F97}"/>
    <dgm:cxn modelId="{9D8C0566-88F8-4DF1-9C97-37DD3874F0E8}" type="presOf" srcId="{824B215F-C474-47E6-9193-31E9AC9153E7}" destId="{E6930AEC-5DE3-4568-A83E-8AD88E6BF81A}" srcOrd="0" destOrd="0" presId="urn:microsoft.com/office/officeart/2005/8/layout/vList2"/>
    <dgm:cxn modelId="{DA89DD6D-DBD8-412F-AE11-9700CA242B6A}" srcId="{E1318505-0006-4A3B-BED8-670132FDF765}" destId="{6790CBB0-FAC6-429F-A0D5-610B1FF48DBE}" srcOrd="1" destOrd="0" parTransId="{0B3F6EC1-0018-413E-B217-225522A77F76}" sibTransId="{14342C6E-5FE5-4654-BD79-472F2C9A6A29}"/>
    <dgm:cxn modelId="{3D926D53-7BD2-4926-9107-656B23D8A791}" type="presOf" srcId="{6790CBB0-FAC6-429F-A0D5-610B1FF48DBE}" destId="{CA260034-29F2-4EFA-8E40-21194E40E4EE}" srcOrd="0" destOrd="0" presId="urn:microsoft.com/office/officeart/2005/8/layout/vList2"/>
    <dgm:cxn modelId="{E1A7B973-CB3C-4D14-B9BC-4DACC94B54BD}" type="presOf" srcId="{21F6BEAE-6551-4419-955B-0673DAF5F96A}" destId="{84DF4329-C797-4017-8160-BCE02EFEBE35}" srcOrd="0" destOrd="0" presId="urn:microsoft.com/office/officeart/2005/8/layout/vList2"/>
    <dgm:cxn modelId="{EF24F079-DCB3-42A7-99DE-3EF56DD2D326}" type="presOf" srcId="{4D223CAC-40EE-495E-9134-585567509499}" destId="{9DDEC6E9-17F2-46C6-90F4-BF09E1032E1C}" srcOrd="0" destOrd="0" presId="urn:microsoft.com/office/officeart/2005/8/layout/vList2"/>
    <dgm:cxn modelId="{75425B84-6ED2-4283-9145-3C27AF687D3B}" type="presOf" srcId="{153B4458-A9D4-4C0D-BC7F-BFB3117494CD}" destId="{6B5E6D47-A947-4C33-9387-40DB2BF76751}" srcOrd="0" destOrd="0" presId="urn:microsoft.com/office/officeart/2005/8/layout/vList2"/>
    <dgm:cxn modelId="{D8CFEF9F-4B73-4A5F-8391-3CFD9463BDA0}" srcId="{E1318505-0006-4A3B-BED8-670132FDF765}" destId="{68871460-F783-4496-8B2C-671E46CA9719}" srcOrd="3" destOrd="0" parTransId="{0E555A7E-4A86-4EF7-ADCE-1DC7C5C0FF53}" sibTransId="{AA942317-8540-400B-895E-82E507F7C473}"/>
    <dgm:cxn modelId="{565293A3-BED7-4805-95D0-30BF6D54822C}" type="presOf" srcId="{DFE8D451-6213-4870-9678-C525DA881279}" destId="{E669B4D9-25EA-47F3-A211-84709BDD38F1}" srcOrd="0" destOrd="0" presId="urn:microsoft.com/office/officeart/2005/8/layout/vList2"/>
    <dgm:cxn modelId="{CBC86FA5-C0E3-4A7A-8AB3-2461292F73AA}" type="presOf" srcId="{57F6534F-4044-4CA6-B6E8-D132BAB0C3AA}" destId="{E866C1D6-81F5-463D-B355-816F316E8E94}" srcOrd="0" destOrd="0" presId="urn:microsoft.com/office/officeart/2005/8/layout/vList2"/>
    <dgm:cxn modelId="{A4B1F8BA-B99E-4C7F-8508-ACA9205BB86B}" srcId="{68871460-F783-4496-8B2C-671E46CA9719}" destId="{21F6BEAE-6551-4419-955B-0673DAF5F96A}" srcOrd="0" destOrd="0" parTransId="{4401EAC2-2A52-49C9-BE16-869330B1E6DA}" sibTransId="{666B7216-BA2D-431D-9A01-8B2C5443A64D}"/>
    <dgm:cxn modelId="{792231C5-08BE-4FB4-AEAC-488C8D1924A3}" type="presOf" srcId="{3B3A50B9-B582-4430-9986-4B90C04AEA26}" destId="{CDC0ED15-D02C-48A8-9983-6A573BE5C743}" srcOrd="0" destOrd="0" presId="urn:microsoft.com/office/officeart/2005/8/layout/vList2"/>
    <dgm:cxn modelId="{1C3791C7-2ED9-4062-BAC3-A2316B106EEA}" type="presOf" srcId="{A457593C-B354-4AAF-BBB8-D1AF1C746795}" destId="{23CA3412-7A4E-4988-8EC8-6F35B0A965C3}" srcOrd="0" destOrd="0" presId="urn:microsoft.com/office/officeart/2005/8/layout/vList2"/>
    <dgm:cxn modelId="{E725F8CA-AEA5-4FC6-A5C3-FAC886A09AE5}" type="presOf" srcId="{68871460-F783-4496-8B2C-671E46CA9719}" destId="{3BDF09F6-A552-462D-90AE-E2B709E14BB4}" srcOrd="0" destOrd="0" presId="urn:microsoft.com/office/officeart/2005/8/layout/vList2"/>
    <dgm:cxn modelId="{630549CF-5A83-479E-B57C-01D211F57A65}" srcId="{E1318505-0006-4A3B-BED8-670132FDF765}" destId="{249E849F-6C52-46CB-B246-65C028CB1F1C}" srcOrd="5" destOrd="0" parTransId="{03B484BF-BFAA-4201-B299-201A493F7B6E}" sibTransId="{69CE4CE2-AD37-496D-899A-ED01C50C722F}"/>
    <dgm:cxn modelId="{7640D6D2-255E-44C4-9CE7-EA03EFF88512}" srcId="{3B3A50B9-B582-4430-9986-4B90C04AEA26}" destId="{81335D36-376F-44A7-A052-502B5CD98801}" srcOrd="1" destOrd="0" parTransId="{6E9717DD-8A21-4798-81AB-66EC08185AE9}" sibTransId="{012D6FA3-BC0F-493D-A682-E7B099A35434}"/>
    <dgm:cxn modelId="{7AA117D4-FEDC-4B5E-AEE7-5330A3DB4DCB}" type="presOf" srcId="{81335D36-376F-44A7-A052-502B5CD98801}" destId="{E866C1D6-81F5-463D-B355-816F316E8E94}" srcOrd="0" destOrd="1" presId="urn:microsoft.com/office/officeart/2005/8/layout/vList2"/>
    <dgm:cxn modelId="{39E064E1-9944-40F9-8290-04CB735E43B6}" srcId="{E1318505-0006-4A3B-BED8-670132FDF765}" destId="{153B4458-A9D4-4C0D-BC7F-BFB3117494CD}" srcOrd="0" destOrd="0" parTransId="{A9584D66-B38A-4048-9CF3-58E403F00D24}" sibTransId="{19912C26-6E7E-4530-B61C-36E8866208D7}"/>
    <dgm:cxn modelId="{43C24BE5-CE38-41DF-8E0C-2C044691692F}" srcId="{249E849F-6C52-46CB-B246-65C028CB1F1C}" destId="{DFE8D451-6213-4870-9678-C525DA881279}" srcOrd="0" destOrd="0" parTransId="{CB768629-71C4-44FE-B6E3-2DF91206BF7E}" sibTransId="{31B1B783-D2EA-4E3F-887D-BA41614C1120}"/>
    <dgm:cxn modelId="{1CE765F1-44FC-4E5A-AD44-8269CC3C3A07}" srcId="{153B4458-A9D4-4C0D-BC7F-BFB3117494CD}" destId="{4D223CAC-40EE-495E-9134-585567509499}" srcOrd="0" destOrd="0" parTransId="{6F34B41F-D607-46F7-B5E9-984A6A6A5256}" sibTransId="{958CB4A6-4AC5-4851-8EBB-98340CC6FEE1}"/>
    <dgm:cxn modelId="{BE7F3EF4-966C-4AF8-BBE3-1DD70DFF8E36}" srcId="{249E849F-6C52-46CB-B246-65C028CB1F1C}" destId="{6FB57B1F-E09B-4C2F-90A9-789549C704E5}" srcOrd="1" destOrd="0" parTransId="{810A2A3E-A329-4B7A-BD2A-1AC69F4490A0}" sibTransId="{5E2B8D0E-B7D3-4E34-A422-D096752FA4E4}"/>
    <dgm:cxn modelId="{8BF8D4F8-3C8D-4076-8BA2-030433073C29}" srcId="{E1318505-0006-4A3B-BED8-670132FDF765}" destId="{3B3A50B9-B582-4430-9986-4B90C04AEA26}" srcOrd="2" destOrd="0" parTransId="{4C27638A-A932-4770-86BF-C9E459209D6E}" sibTransId="{5E33941B-CC8A-473D-A761-7D5E8CE80E37}"/>
    <dgm:cxn modelId="{13CB107A-D3E6-4A02-982C-CB380F491712}" type="presParOf" srcId="{458041D2-EBA6-42DE-952A-4F5DEFF70205}" destId="{6B5E6D47-A947-4C33-9387-40DB2BF76751}" srcOrd="0" destOrd="0" presId="urn:microsoft.com/office/officeart/2005/8/layout/vList2"/>
    <dgm:cxn modelId="{9F1B0753-6978-44CD-A9B7-E2ECD2D3EE88}" type="presParOf" srcId="{458041D2-EBA6-42DE-952A-4F5DEFF70205}" destId="{9DDEC6E9-17F2-46C6-90F4-BF09E1032E1C}" srcOrd="1" destOrd="0" presId="urn:microsoft.com/office/officeart/2005/8/layout/vList2"/>
    <dgm:cxn modelId="{FF0C0081-6BAF-448C-BEF0-4B4EC75CF6E9}" type="presParOf" srcId="{458041D2-EBA6-42DE-952A-4F5DEFF70205}" destId="{CA260034-29F2-4EFA-8E40-21194E40E4EE}" srcOrd="2" destOrd="0" presId="urn:microsoft.com/office/officeart/2005/8/layout/vList2"/>
    <dgm:cxn modelId="{D3531A90-15EE-475C-83DE-37452F6E1466}" type="presParOf" srcId="{458041D2-EBA6-42DE-952A-4F5DEFF70205}" destId="{E6930AEC-5DE3-4568-A83E-8AD88E6BF81A}" srcOrd="3" destOrd="0" presId="urn:microsoft.com/office/officeart/2005/8/layout/vList2"/>
    <dgm:cxn modelId="{702D2124-0903-4249-9798-1A8CD3C3350E}" type="presParOf" srcId="{458041D2-EBA6-42DE-952A-4F5DEFF70205}" destId="{CDC0ED15-D02C-48A8-9983-6A573BE5C743}" srcOrd="4" destOrd="0" presId="urn:microsoft.com/office/officeart/2005/8/layout/vList2"/>
    <dgm:cxn modelId="{C1DD951F-378A-404A-8862-B19C2FE0F302}" type="presParOf" srcId="{458041D2-EBA6-42DE-952A-4F5DEFF70205}" destId="{E866C1D6-81F5-463D-B355-816F316E8E94}" srcOrd="5" destOrd="0" presId="urn:microsoft.com/office/officeart/2005/8/layout/vList2"/>
    <dgm:cxn modelId="{534A96A8-8D72-4F46-8662-5ECCFBF518BF}" type="presParOf" srcId="{458041D2-EBA6-42DE-952A-4F5DEFF70205}" destId="{3BDF09F6-A552-462D-90AE-E2B709E14BB4}" srcOrd="6" destOrd="0" presId="urn:microsoft.com/office/officeart/2005/8/layout/vList2"/>
    <dgm:cxn modelId="{EA6E81BF-0226-47EC-A615-BB71C13FFAC9}" type="presParOf" srcId="{458041D2-EBA6-42DE-952A-4F5DEFF70205}" destId="{84DF4329-C797-4017-8160-BCE02EFEBE35}" srcOrd="7" destOrd="0" presId="urn:microsoft.com/office/officeart/2005/8/layout/vList2"/>
    <dgm:cxn modelId="{54D1FEB8-5A22-4331-B66F-BD0A4FEC169B}" type="presParOf" srcId="{458041D2-EBA6-42DE-952A-4F5DEFF70205}" destId="{23CA3412-7A4E-4988-8EC8-6F35B0A965C3}" srcOrd="8" destOrd="0" presId="urn:microsoft.com/office/officeart/2005/8/layout/vList2"/>
    <dgm:cxn modelId="{DCFF3A32-0410-43C9-B814-2D21B3224EEE}" type="presParOf" srcId="{458041D2-EBA6-42DE-952A-4F5DEFF70205}" destId="{D2B10908-9EC4-4B55-A982-41FA071A00CE}" srcOrd="9" destOrd="0" presId="urn:microsoft.com/office/officeart/2005/8/layout/vList2"/>
    <dgm:cxn modelId="{C3BA290C-E878-4F0D-83B6-3F752E88BBED}" type="presParOf" srcId="{458041D2-EBA6-42DE-952A-4F5DEFF70205}" destId="{1FEFE32E-3DF8-438E-A8FE-18F5AEB041C0}" srcOrd="10" destOrd="0" presId="urn:microsoft.com/office/officeart/2005/8/layout/vList2"/>
    <dgm:cxn modelId="{55341BDF-DDCD-4269-B055-4B2AA42C14A8}" type="presParOf" srcId="{458041D2-EBA6-42DE-952A-4F5DEFF70205}" destId="{E669B4D9-25EA-47F3-A211-84709BDD38F1}" srcOrd="11" destOrd="0" presId="urn:microsoft.com/office/officeart/2005/8/layout/vList2"/>
  </dgm:cxnLst>
  <dgm:bg/>
  <dgm:whole/>
  <dgm:extLst>
    <a:ext uri="http://schemas.microsoft.com/office/drawing/2008/diagram">
      <dsp:dataModelExt xmlns:dsp="http://schemas.microsoft.com/office/drawing/2008/diagram" relId="rId9"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099D9CF7-F444-4F0C-B4C1-63592DDFE996}" type="doc">
      <dgm:prSet loTypeId="urn:microsoft.com/office/officeart/2005/8/layout/venn1" loCatId="relationship" qsTypeId="urn:microsoft.com/office/officeart/2005/8/quickstyle/simple1" qsCatId="simple" csTypeId="urn:microsoft.com/office/officeart/2005/8/colors/colorful4" csCatId="colorful" phldr="1"/>
      <dgm:spPr/>
    </dgm:pt>
    <dgm:pt modelId="{6A287CCD-E2F6-428E-9BD7-D936A4ECFB5F}">
      <dgm:prSet phldrT="[Text]" custT="1"/>
      <dgm:spPr/>
      <dgm:t>
        <a:bodyPr/>
        <a:lstStyle/>
        <a:p>
          <a:r>
            <a:rPr lang="en-US" sz="800"/>
            <a:t>Number of Tasks</a:t>
          </a:r>
        </a:p>
      </dgm:t>
    </dgm:pt>
    <dgm:pt modelId="{59EF83ED-981D-40D8-8525-123AFDD9A292}" type="parTrans" cxnId="{9BD1F5FD-EFEE-4D78-9980-6B6A719A64AF}">
      <dgm:prSet/>
      <dgm:spPr/>
      <dgm:t>
        <a:bodyPr/>
        <a:lstStyle/>
        <a:p>
          <a:endParaRPr lang="en-US" sz="2400"/>
        </a:p>
      </dgm:t>
    </dgm:pt>
    <dgm:pt modelId="{C0B43501-98B2-4D49-8326-3183C83EC8AE}" type="sibTrans" cxnId="{9BD1F5FD-EFEE-4D78-9980-6B6A719A64AF}">
      <dgm:prSet/>
      <dgm:spPr/>
      <dgm:t>
        <a:bodyPr/>
        <a:lstStyle/>
        <a:p>
          <a:endParaRPr lang="en-US" sz="2400"/>
        </a:p>
      </dgm:t>
    </dgm:pt>
    <dgm:pt modelId="{54344524-415E-4838-9EDC-345B239F555E}">
      <dgm:prSet phldrT="[Text]" custT="1"/>
      <dgm:spPr/>
      <dgm:t>
        <a:bodyPr/>
        <a:lstStyle/>
        <a:p>
          <a:r>
            <a:rPr lang="en-US" sz="800"/>
            <a:t>Organization of tasks (platforms and integration)</a:t>
          </a:r>
        </a:p>
      </dgm:t>
    </dgm:pt>
    <dgm:pt modelId="{BCBE4ACC-6500-4BE2-9086-AD4F8D27043C}" type="parTrans" cxnId="{4B59B487-202B-4AAA-A709-89612608EDBD}">
      <dgm:prSet/>
      <dgm:spPr/>
      <dgm:t>
        <a:bodyPr/>
        <a:lstStyle/>
        <a:p>
          <a:endParaRPr lang="en-US" sz="2400"/>
        </a:p>
      </dgm:t>
    </dgm:pt>
    <dgm:pt modelId="{682822B3-D12C-4300-9F5C-C0692D9C7BFA}" type="sibTrans" cxnId="{4B59B487-202B-4AAA-A709-89612608EDBD}">
      <dgm:prSet/>
      <dgm:spPr/>
      <dgm:t>
        <a:bodyPr/>
        <a:lstStyle/>
        <a:p>
          <a:endParaRPr lang="en-US" sz="2400"/>
        </a:p>
      </dgm:t>
    </dgm:pt>
    <dgm:pt modelId="{A17D8A13-2A28-425B-8F87-FDB6CB060135}">
      <dgm:prSet phldrT="[Text]" custT="1"/>
      <dgm:spPr/>
      <dgm:t>
        <a:bodyPr/>
        <a:lstStyle/>
        <a:p>
          <a:r>
            <a:rPr lang="en-US" sz="800"/>
            <a:t>Catchment area (number of households and the geographic distribution</a:t>
          </a:r>
        </a:p>
      </dgm:t>
    </dgm:pt>
    <dgm:pt modelId="{1E1946C8-5E75-4BB3-8D80-4ABFFAFFE831}" type="parTrans" cxnId="{CE921FC0-E9B1-4477-A031-FF6889580F78}">
      <dgm:prSet/>
      <dgm:spPr/>
      <dgm:t>
        <a:bodyPr/>
        <a:lstStyle/>
        <a:p>
          <a:endParaRPr lang="en-US" sz="2400"/>
        </a:p>
      </dgm:t>
    </dgm:pt>
    <dgm:pt modelId="{B9F66F48-0BF9-4859-ABA8-42B7A82DF3C6}" type="sibTrans" cxnId="{CE921FC0-E9B1-4477-A031-FF6889580F78}">
      <dgm:prSet/>
      <dgm:spPr/>
      <dgm:t>
        <a:bodyPr/>
        <a:lstStyle/>
        <a:p>
          <a:endParaRPr lang="en-US" sz="2400"/>
        </a:p>
      </dgm:t>
    </dgm:pt>
    <dgm:pt modelId="{3AB443BF-8646-45B0-8F00-2B6020828565}" type="pres">
      <dgm:prSet presAssocID="{099D9CF7-F444-4F0C-B4C1-63592DDFE996}" presName="compositeShape" presStyleCnt="0">
        <dgm:presLayoutVars>
          <dgm:chMax val="7"/>
          <dgm:dir/>
          <dgm:resizeHandles val="exact"/>
        </dgm:presLayoutVars>
      </dgm:prSet>
      <dgm:spPr/>
    </dgm:pt>
    <dgm:pt modelId="{96328BCB-8BB5-4A27-BA98-7EDE56C6E01E}" type="pres">
      <dgm:prSet presAssocID="{6A287CCD-E2F6-428E-9BD7-D936A4ECFB5F}" presName="circ1" presStyleLbl="vennNode1" presStyleIdx="0" presStyleCnt="3" custScaleX="129756" custScaleY="134459"/>
      <dgm:spPr/>
    </dgm:pt>
    <dgm:pt modelId="{DF63F182-CF40-4176-B564-59B3B5D20420}" type="pres">
      <dgm:prSet presAssocID="{6A287CCD-E2F6-428E-9BD7-D936A4ECFB5F}" presName="circ1Tx" presStyleLbl="revTx" presStyleIdx="0" presStyleCnt="0">
        <dgm:presLayoutVars>
          <dgm:chMax val="0"/>
          <dgm:chPref val="0"/>
          <dgm:bulletEnabled val="1"/>
        </dgm:presLayoutVars>
      </dgm:prSet>
      <dgm:spPr/>
    </dgm:pt>
    <dgm:pt modelId="{5D48D083-D895-4AC3-8FBF-4399EDF6AC2C}" type="pres">
      <dgm:prSet presAssocID="{54344524-415E-4838-9EDC-345B239F555E}" presName="circ2" presStyleLbl="vennNode1" presStyleIdx="1" presStyleCnt="3" custScaleX="132194" custScaleY="130663" custLinFactNeighborX="37793" custLinFactNeighborY="5599"/>
      <dgm:spPr/>
    </dgm:pt>
    <dgm:pt modelId="{AB5CE1D9-3903-4056-A095-814BFA11D49E}" type="pres">
      <dgm:prSet presAssocID="{54344524-415E-4838-9EDC-345B239F555E}" presName="circ2Tx" presStyleLbl="revTx" presStyleIdx="0" presStyleCnt="0">
        <dgm:presLayoutVars>
          <dgm:chMax val="0"/>
          <dgm:chPref val="0"/>
          <dgm:bulletEnabled val="1"/>
        </dgm:presLayoutVars>
      </dgm:prSet>
      <dgm:spPr/>
    </dgm:pt>
    <dgm:pt modelId="{8194A905-388F-4A0A-874E-62F907A496CE}" type="pres">
      <dgm:prSet presAssocID="{A17D8A13-2A28-425B-8F87-FDB6CB060135}" presName="circ3" presStyleLbl="vennNode1" presStyleIdx="2" presStyleCnt="3" custScaleX="131358" custScaleY="135910" custLinFactNeighborX="-25195" custLinFactNeighborY="-3499"/>
      <dgm:spPr/>
    </dgm:pt>
    <dgm:pt modelId="{29C4496C-971F-4155-9D1C-DA39529FBB61}" type="pres">
      <dgm:prSet presAssocID="{A17D8A13-2A28-425B-8F87-FDB6CB060135}" presName="circ3Tx" presStyleLbl="revTx" presStyleIdx="0" presStyleCnt="0">
        <dgm:presLayoutVars>
          <dgm:chMax val="0"/>
          <dgm:chPref val="0"/>
          <dgm:bulletEnabled val="1"/>
        </dgm:presLayoutVars>
      </dgm:prSet>
      <dgm:spPr/>
    </dgm:pt>
  </dgm:ptLst>
  <dgm:cxnLst>
    <dgm:cxn modelId="{89DBFC5F-5088-49D2-A8F4-E55A86A67270}" type="presOf" srcId="{099D9CF7-F444-4F0C-B4C1-63592DDFE996}" destId="{3AB443BF-8646-45B0-8F00-2B6020828565}" srcOrd="0" destOrd="0" presId="urn:microsoft.com/office/officeart/2005/8/layout/venn1"/>
    <dgm:cxn modelId="{3FF3F263-98DC-46C4-B40E-884A51E45875}" type="presOf" srcId="{A17D8A13-2A28-425B-8F87-FDB6CB060135}" destId="{8194A905-388F-4A0A-874E-62F907A496CE}" srcOrd="0" destOrd="0" presId="urn:microsoft.com/office/officeart/2005/8/layout/venn1"/>
    <dgm:cxn modelId="{0C35AB6F-786D-41C0-94B8-02AE3B17AEC2}" type="presOf" srcId="{54344524-415E-4838-9EDC-345B239F555E}" destId="{5D48D083-D895-4AC3-8FBF-4399EDF6AC2C}" srcOrd="0" destOrd="0" presId="urn:microsoft.com/office/officeart/2005/8/layout/venn1"/>
    <dgm:cxn modelId="{170F0857-F8ED-4501-8875-FDA9A3286D39}" type="presOf" srcId="{A17D8A13-2A28-425B-8F87-FDB6CB060135}" destId="{29C4496C-971F-4155-9D1C-DA39529FBB61}" srcOrd="1" destOrd="0" presId="urn:microsoft.com/office/officeart/2005/8/layout/venn1"/>
    <dgm:cxn modelId="{4B59B487-202B-4AAA-A709-89612608EDBD}" srcId="{099D9CF7-F444-4F0C-B4C1-63592DDFE996}" destId="{54344524-415E-4838-9EDC-345B239F555E}" srcOrd="1" destOrd="0" parTransId="{BCBE4ACC-6500-4BE2-9086-AD4F8D27043C}" sibTransId="{682822B3-D12C-4300-9F5C-C0692D9C7BFA}"/>
    <dgm:cxn modelId="{A588FEB9-5BE5-4976-9BC4-900A715EB4E9}" type="presOf" srcId="{6A287CCD-E2F6-428E-9BD7-D936A4ECFB5F}" destId="{DF63F182-CF40-4176-B564-59B3B5D20420}" srcOrd="1" destOrd="0" presId="urn:microsoft.com/office/officeart/2005/8/layout/venn1"/>
    <dgm:cxn modelId="{DAD36CBF-CCE8-4E19-AED7-61AEB0C82D1E}" type="presOf" srcId="{54344524-415E-4838-9EDC-345B239F555E}" destId="{AB5CE1D9-3903-4056-A095-814BFA11D49E}" srcOrd="1" destOrd="0" presId="urn:microsoft.com/office/officeart/2005/8/layout/venn1"/>
    <dgm:cxn modelId="{CE921FC0-E9B1-4477-A031-FF6889580F78}" srcId="{099D9CF7-F444-4F0C-B4C1-63592DDFE996}" destId="{A17D8A13-2A28-425B-8F87-FDB6CB060135}" srcOrd="2" destOrd="0" parTransId="{1E1946C8-5E75-4BB3-8D80-4ABFFAFFE831}" sibTransId="{B9F66F48-0BF9-4859-ABA8-42B7A82DF3C6}"/>
    <dgm:cxn modelId="{9722B8E3-6AA2-4C30-A5FC-E8477C956CFF}" type="presOf" srcId="{6A287CCD-E2F6-428E-9BD7-D936A4ECFB5F}" destId="{96328BCB-8BB5-4A27-BA98-7EDE56C6E01E}" srcOrd="0" destOrd="0" presId="urn:microsoft.com/office/officeart/2005/8/layout/venn1"/>
    <dgm:cxn modelId="{9BD1F5FD-EFEE-4D78-9980-6B6A719A64AF}" srcId="{099D9CF7-F444-4F0C-B4C1-63592DDFE996}" destId="{6A287CCD-E2F6-428E-9BD7-D936A4ECFB5F}" srcOrd="0" destOrd="0" parTransId="{59EF83ED-981D-40D8-8525-123AFDD9A292}" sibTransId="{C0B43501-98B2-4D49-8326-3183C83EC8AE}"/>
    <dgm:cxn modelId="{76FCBDC4-D12C-4DD3-BB9D-589B20479506}" type="presParOf" srcId="{3AB443BF-8646-45B0-8F00-2B6020828565}" destId="{96328BCB-8BB5-4A27-BA98-7EDE56C6E01E}" srcOrd="0" destOrd="0" presId="urn:microsoft.com/office/officeart/2005/8/layout/venn1"/>
    <dgm:cxn modelId="{1EAE52DC-500A-4BDB-82A3-597DB3B8787A}" type="presParOf" srcId="{3AB443BF-8646-45B0-8F00-2B6020828565}" destId="{DF63F182-CF40-4176-B564-59B3B5D20420}" srcOrd="1" destOrd="0" presId="urn:microsoft.com/office/officeart/2005/8/layout/venn1"/>
    <dgm:cxn modelId="{4D267222-CC02-4FCD-80B9-F9BE57F9E7C4}" type="presParOf" srcId="{3AB443BF-8646-45B0-8F00-2B6020828565}" destId="{5D48D083-D895-4AC3-8FBF-4399EDF6AC2C}" srcOrd="2" destOrd="0" presId="urn:microsoft.com/office/officeart/2005/8/layout/venn1"/>
    <dgm:cxn modelId="{ADB34E98-EE21-4A32-9194-5F37A4E937EA}" type="presParOf" srcId="{3AB443BF-8646-45B0-8F00-2B6020828565}" destId="{AB5CE1D9-3903-4056-A095-814BFA11D49E}" srcOrd="3" destOrd="0" presId="urn:microsoft.com/office/officeart/2005/8/layout/venn1"/>
    <dgm:cxn modelId="{C5C502B2-AFAE-4E14-B52C-5711F9FE5408}" type="presParOf" srcId="{3AB443BF-8646-45B0-8F00-2B6020828565}" destId="{8194A905-388F-4A0A-874E-62F907A496CE}" srcOrd="4" destOrd="0" presId="urn:microsoft.com/office/officeart/2005/8/layout/venn1"/>
    <dgm:cxn modelId="{8FE849C4-BE5D-472C-BECC-ED122DA73BCC}" type="presParOf" srcId="{3AB443BF-8646-45B0-8F00-2B6020828565}" destId="{29C4496C-971F-4155-9D1C-DA39529FBB61}" srcOrd="5" destOrd="0" presId="urn:microsoft.com/office/officeart/2005/8/layout/venn1"/>
  </dgm:cxnLst>
  <dgm:bg/>
  <dgm:whole/>
  <dgm:extLst>
    <a:ext uri="http://schemas.microsoft.com/office/drawing/2008/diagram">
      <dsp:dataModelExt xmlns:dsp="http://schemas.microsoft.com/office/drawing/2008/diagram" relId="rId2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B5E6D47-A947-4C33-9387-40DB2BF76751}">
      <dsp:nvSpPr>
        <dsp:cNvPr id="0" name=""/>
        <dsp:cNvSpPr/>
      </dsp:nvSpPr>
      <dsp:spPr>
        <a:xfrm>
          <a:off x="0" y="55647"/>
          <a:ext cx="5943600" cy="243360"/>
        </a:xfrm>
        <a:prstGeom prst="roundRect">
          <a:avLst/>
        </a:prstGeom>
        <a:solidFill>
          <a:schemeClr val="dk2">
            <a:hueOff val="0"/>
            <a:satOff val="0"/>
            <a:lumOff val="0"/>
            <a:alphaOff val="0"/>
          </a:schemeClr>
        </a:solidFill>
        <a:ln w="12700" cap="flat" cmpd="sng" algn="ctr">
          <a:solidFill>
            <a:schemeClr val="lt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l" defTabSz="444500">
            <a:lnSpc>
              <a:spcPct val="90000"/>
            </a:lnSpc>
            <a:spcBef>
              <a:spcPct val="0"/>
            </a:spcBef>
            <a:spcAft>
              <a:spcPct val="35000"/>
            </a:spcAft>
            <a:buNone/>
          </a:pPr>
          <a:r>
            <a:rPr lang="en-US" sz="1000" b="1" u="none" kern="1200" dirty="0"/>
            <a:t>Baseline Survey</a:t>
          </a:r>
        </a:p>
      </dsp:txBody>
      <dsp:txXfrm>
        <a:off x="11880" y="67527"/>
        <a:ext cx="5919840" cy="219600"/>
      </dsp:txXfrm>
    </dsp:sp>
    <dsp:sp modelId="{9DDEC6E9-17F2-46C6-90F4-BF09E1032E1C}">
      <dsp:nvSpPr>
        <dsp:cNvPr id="0" name=""/>
        <dsp:cNvSpPr/>
      </dsp:nvSpPr>
      <dsp:spPr>
        <a:xfrm>
          <a:off x="0" y="299007"/>
          <a:ext cx="5943600" cy="336375"/>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88709" tIns="12700" rIns="71120" bIns="12700" numCol="1" spcCol="1270" anchor="t" anchorCtr="0">
          <a:noAutofit/>
        </a:bodyPr>
        <a:lstStyle/>
        <a:p>
          <a:pPr marL="57150" lvl="1" indent="-57150" algn="l" defTabSz="444500">
            <a:lnSpc>
              <a:spcPct val="90000"/>
            </a:lnSpc>
            <a:spcBef>
              <a:spcPct val="0"/>
            </a:spcBef>
            <a:spcAft>
              <a:spcPct val="20000"/>
            </a:spcAft>
            <a:buChar char="•"/>
          </a:pPr>
          <a:r>
            <a:rPr lang="en-US" sz="1000" u="none" kern="1200" dirty="0"/>
            <a:t>House to house survey done </a:t>
          </a:r>
        </a:p>
        <a:p>
          <a:pPr marL="57150" lvl="1" indent="-57150" algn="l" defTabSz="444500">
            <a:lnSpc>
              <a:spcPct val="90000"/>
            </a:lnSpc>
            <a:spcBef>
              <a:spcPct val="0"/>
            </a:spcBef>
            <a:spcAft>
              <a:spcPct val="20000"/>
            </a:spcAft>
            <a:buChar char="•"/>
          </a:pPr>
          <a:r>
            <a:rPr lang="en-US" sz="1000" u="none" kern="1200" dirty="0"/>
            <a:t>The reported and  recorded coverages were compared to survey</a:t>
          </a:r>
        </a:p>
      </dsp:txBody>
      <dsp:txXfrm>
        <a:off x="0" y="299007"/>
        <a:ext cx="5943600" cy="336375"/>
      </dsp:txXfrm>
    </dsp:sp>
    <dsp:sp modelId="{CA260034-29F2-4EFA-8E40-21194E40E4EE}">
      <dsp:nvSpPr>
        <dsp:cNvPr id="0" name=""/>
        <dsp:cNvSpPr/>
      </dsp:nvSpPr>
      <dsp:spPr>
        <a:xfrm>
          <a:off x="0" y="635382"/>
          <a:ext cx="5943600" cy="243360"/>
        </a:xfrm>
        <a:prstGeom prst="roundRect">
          <a:avLst/>
        </a:prstGeom>
        <a:solidFill>
          <a:schemeClr val="dk2">
            <a:hueOff val="0"/>
            <a:satOff val="0"/>
            <a:lumOff val="0"/>
            <a:alphaOff val="0"/>
          </a:schemeClr>
        </a:solidFill>
        <a:ln w="12700" cap="flat" cmpd="sng" algn="ctr">
          <a:solidFill>
            <a:schemeClr val="lt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l" defTabSz="444500">
            <a:lnSpc>
              <a:spcPct val="90000"/>
            </a:lnSpc>
            <a:spcBef>
              <a:spcPct val="0"/>
            </a:spcBef>
            <a:spcAft>
              <a:spcPct val="35000"/>
            </a:spcAft>
            <a:buNone/>
          </a:pPr>
          <a:r>
            <a:rPr lang="en-US" sz="1000" b="1" u="none" kern="1200">
              <a:latin typeface="Calibri" panose="020F0502020204030204" pitchFamily="34" charset="0"/>
              <a:ea typeface="Calibri" panose="020F0502020204030204" pitchFamily="34" charset="0"/>
              <a:cs typeface="Times New Roman" panose="02020603050405020304" pitchFamily="18" charset="0"/>
            </a:rPr>
            <a:t>Regional launching workshop- </a:t>
          </a:r>
          <a:endParaRPr lang="en-US" sz="1000" u="none" kern="1200" dirty="0"/>
        </a:p>
      </dsp:txBody>
      <dsp:txXfrm>
        <a:off x="11880" y="647262"/>
        <a:ext cx="5919840" cy="219600"/>
      </dsp:txXfrm>
    </dsp:sp>
    <dsp:sp modelId="{E6930AEC-5DE3-4568-A83E-8AD88E6BF81A}">
      <dsp:nvSpPr>
        <dsp:cNvPr id="0" name=""/>
        <dsp:cNvSpPr/>
      </dsp:nvSpPr>
      <dsp:spPr>
        <a:xfrm>
          <a:off x="0" y="878742"/>
          <a:ext cx="5943600" cy="21528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88709" tIns="12700" rIns="71120" bIns="12700" numCol="1" spcCol="1270" anchor="t" anchorCtr="0">
          <a:noAutofit/>
        </a:bodyPr>
        <a:lstStyle/>
        <a:p>
          <a:pPr marL="57150" lvl="1" indent="-57150" algn="l" defTabSz="444500">
            <a:lnSpc>
              <a:spcPct val="90000"/>
            </a:lnSpc>
            <a:spcBef>
              <a:spcPct val="0"/>
            </a:spcBef>
            <a:spcAft>
              <a:spcPct val="20000"/>
            </a:spcAft>
            <a:buChar char="•"/>
          </a:pPr>
          <a:r>
            <a:rPr lang="en-US" sz="1000" u="none" kern="1200">
              <a:latin typeface="Calibri" panose="020F0502020204030204" pitchFamily="34" charset="0"/>
              <a:ea typeface="Calibri" panose="020F0502020204030204" pitchFamily="34" charset="0"/>
              <a:cs typeface="Times New Roman" panose="02020603050405020304" pitchFamily="18" charset="0"/>
            </a:rPr>
            <a:t>Inputs received and uniform understanding created</a:t>
          </a:r>
          <a:r>
            <a:rPr lang="en-US" sz="1000" u="none" kern="1200" dirty="0">
              <a:latin typeface="Calibri" panose="020F0502020204030204" pitchFamily="34" charset="0"/>
              <a:ea typeface="Calibri" panose="020F0502020204030204" pitchFamily="34" charset="0"/>
              <a:cs typeface="Times New Roman" panose="02020603050405020304" pitchFamily="18" charset="0"/>
            </a:rPr>
            <a:t>.</a:t>
          </a:r>
        </a:p>
      </dsp:txBody>
      <dsp:txXfrm>
        <a:off x="0" y="878742"/>
        <a:ext cx="5943600" cy="215280"/>
      </dsp:txXfrm>
    </dsp:sp>
    <dsp:sp modelId="{CDC0ED15-D02C-48A8-9983-6A573BE5C743}">
      <dsp:nvSpPr>
        <dsp:cNvPr id="0" name=""/>
        <dsp:cNvSpPr/>
      </dsp:nvSpPr>
      <dsp:spPr>
        <a:xfrm>
          <a:off x="0" y="1094022"/>
          <a:ext cx="5943600" cy="243360"/>
        </a:xfrm>
        <a:prstGeom prst="roundRect">
          <a:avLst/>
        </a:prstGeom>
        <a:solidFill>
          <a:schemeClr val="dk2">
            <a:hueOff val="0"/>
            <a:satOff val="0"/>
            <a:lumOff val="0"/>
            <a:alphaOff val="0"/>
          </a:schemeClr>
        </a:solidFill>
        <a:ln w="12700" cap="flat" cmpd="sng" algn="ctr">
          <a:solidFill>
            <a:schemeClr val="lt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l" defTabSz="444500">
            <a:lnSpc>
              <a:spcPct val="90000"/>
            </a:lnSpc>
            <a:spcBef>
              <a:spcPct val="0"/>
            </a:spcBef>
            <a:spcAft>
              <a:spcPct val="35000"/>
            </a:spcAft>
            <a:buNone/>
          </a:pPr>
          <a:r>
            <a:rPr lang="en-US" sz="1000" b="1" u="none" kern="1200">
              <a:latin typeface="Calibri" panose="020F0502020204030204" pitchFamily="34" charset="0"/>
              <a:ea typeface="Calibri" panose="020F0502020204030204" pitchFamily="34" charset="0"/>
              <a:cs typeface="Times New Roman" panose="02020603050405020304" pitchFamily="18" charset="0"/>
            </a:rPr>
            <a:t>Training</a:t>
          </a:r>
          <a:r>
            <a:rPr lang="en-US" sz="1000" u="none" kern="1200">
              <a:latin typeface="Calibri" panose="020F0502020204030204" pitchFamily="34" charset="0"/>
              <a:ea typeface="Calibri" panose="020F0502020204030204" pitchFamily="34" charset="0"/>
              <a:cs typeface="Times New Roman" panose="02020603050405020304" pitchFamily="18" charset="0"/>
            </a:rPr>
            <a:t>: </a:t>
          </a:r>
          <a:endParaRPr lang="en-US" sz="1000" u="none" kern="1200" dirty="0">
            <a:latin typeface="Calibri" panose="020F0502020204030204" pitchFamily="34" charset="0"/>
            <a:ea typeface="Calibri" panose="020F0502020204030204" pitchFamily="34" charset="0"/>
            <a:cs typeface="Times New Roman" panose="02020603050405020304" pitchFamily="18" charset="0"/>
          </a:endParaRPr>
        </a:p>
      </dsp:txBody>
      <dsp:txXfrm>
        <a:off x="11880" y="1105902"/>
        <a:ext cx="5919840" cy="219600"/>
      </dsp:txXfrm>
    </dsp:sp>
    <dsp:sp modelId="{E866C1D6-81F5-463D-B355-816F316E8E94}">
      <dsp:nvSpPr>
        <dsp:cNvPr id="0" name=""/>
        <dsp:cNvSpPr/>
      </dsp:nvSpPr>
      <dsp:spPr>
        <a:xfrm>
          <a:off x="0" y="1337382"/>
          <a:ext cx="5943600" cy="336375"/>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88709" tIns="12700" rIns="71120" bIns="12700" numCol="1" spcCol="1270" anchor="t" anchorCtr="0">
          <a:noAutofit/>
        </a:bodyPr>
        <a:lstStyle/>
        <a:p>
          <a:pPr marL="57150" lvl="1" indent="-57150" algn="l" defTabSz="444500">
            <a:lnSpc>
              <a:spcPct val="90000"/>
            </a:lnSpc>
            <a:spcBef>
              <a:spcPct val="0"/>
            </a:spcBef>
            <a:spcAft>
              <a:spcPct val="20000"/>
            </a:spcAft>
            <a:buChar char="•"/>
          </a:pPr>
          <a:r>
            <a:rPr lang="en-US" sz="1000" b="0" u="none" kern="1200">
              <a:latin typeface="Calibri" panose="020F0502020204030204" pitchFamily="34" charset="0"/>
              <a:ea typeface="Calibri" panose="020F0502020204030204" pitchFamily="34" charset="0"/>
              <a:cs typeface="Times New Roman" panose="02020603050405020304" pitchFamily="18" charset="0"/>
            </a:rPr>
            <a:t>A two days training provided to the HDAs</a:t>
          </a:r>
          <a:endParaRPr lang="en-US" sz="1000" b="0" u="none" kern="1200" dirty="0">
            <a:solidFill>
              <a:schemeClr val="tx1"/>
            </a:solidFill>
            <a:latin typeface="Calibri" panose="020F0502020204030204" pitchFamily="34" charset="0"/>
            <a:ea typeface="Calibri" panose="020F0502020204030204" pitchFamily="34" charset="0"/>
            <a:cs typeface="Times New Roman" panose="02020603050405020304" pitchFamily="18" charset="0"/>
          </a:endParaRPr>
        </a:p>
        <a:p>
          <a:pPr marL="57150" lvl="1" indent="-57150" algn="l" defTabSz="444500">
            <a:lnSpc>
              <a:spcPct val="90000"/>
            </a:lnSpc>
            <a:spcBef>
              <a:spcPct val="0"/>
            </a:spcBef>
            <a:spcAft>
              <a:spcPct val="20000"/>
            </a:spcAft>
            <a:buChar char="•"/>
          </a:pPr>
          <a:r>
            <a:rPr lang="en-US" sz="1000" b="0" u="none" kern="1200">
              <a:latin typeface="Calibri" panose="020F0502020204030204" pitchFamily="34" charset="0"/>
              <a:ea typeface="Calibri" panose="020F0502020204030204" pitchFamily="34" charset="0"/>
              <a:cs typeface="Times New Roman" panose="02020603050405020304" pitchFamily="18" charset="0"/>
            </a:rPr>
            <a:t>A field exercise done to ensure proper practice</a:t>
          </a:r>
          <a:endParaRPr lang="en-US" sz="1000" b="0" u="none" kern="1200" dirty="0">
            <a:solidFill>
              <a:schemeClr val="tx1"/>
            </a:solidFill>
            <a:latin typeface="Calibri" panose="020F0502020204030204" pitchFamily="34" charset="0"/>
            <a:ea typeface="Calibri" panose="020F0502020204030204" pitchFamily="34" charset="0"/>
            <a:cs typeface="Times New Roman" panose="02020603050405020304" pitchFamily="18" charset="0"/>
          </a:endParaRPr>
        </a:p>
      </dsp:txBody>
      <dsp:txXfrm>
        <a:off x="0" y="1337382"/>
        <a:ext cx="5943600" cy="336375"/>
      </dsp:txXfrm>
    </dsp:sp>
    <dsp:sp modelId="{3BDF09F6-A552-462D-90AE-E2B709E14BB4}">
      <dsp:nvSpPr>
        <dsp:cNvPr id="0" name=""/>
        <dsp:cNvSpPr/>
      </dsp:nvSpPr>
      <dsp:spPr>
        <a:xfrm>
          <a:off x="0" y="1673757"/>
          <a:ext cx="5943600" cy="243360"/>
        </a:xfrm>
        <a:prstGeom prst="roundRect">
          <a:avLst/>
        </a:prstGeom>
        <a:solidFill>
          <a:schemeClr val="dk2">
            <a:hueOff val="0"/>
            <a:satOff val="0"/>
            <a:lumOff val="0"/>
            <a:alphaOff val="0"/>
          </a:schemeClr>
        </a:solidFill>
        <a:ln w="12700" cap="flat" cmpd="sng" algn="ctr">
          <a:solidFill>
            <a:schemeClr val="lt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l" defTabSz="444500">
            <a:lnSpc>
              <a:spcPct val="90000"/>
            </a:lnSpc>
            <a:spcBef>
              <a:spcPct val="0"/>
            </a:spcBef>
            <a:spcAft>
              <a:spcPct val="35000"/>
            </a:spcAft>
            <a:buNone/>
          </a:pPr>
          <a:r>
            <a:rPr lang="en-US" sz="1000" b="1" u="none" kern="1200">
              <a:latin typeface="Calibri" panose="020F0502020204030204" pitchFamily="34" charset="0"/>
              <a:ea typeface="Calibri" panose="020F0502020204030204" pitchFamily="34" charset="0"/>
              <a:cs typeface="Times New Roman" panose="02020603050405020304" pitchFamily="18" charset="0"/>
            </a:rPr>
            <a:t>Implementation of the TS/S</a:t>
          </a:r>
          <a:r>
            <a:rPr lang="en-US" sz="1000" u="none" kern="1200">
              <a:latin typeface="Calibri" panose="020F0502020204030204" pitchFamily="34" charset="0"/>
              <a:ea typeface="Calibri" panose="020F0502020204030204" pitchFamily="34" charset="0"/>
              <a:cs typeface="Times New Roman" panose="02020603050405020304" pitchFamily="18" charset="0"/>
            </a:rPr>
            <a:t>:</a:t>
          </a:r>
          <a:endParaRPr lang="en-US" sz="1000" u="none" kern="1200" dirty="0">
            <a:latin typeface="Calibri" panose="020F0502020204030204" pitchFamily="34" charset="0"/>
            <a:ea typeface="Calibri" panose="020F0502020204030204" pitchFamily="34" charset="0"/>
            <a:cs typeface="Times New Roman" panose="02020603050405020304" pitchFamily="18" charset="0"/>
          </a:endParaRPr>
        </a:p>
      </dsp:txBody>
      <dsp:txXfrm>
        <a:off x="11880" y="1685637"/>
        <a:ext cx="5919840" cy="219600"/>
      </dsp:txXfrm>
    </dsp:sp>
    <dsp:sp modelId="{84DF4329-C797-4017-8160-BCE02EFEBE35}">
      <dsp:nvSpPr>
        <dsp:cNvPr id="0" name=""/>
        <dsp:cNvSpPr/>
      </dsp:nvSpPr>
      <dsp:spPr>
        <a:xfrm>
          <a:off x="0" y="1917117"/>
          <a:ext cx="5943600" cy="309465"/>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88709" tIns="12700" rIns="71120" bIns="12700" numCol="1" spcCol="1270" anchor="t" anchorCtr="0">
          <a:noAutofit/>
        </a:bodyPr>
        <a:lstStyle/>
        <a:p>
          <a:pPr marL="57150" lvl="1" indent="-57150" algn="l" defTabSz="444500">
            <a:lnSpc>
              <a:spcPct val="90000"/>
            </a:lnSpc>
            <a:spcBef>
              <a:spcPct val="0"/>
            </a:spcBef>
            <a:spcAft>
              <a:spcPct val="20000"/>
            </a:spcAft>
            <a:buChar char="•"/>
          </a:pPr>
          <a:r>
            <a:rPr lang="en-US" sz="1000" b="0" u="none" kern="1200">
              <a:latin typeface="Calibri" panose="020F0502020204030204" pitchFamily="34" charset="0"/>
              <a:ea typeface="Calibri" panose="020F0502020204030204" pitchFamily="34" charset="0"/>
              <a:cs typeface="Times New Roman" panose="02020603050405020304" pitchFamily="18" charset="0"/>
            </a:rPr>
            <a:t>The HDAs did: </a:t>
          </a:r>
          <a:r>
            <a:rPr lang="en-US" sz="1000" u="none" kern="1200">
              <a:latin typeface="Calibri" panose="020F0502020204030204" pitchFamily="34" charset="0"/>
              <a:ea typeface="Calibri" panose="020F0502020204030204" pitchFamily="34" charset="0"/>
              <a:cs typeface="Times New Roman" panose="02020603050405020304" pitchFamily="18" charset="0"/>
            </a:rPr>
            <a:t>Monthly MUAC &amp; edema screening; Monthly GMP for U2 children and identify &amp; link children for VAS&amp; deworming</a:t>
          </a:r>
          <a:endParaRPr lang="en-US" sz="1000" b="0" u="none" kern="1200" dirty="0">
            <a:solidFill>
              <a:schemeClr val="tx1"/>
            </a:solidFill>
            <a:latin typeface="Calibri" panose="020F0502020204030204" pitchFamily="34" charset="0"/>
            <a:ea typeface="Calibri" panose="020F0502020204030204" pitchFamily="34" charset="0"/>
            <a:cs typeface="Times New Roman" panose="02020603050405020304" pitchFamily="18" charset="0"/>
          </a:endParaRPr>
        </a:p>
      </dsp:txBody>
      <dsp:txXfrm>
        <a:off x="0" y="1917117"/>
        <a:ext cx="5943600" cy="309465"/>
      </dsp:txXfrm>
    </dsp:sp>
    <dsp:sp modelId="{23CA3412-7A4E-4988-8EC8-6F35B0A965C3}">
      <dsp:nvSpPr>
        <dsp:cNvPr id="0" name=""/>
        <dsp:cNvSpPr/>
      </dsp:nvSpPr>
      <dsp:spPr>
        <a:xfrm>
          <a:off x="0" y="2226582"/>
          <a:ext cx="5943600" cy="243360"/>
        </a:xfrm>
        <a:prstGeom prst="roundRect">
          <a:avLst/>
        </a:prstGeom>
        <a:solidFill>
          <a:schemeClr val="dk2">
            <a:hueOff val="0"/>
            <a:satOff val="0"/>
            <a:lumOff val="0"/>
            <a:alphaOff val="0"/>
          </a:schemeClr>
        </a:solidFill>
        <a:ln w="12700" cap="flat" cmpd="sng" algn="ctr">
          <a:solidFill>
            <a:schemeClr val="lt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l" defTabSz="444500">
            <a:lnSpc>
              <a:spcPct val="90000"/>
            </a:lnSpc>
            <a:spcBef>
              <a:spcPct val="0"/>
            </a:spcBef>
            <a:spcAft>
              <a:spcPct val="35000"/>
            </a:spcAft>
            <a:buNone/>
          </a:pPr>
          <a:r>
            <a:rPr lang="en-US" sz="1000" b="1" u="none" kern="1200">
              <a:latin typeface="Calibri" panose="020F0502020204030204" pitchFamily="34" charset="0"/>
              <a:ea typeface="Calibri" panose="020F0502020204030204" pitchFamily="34" charset="0"/>
              <a:cs typeface="Times New Roman" panose="02020603050405020304" pitchFamily="18" charset="0"/>
            </a:rPr>
            <a:t>Monitoring and technical support: </a:t>
          </a:r>
          <a:endParaRPr lang="en-US" sz="1000" b="1" u="none" kern="1200" dirty="0">
            <a:latin typeface="Calibri" panose="020F0502020204030204" pitchFamily="34" charset="0"/>
            <a:ea typeface="Calibri" panose="020F0502020204030204" pitchFamily="34" charset="0"/>
            <a:cs typeface="Times New Roman" panose="02020603050405020304" pitchFamily="18" charset="0"/>
          </a:endParaRPr>
        </a:p>
      </dsp:txBody>
      <dsp:txXfrm>
        <a:off x="11880" y="2238462"/>
        <a:ext cx="5919840" cy="219600"/>
      </dsp:txXfrm>
    </dsp:sp>
    <dsp:sp modelId="{D2B10908-9EC4-4B55-A982-41FA071A00CE}">
      <dsp:nvSpPr>
        <dsp:cNvPr id="0" name=""/>
        <dsp:cNvSpPr/>
      </dsp:nvSpPr>
      <dsp:spPr>
        <a:xfrm>
          <a:off x="0" y="2469942"/>
          <a:ext cx="5943600" cy="336375"/>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88709" tIns="12700" rIns="71120" bIns="12700" numCol="1" spcCol="1270" anchor="t" anchorCtr="0">
          <a:noAutofit/>
        </a:bodyPr>
        <a:lstStyle/>
        <a:p>
          <a:pPr marL="57150" lvl="1" indent="-57150" algn="l" defTabSz="444500">
            <a:lnSpc>
              <a:spcPct val="90000"/>
            </a:lnSpc>
            <a:spcBef>
              <a:spcPct val="0"/>
            </a:spcBef>
            <a:spcAft>
              <a:spcPct val="20000"/>
            </a:spcAft>
            <a:buChar char="•"/>
          </a:pPr>
          <a:r>
            <a:rPr lang="en-US" sz="1000" u="none" kern="1200">
              <a:latin typeface="Calibri" panose="020F0502020204030204" pitchFamily="34" charset="0"/>
              <a:ea typeface="Calibri" panose="020F0502020204030204" pitchFamily="34" charset="0"/>
              <a:cs typeface="Times New Roman" panose="02020603050405020304" pitchFamily="18" charset="0"/>
            </a:rPr>
            <a:t>HEWs continuously monitor, mentor, and provide technical supports to the HDAs</a:t>
          </a:r>
        </a:p>
        <a:p>
          <a:pPr marL="57150" lvl="1" indent="-57150" algn="l" defTabSz="444500">
            <a:lnSpc>
              <a:spcPct val="90000"/>
            </a:lnSpc>
            <a:spcBef>
              <a:spcPct val="0"/>
            </a:spcBef>
            <a:spcAft>
              <a:spcPct val="20000"/>
            </a:spcAft>
            <a:buChar char="•"/>
          </a:pPr>
          <a:r>
            <a:rPr lang="en-US" sz="1000" u="none" kern="1200" dirty="0">
              <a:latin typeface="Calibri" panose="020F0502020204030204" pitchFamily="34" charset="0"/>
              <a:ea typeface="Calibri" panose="020F0502020204030204" pitchFamily="34" charset="0"/>
              <a:cs typeface="Times New Roman" panose="02020603050405020304" pitchFamily="18" charset="0"/>
            </a:rPr>
            <a:t>Recording tools for HDAs improved and counseling skills built further</a:t>
          </a:r>
          <a:endParaRPr lang="en-US" sz="1000" u="none" kern="1200" dirty="0">
            <a:solidFill>
              <a:schemeClr val="tx1"/>
            </a:solidFill>
            <a:latin typeface="Calibri" panose="020F0502020204030204" pitchFamily="34" charset="0"/>
            <a:ea typeface="Calibri" panose="020F0502020204030204" pitchFamily="34" charset="0"/>
            <a:cs typeface="Times New Roman" panose="02020603050405020304" pitchFamily="18" charset="0"/>
          </a:endParaRPr>
        </a:p>
      </dsp:txBody>
      <dsp:txXfrm>
        <a:off x="0" y="2469942"/>
        <a:ext cx="5943600" cy="336375"/>
      </dsp:txXfrm>
    </dsp:sp>
    <dsp:sp modelId="{1FEFE32E-3DF8-438E-A8FE-18F5AEB041C0}">
      <dsp:nvSpPr>
        <dsp:cNvPr id="0" name=""/>
        <dsp:cNvSpPr/>
      </dsp:nvSpPr>
      <dsp:spPr>
        <a:xfrm>
          <a:off x="0" y="2806317"/>
          <a:ext cx="5943600" cy="243360"/>
        </a:xfrm>
        <a:prstGeom prst="roundRect">
          <a:avLst/>
        </a:prstGeom>
        <a:solidFill>
          <a:schemeClr val="dk2">
            <a:hueOff val="0"/>
            <a:satOff val="0"/>
            <a:lumOff val="0"/>
            <a:alphaOff val="0"/>
          </a:schemeClr>
        </a:solidFill>
        <a:ln w="12700" cap="flat" cmpd="sng" algn="ctr">
          <a:solidFill>
            <a:schemeClr val="lt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l" defTabSz="444500">
            <a:lnSpc>
              <a:spcPct val="90000"/>
            </a:lnSpc>
            <a:spcBef>
              <a:spcPct val="0"/>
            </a:spcBef>
            <a:spcAft>
              <a:spcPct val="35000"/>
            </a:spcAft>
            <a:buNone/>
          </a:pPr>
          <a:r>
            <a:rPr lang="en-US" sz="1000" b="1" u="none" kern="1200" dirty="0">
              <a:solidFill>
                <a:schemeClr val="bg1"/>
              </a:solidFill>
              <a:latin typeface="Calibri" panose="020F0502020204030204" pitchFamily="34" charset="0"/>
              <a:ea typeface="Calibri" panose="020F0502020204030204" pitchFamily="34" charset="0"/>
              <a:cs typeface="Times New Roman" panose="02020603050405020304" pitchFamily="18" charset="0"/>
            </a:rPr>
            <a:t>2nd house-to-house survey conducted</a:t>
          </a:r>
        </a:p>
      </dsp:txBody>
      <dsp:txXfrm>
        <a:off x="11880" y="2818197"/>
        <a:ext cx="5919840" cy="219600"/>
      </dsp:txXfrm>
    </dsp:sp>
    <dsp:sp modelId="{E669B4D9-25EA-47F3-A211-84709BDD38F1}">
      <dsp:nvSpPr>
        <dsp:cNvPr id="0" name=""/>
        <dsp:cNvSpPr/>
      </dsp:nvSpPr>
      <dsp:spPr>
        <a:xfrm>
          <a:off x="0" y="3049677"/>
          <a:ext cx="5943600" cy="336375"/>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88709" tIns="12700" rIns="71120" bIns="12700" numCol="1" spcCol="1270" anchor="t" anchorCtr="0">
          <a:noAutofit/>
        </a:bodyPr>
        <a:lstStyle/>
        <a:p>
          <a:pPr marL="57150" lvl="1" indent="-57150" algn="l" defTabSz="444500">
            <a:lnSpc>
              <a:spcPct val="90000"/>
            </a:lnSpc>
            <a:spcBef>
              <a:spcPct val="0"/>
            </a:spcBef>
            <a:spcAft>
              <a:spcPct val="20000"/>
            </a:spcAft>
            <a:buChar char="•"/>
          </a:pPr>
          <a:r>
            <a:rPr lang="en-US" sz="1000" u="none" kern="1200" dirty="0">
              <a:solidFill>
                <a:schemeClr val="tx1"/>
              </a:solidFill>
              <a:latin typeface="Calibri" panose="020F0502020204030204" pitchFamily="34" charset="0"/>
              <a:ea typeface="Calibri" panose="020F0502020204030204" pitchFamily="34" charset="0"/>
              <a:cs typeface="Times New Roman" panose="02020603050405020304" pitchFamily="18" charset="0"/>
            </a:rPr>
            <a:t>The recorded&amp; reported coverages are compared with the survey findings</a:t>
          </a:r>
        </a:p>
        <a:p>
          <a:pPr marL="57150" lvl="1" indent="-57150" algn="l" defTabSz="444500">
            <a:lnSpc>
              <a:spcPct val="90000"/>
            </a:lnSpc>
            <a:spcBef>
              <a:spcPct val="0"/>
            </a:spcBef>
            <a:spcAft>
              <a:spcPct val="20000"/>
            </a:spcAft>
            <a:buChar char="•"/>
          </a:pPr>
          <a:r>
            <a:rPr lang="en-US" sz="1000" u="none" kern="1200" dirty="0">
              <a:solidFill>
                <a:schemeClr val="tx1"/>
              </a:solidFill>
              <a:latin typeface="Calibri" panose="020F0502020204030204" pitchFamily="34" charset="0"/>
              <a:ea typeface="Calibri" panose="020F0502020204030204" pitchFamily="34" charset="0"/>
              <a:cs typeface="Times New Roman" panose="02020603050405020304" pitchFamily="18" charset="0"/>
            </a:rPr>
            <a:t>Feedbacks recieved from HEW, HDAs and communities</a:t>
          </a:r>
        </a:p>
      </dsp:txBody>
      <dsp:txXfrm>
        <a:off x="0" y="3049677"/>
        <a:ext cx="5943600" cy="336375"/>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6328BCB-8BB5-4A27-BA98-7EDE56C6E01E}">
      <dsp:nvSpPr>
        <dsp:cNvPr id="0" name=""/>
        <dsp:cNvSpPr/>
      </dsp:nvSpPr>
      <dsp:spPr>
        <a:xfrm>
          <a:off x="2261842" y="-124234"/>
          <a:ext cx="1263444" cy="1309237"/>
        </a:xfrm>
        <a:prstGeom prst="ellipse">
          <a:avLst/>
        </a:prstGeom>
        <a:solidFill>
          <a:schemeClr val="accent4">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r>
            <a:rPr lang="en-US" sz="800" kern="1200"/>
            <a:t>Number of Tasks</a:t>
          </a:r>
        </a:p>
      </dsp:txBody>
      <dsp:txXfrm>
        <a:off x="2430302" y="104882"/>
        <a:ext cx="926525" cy="589156"/>
      </dsp:txXfrm>
    </dsp:sp>
    <dsp:sp modelId="{5D48D083-D895-4AC3-8FBF-4399EDF6AC2C}">
      <dsp:nvSpPr>
        <dsp:cNvPr id="0" name=""/>
        <dsp:cNvSpPr/>
      </dsp:nvSpPr>
      <dsp:spPr>
        <a:xfrm>
          <a:off x="2969312" y="502813"/>
          <a:ext cx="1287183" cy="1272275"/>
        </a:xfrm>
        <a:prstGeom prst="ellipse">
          <a:avLst/>
        </a:prstGeom>
        <a:solidFill>
          <a:schemeClr val="accent4">
            <a:alpha val="50000"/>
            <a:hueOff val="4900445"/>
            <a:satOff val="-20388"/>
            <a:lumOff val="4804"/>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r>
            <a:rPr lang="en-US" sz="800" kern="1200"/>
            <a:t>Organization of tasks (platforms and integration)</a:t>
          </a:r>
        </a:p>
      </dsp:txBody>
      <dsp:txXfrm>
        <a:off x="3362976" y="831484"/>
        <a:ext cx="772309" cy="699751"/>
      </dsp:txXfrm>
    </dsp:sp>
    <dsp:sp modelId="{8194A905-388F-4A0A-874E-62F907A496CE}">
      <dsp:nvSpPr>
        <dsp:cNvPr id="0" name=""/>
        <dsp:cNvSpPr/>
      </dsp:nvSpPr>
      <dsp:spPr>
        <a:xfrm>
          <a:off x="1657371" y="443198"/>
          <a:ext cx="1279042" cy="1323366"/>
        </a:xfrm>
        <a:prstGeom prst="ellipse">
          <a:avLst/>
        </a:prstGeom>
        <a:solidFill>
          <a:schemeClr val="accent4">
            <a:alpha val="50000"/>
            <a:hueOff val="9800891"/>
            <a:satOff val="-40777"/>
            <a:lumOff val="9608"/>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r>
            <a:rPr lang="en-US" sz="800" kern="1200"/>
            <a:t>Catchment area (number of households and the geographic distribution</a:t>
          </a:r>
        </a:p>
      </dsp:txBody>
      <dsp:txXfrm>
        <a:off x="1777814" y="785068"/>
        <a:ext cx="767425" cy="727851"/>
      </dsp:txXfrm>
    </dsp:sp>
  </dsp:spTree>
</dsp:drawing>
</file>

<file path=word/diagrams/layout1.xml><?xml version="1.0" encoding="utf-8"?>
<dgm:layoutDef xmlns:dgm="http://schemas.openxmlformats.org/drawingml/2006/diagram" xmlns:a="http://schemas.openxmlformats.org/drawingml/2006/main" uniqueId="urn:microsoft.com/office/officeart/2005/8/layout/vList2">
  <dgm:title val=""/>
  <dgm:desc val=""/>
  <dgm:catLst>
    <dgm:cat type="list" pri="3000"/>
    <dgm:cat type="convert" pri="1000"/>
  </dgm:catLst>
  <dgm:samp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2" srcId="1" destId="11" srcOrd="0" destOrd="0"/>
        <dgm:cxn modelId="23" srcId="2" destId="21"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animLvl val="lvl"/>
      <dgm:resizeHandles val="exact"/>
    </dgm:varLst>
    <dgm:alg type="lin">
      <dgm:param type="linDir" val="fromT"/>
      <dgm:param type="vertAlign" val="mid"/>
    </dgm:alg>
    <dgm:shape xmlns:r="http://schemas.openxmlformats.org/officeDocument/2006/relationships" r:blip="">
      <dgm:adjLst/>
    </dgm:shape>
    <dgm:presOf/>
    <dgm:constrLst>
      <dgm:constr type="w" for="ch" forName="parentText" refType="w"/>
      <dgm:constr type="h" for="ch" forName="parentText" refType="primFontSz" refFor="ch" refForName="parentText" fact="0.52"/>
      <dgm:constr type="w" for="ch" forName="childText" refType="w"/>
      <dgm:constr type="h" for="ch" forName="childText" refType="primFontSz" refFor="ch" refForName="parentText" fact="0.46"/>
      <dgm:constr type="h" for="ch" forName="parentText" op="equ"/>
      <dgm:constr type="primFontSz" for="ch" forName="parentText" op="equ" val="65"/>
      <dgm:constr type="primFontSz" for="ch" forName="childText" refType="primFontSz" refFor="ch" refForName="parentText" op="equ"/>
      <dgm:constr type="h" for="ch" forName="spacer" refType="primFontSz" refFor="ch" refForName="parentText" fact="0.08"/>
    </dgm:constrLst>
    <dgm:ruleLst>
      <dgm:rule type="primFontSz" for="ch" forName="parentText" val="5" fact="NaN" max="NaN"/>
    </dgm:ruleLst>
    <dgm:forEach name="Name0" axis="ch" ptType="node">
      <dgm:layoutNode name="parentText" styleLbl="node1">
        <dgm:varLst>
          <dgm:chMax val="0"/>
          <dgm:bulletEnabled val="1"/>
        </dgm:varLst>
        <dgm:alg type="tx">
          <dgm:param type="parTxLTRAlign" val="l"/>
          <dgm:param type="parTxRTLAlign" val="r"/>
        </dgm:alg>
        <dgm:shape xmlns:r="http://schemas.openxmlformats.org/officeDocument/2006/relationships" type="roundRect" r:blip="">
          <dgm:adjLst/>
        </dgm:shape>
        <dgm:presOf axis="self"/>
        <dgm:constrLst>
          <dgm:constr type="tMarg" refType="primFontSz" fact="0.3"/>
          <dgm:constr type="bMarg" refType="primFontSz" fact="0.3"/>
          <dgm:constr type="lMarg" refType="primFontSz" fact="0.3"/>
          <dgm:constr type="rMarg" refType="primFontSz" fact="0.3"/>
        </dgm:constrLst>
        <dgm:ruleLst>
          <dgm:rule type="h" val="INF" fact="NaN" max="NaN"/>
        </dgm:ruleLst>
      </dgm:layoutNode>
      <dgm:choose name="Name1">
        <dgm:if name="Name2" axis="ch" ptType="node" func="cnt" op="gte" val="1">
          <dgm:layoutNode name="childText" styleLbl="revTx">
            <dgm:varLst>
              <dgm:bulletEnabled val="1"/>
            </dgm:varLst>
            <dgm:alg type="tx">
              <dgm:param type="stBulletLvl" val="1"/>
              <dgm:param type="lnSpAfChP" val="20"/>
            </dgm:alg>
            <dgm:shape xmlns:r="http://schemas.openxmlformats.org/officeDocument/2006/relationships" type="rect" r:blip="">
              <dgm:adjLst/>
            </dgm:shape>
            <dgm:presOf axis="des" ptType="node"/>
            <dgm:constrLst>
              <dgm:constr type="tMarg" refType="primFontSz" fact="0.1"/>
              <dgm:constr type="bMarg" refType="primFontSz" fact="0.1"/>
              <dgm:constr type="lMarg" refType="w" fact="0.09"/>
            </dgm:constrLst>
            <dgm:ruleLst>
              <dgm:rule type="h" val="INF" fact="NaN" max="NaN"/>
            </dgm:ruleLst>
          </dgm:layoutNode>
        </dgm:if>
        <dgm:else name="Name3">
          <dgm:choose name="Name4">
            <dgm:if name="Name5" axis="par ch" ptType="doc node" func="cnt" op="gte" val="2">
              <dgm:forEach name="Name6" axis="followSib" ptType="sibTrans" cnt="1">
                <dgm:layoutNode name="spacer">
                  <dgm:alg type="sp"/>
                  <dgm:shape xmlns:r="http://schemas.openxmlformats.org/officeDocument/2006/relationships" r:blip="">
                    <dgm:adjLst/>
                  </dgm:shape>
                  <dgm:presOf/>
                  <dgm:constrLst/>
                  <dgm:ruleLst/>
                </dgm:layoutNode>
              </dgm:forEach>
            </dgm:if>
            <dgm:else name="Name7"/>
          </dgm:choose>
        </dgm:else>
      </dgm:choose>
    </dgm:forEach>
  </dgm:layoutNode>
</dgm:layoutDef>
</file>

<file path=word/diagrams/layout2.xml><?xml version="1.0" encoding="utf-8"?>
<dgm:layoutDef xmlns:dgm="http://schemas.openxmlformats.org/drawingml/2006/diagram" xmlns:a="http://schemas.openxmlformats.org/drawingml/2006/main" uniqueId="urn:microsoft.com/office/officeart/2005/8/layout/venn1">
  <dgm:title val=""/>
  <dgm:desc val=""/>
  <dgm:catLst>
    <dgm:cat type="relationship" pri="28000"/>
    <dgm:cat type="convert" pri="19000"/>
  </dgm:catLst>
  <dgm:sampData useDef="1">
    <dgm:dataModel>
      <dgm:ptLst/>
      <dgm:bg/>
      <dgm:whole/>
    </dgm:dataModel>
  </dgm:sampData>
  <dgm:styleData useDef="1">
    <dgm:dataModel>
      <dgm:ptLst/>
      <dgm:bg/>
      <dgm:whole/>
    </dgm:dataModel>
  </dgm:styleData>
  <dgm:clrData>
    <dgm:dataModel>
      <dgm:ptLst>
        <dgm:pt modelId="0" type="doc"/>
        <dgm:pt modelId="1"/>
        <dgm:pt modelId="2"/>
        <dgm:pt modelId="3"/>
        <dgm:pt modelId="4"/>
      </dgm:ptLst>
      <dgm:cxnLst>
        <dgm:cxn modelId="7" srcId="0" destId="1" srcOrd="0" destOrd="0"/>
        <dgm:cxn modelId="8" srcId="0" destId="2" srcOrd="1" destOrd="0"/>
        <dgm:cxn modelId="9" srcId="0" destId="3" srcOrd="2" destOrd="0"/>
        <dgm:cxn modelId="10" srcId="0" destId="4" srcOrd="3" destOrd="0"/>
      </dgm:cxnLst>
      <dgm:bg/>
      <dgm:whole/>
    </dgm:dataModel>
  </dgm:clrData>
  <dgm:layoutNode name="compositeShape">
    <dgm:varLst>
      <dgm:chMax val="7"/>
      <dgm:dir/>
      <dgm:resizeHandles val="exact"/>
    </dgm:varLst>
    <dgm:choose name="Name0">
      <dgm:if name="Name1" axis="ch" ptType="node" func="cnt" op="equ" val="1">
        <dgm:alg type="composite">
          <dgm:param type="ar" val="1"/>
        </dgm:alg>
      </dgm:if>
      <dgm:if name="Name2" axis="ch" ptType="node" func="cnt" op="equ" val="2">
        <dgm:alg type="composite">
          <dgm:param type="ar" val="1.792"/>
        </dgm:alg>
      </dgm:if>
      <dgm:if name="Name3" axis="ch" ptType="node" func="cnt" op="equ" val="3">
        <dgm:alg type="composite">
          <dgm:param type="ar" val="1"/>
        </dgm:alg>
      </dgm:if>
      <dgm:if name="Name4" axis="ch" ptType="node" func="cnt" op="equ" val="4">
        <dgm:alg type="composite">
          <dgm:param type="ar" val="1"/>
        </dgm:alg>
      </dgm:if>
      <dgm:if name="Name5" axis="ch" ptType="node" func="cnt" op="equ" val="5">
        <dgm:alg type="composite">
          <dgm:param type="ar" val="1.4"/>
        </dgm:alg>
      </dgm:if>
      <dgm:if name="Name6" axis="ch" ptType="node" func="cnt" op="equ" val="6">
        <dgm:alg type="composite">
          <dgm:param type="ar" val="1.285"/>
        </dgm:alg>
      </dgm:if>
      <dgm:if name="Name7" axis="ch" ptType="node" func="cnt" op="equ" val="7">
        <dgm:alg type="composite">
          <dgm:param type="ar" val="1.359"/>
        </dgm:alg>
      </dgm:if>
      <dgm:else name="Name8">
        <dgm:alg type="composite">
          <dgm:param type="ar" val="1.359"/>
        </dgm:alg>
      </dgm:else>
    </dgm:choose>
    <dgm:shape xmlns:r="http://schemas.openxmlformats.org/officeDocument/2006/relationships" r:blip="">
      <dgm:adjLst/>
    </dgm:shape>
    <dgm:presOf/>
    <dgm:choose name="Name9">
      <dgm:if name="Name10" axis="ch" ptType="node" func="cnt" op="equ" val="1">
        <dgm:constrLst>
          <dgm:constr type="ctrX" for="ch" forName="circ1TxSh" refType="w" fact="0.5"/>
          <dgm:constr type="ctrY" for="ch" forName="circ1TxSh" refType="h" fact="0.5"/>
          <dgm:constr type="w" for="ch" forName="circ1TxSh" refType="w"/>
          <dgm:constr type="h" for="ch" forName="circ1TxSh" refType="h"/>
          <dgm:constr type="primFontSz" for="ch" ptType="node" op="equ"/>
        </dgm:constrLst>
      </dgm:if>
      <dgm:if name="Name11" axis="ch" ptType="node" func="cnt" op="equ" val="2">
        <dgm:constrLst>
          <dgm:constr type="ctrX" for="ch" forName="circ1" refType="w" fact="0.3"/>
          <dgm:constr type="ctrY" for="ch" forName="circ1" refType="h" fact="0.5"/>
          <dgm:constr type="w" for="ch" forName="circ1" refType="w" fact="0.555"/>
          <dgm:constr type="h" for="ch" forName="circ1" refType="h" fact="0.99456"/>
          <dgm:constr type="l" for="ch" forName="circ1Tx" refType="w" fact="0.1"/>
          <dgm:constr type="t" for="ch" forName="circ1Tx" refType="h" fact="0.12"/>
          <dgm:constr type="w" for="ch" forName="circ1Tx" refType="w" fact="0.32"/>
          <dgm:constr type="h" for="ch" forName="circ1Tx" refType="h" fact="0.76"/>
          <dgm:constr type="ctrX" for="ch" forName="circ2" refType="w" fact="0.7"/>
          <dgm:constr type="ctrY" for="ch" forName="circ2" refType="h" fact="0.5"/>
          <dgm:constr type="w" for="ch" forName="circ2" refType="w" fact="0.555"/>
          <dgm:constr type="h" for="ch" forName="circ2" refType="h" fact="0.99456"/>
          <dgm:constr type="l" for="ch" forName="circ2Tx" refType="w" fact="0.58"/>
          <dgm:constr type="t" for="ch" forName="circ2Tx" refType="h" fact="0.12"/>
          <dgm:constr type="w" for="ch" forName="circ2Tx" refType="w" fact="0.32"/>
          <dgm:constr type="h" for="ch" forName="circ2Tx" refType="h" fact="0.76"/>
          <dgm:constr type="primFontSz" for="ch" ptType="node" op="equ"/>
        </dgm:constrLst>
      </dgm:if>
      <dgm:if name="Name12" axis="ch" ptType="node" func="cnt" op="equ" val="3">
        <dgm:constrLst>
          <dgm:constr type="ctrX" for="ch" forName="circ1" refType="w" fact="0.5"/>
          <dgm:constr type="ctrY" for="ch" forName="circ1" refType="w" fact="0.25"/>
          <dgm:constr type="w" for="ch" forName="circ1" refType="w" fact="0.6"/>
          <dgm:constr type="h" for="ch" forName="circ1" refType="h" fact="0.6"/>
          <dgm:constr type="l" for="ch" forName="circ1Tx" refType="w" fact="0.28"/>
          <dgm:constr type="t" for="ch" forName="circ1Tx" refType="h" fact="0.055"/>
          <dgm:constr type="w" for="ch" forName="circ1Tx" refType="w" fact="0.44"/>
          <dgm:constr type="h" for="ch" forName="circ1Tx" refType="h" fact="0.27"/>
          <dgm:constr type="ctrX" for="ch" forName="circ2" refType="w" fact="0.7165"/>
          <dgm:constr type="ctrY" for="ch" forName="circ2" refType="w" fact="0.625"/>
          <dgm:constr type="w" for="ch" forName="circ2" refType="w" fact="0.6"/>
          <dgm:constr type="h" for="ch" forName="circ2" refType="h" fact="0.6"/>
          <dgm:constr type="l" for="ch" forName="circ2Tx" refType="w" fact="0.6"/>
          <dgm:constr type="t" for="ch" forName="circ2Tx" refType="h" fact="0.48"/>
          <dgm:constr type="w" for="ch" forName="circ2Tx" refType="w" fact="0.36"/>
          <dgm:constr type="h" for="ch" forName="circ2Tx" refType="h" fact="0.33"/>
          <dgm:constr type="ctrX" for="ch" forName="circ3" refType="w" fact="0.2835"/>
          <dgm:constr type="ctrY" for="ch" forName="circ3" refType="w" fact="0.625"/>
          <dgm:constr type="w" for="ch" forName="circ3" refType="w" fact="0.6"/>
          <dgm:constr type="h" for="ch" forName="circ3" refType="h" fact="0.6"/>
          <dgm:constr type="l" for="ch" forName="circ3Tx" refType="w" fact="0.04"/>
          <dgm:constr type="t" for="ch" forName="circ3Tx" refType="h" fact="0.48"/>
          <dgm:constr type="w" for="ch" forName="circ3Tx" refType="w" fact="0.36"/>
          <dgm:constr type="h" for="ch" forName="circ3Tx" refType="h" fact="0.33"/>
          <dgm:constr type="primFontSz" for="ch" ptType="node" op="equ"/>
        </dgm:constrLst>
      </dgm:if>
      <dgm:if name="Name13" axis="ch" ptType="node" func="cnt" op="equ" val="4">
        <dgm:constrLst>
          <dgm:constr type="ctrX" for="ch" forName="circ1" refType="w" fact="0.5"/>
          <dgm:constr type="ctrY" for="ch" forName="circ1" refType="w" fact="0.27"/>
          <dgm:constr type="w" for="ch" forName="circ1" refType="w" fact="0.52"/>
          <dgm:constr type="h" for="ch" forName="circ1" refType="h" fact="0.52"/>
          <dgm:constr type="l" for="ch" forName="circ1Tx" refType="w" fact="0.3"/>
          <dgm:constr type="t" for="ch" forName="circ1Tx" refType="h" fact="0.08"/>
          <dgm:constr type="w" for="ch" forName="circ1Tx" refType="w" fact="0.4"/>
          <dgm:constr type="h" for="ch" forName="circ1Tx" refType="h" fact="0.165"/>
          <dgm:constr type="ctrX" for="ch" forName="circ2" refType="w" fact="0.73"/>
          <dgm:constr type="ctrY" for="ch" forName="circ2" refType="w" fact="0.5"/>
          <dgm:constr type="w" for="ch" forName="circ2" refType="w" fact="0.52"/>
          <dgm:constr type="h" for="ch" forName="circ2" refType="h" fact="0.52"/>
          <dgm:constr type="r" for="ch" forName="circ2Tx" refType="w" fact="0.95"/>
          <dgm:constr type="t" for="ch" forName="circ2Tx" refType="h" fact="0.3"/>
          <dgm:constr type="w" for="ch" forName="circ2Tx" refType="w" fact="0.2"/>
          <dgm:constr type="h" for="ch" forName="circ2Tx" refType="h" fact="0.4"/>
          <dgm:constr type="ctrX" for="ch" forName="circ3" refType="w" fact="0.5"/>
          <dgm:constr type="ctrY" for="ch" forName="circ3" refType="w" fact="0.73"/>
          <dgm:constr type="w" for="ch" forName="circ3" refType="w" fact="0.52"/>
          <dgm:constr type="h" for="ch" forName="circ3" refType="h" fact="0.52"/>
          <dgm:constr type="l" for="ch" forName="circ3Tx" refType="w" fact="0.3"/>
          <dgm:constr type="b" for="ch" forName="circ3Tx" refType="h" fact="0.92"/>
          <dgm:constr type="w" for="ch" forName="circ3Tx" refType="w" fact="0.4"/>
          <dgm:constr type="h" for="ch" forName="circ3Tx" refType="h" fact="0.165"/>
          <dgm:constr type="ctrX" for="ch" forName="circ4" refType="w" fact="0.27"/>
          <dgm:constr type="ctrY" for="ch" forName="circ4" refType="h" fact="0.5"/>
          <dgm:constr type="w" for="ch" forName="circ4" refType="w" fact="0.52"/>
          <dgm:constr type="h" for="ch" forName="circ4" refType="h" fact="0.52"/>
          <dgm:constr type="l" for="ch" forName="circ4Tx" refType="w" fact="0.05"/>
          <dgm:constr type="t" for="ch" forName="circ4Tx" refType="h" fact="0.3"/>
          <dgm:constr type="w" for="ch" forName="circ4Tx" refType="w" fact="0.2"/>
          <dgm:constr type="h" for="ch" forName="circ4Tx" refType="h" fact="0.4"/>
          <dgm:constr type="primFontSz" for="ch" ptType="node" op="equ"/>
        </dgm:constrLst>
      </dgm:if>
      <dgm:if name="Name14" axis="ch" ptType="node" func="cnt" op="equ" val="5">
        <dgm:constrLst>
          <dgm:constr type="ctrX" for="ch" forName="circ1" refType="w" fact="0.5"/>
          <dgm:constr type="ctrY" for="ch" forName="circ1" refType="h" fact="0.46"/>
          <dgm:constr type="w" for="ch" forName="circ1" refType="w" fact="0.25"/>
          <dgm:constr type="h" for="ch" forName="circ1" refType="h" fact="0.35"/>
          <dgm:constr type="l" for="ch" forName="circ1Tx" refType="w" fact="0.355"/>
          <dgm:constr type="t" for="ch" forName="circ1Tx"/>
          <dgm:constr type="w" for="ch" forName="circ1Tx" refType="w" fact="0.29"/>
          <dgm:constr type="h" for="ch" forName="circ1Tx" refType="h" fact="0.235"/>
          <dgm:constr type="ctrX" for="ch" forName="circ2" refType="w" fact="0.5951"/>
          <dgm:constr type="ctrY" for="ch" forName="circ2" refType="h" fact="0.5567"/>
          <dgm:constr type="w" for="ch" forName="circ2" refType="w" fact="0.25"/>
          <dgm:constr type="h" for="ch" forName="circ2" refType="h" fact="0.35"/>
          <dgm:constr type="l" for="ch" forName="circ2Tx" refType="w" fact="0.74"/>
          <dgm:constr type="t" for="ch" forName="circ2Tx" refType="h" fact="0.31"/>
          <dgm:constr type="w" for="ch" forName="circ2Tx" refType="w" fact="0.26"/>
          <dgm:constr type="h" for="ch" forName="circ2Tx" refType="h" fact="0.255"/>
          <dgm:constr type="ctrX" for="ch" forName="circ3" refType="w" fact="0.5588"/>
          <dgm:constr type="ctrY" for="ch" forName="circ3" refType="h" fact="0.7133"/>
          <dgm:constr type="w" for="ch" forName="circ3" refType="w" fact="0.25"/>
          <dgm:constr type="h" for="ch" forName="circ3" refType="h" fact="0.35"/>
          <dgm:constr type="l" for="ch" forName="circ3Tx" refType="w" fact="0.7"/>
          <dgm:constr type="t" for="ch" forName="circ3Tx" refType="h" fact="0.745"/>
          <dgm:constr type="w" for="ch" forName="circ3Tx" refType="w" fact="0.26"/>
          <dgm:constr type="h" for="ch" forName="circ3Tx" refType="h" fact="0.255"/>
          <dgm:constr type="ctrX" for="ch" forName="circ4" refType="w" fact="0.4412"/>
          <dgm:constr type="ctrY" for="ch" forName="circ4" refType="h" fact="0.7133"/>
          <dgm:constr type="w" for="ch" forName="circ4" refType="w" fact="0.25"/>
          <dgm:constr type="h" for="ch" forName="circ4" refType="h" fact="0.35"/>
          <dgm:constr type="l" for="ch" forName="circ4Tx" refType="w" fact="0.04"/>
          <dgm:constr type="t" for="ch" forName="circ4Tx" refType="h" fact="0.745"/>
          <dgm:constr type="w" for="ch" forName="circ4Tx" refType="w" fact="0.26"/>
          <dgm:constr type="h" for="ch" forName="circ4Tx" refType="h" fact="0.255"/>
          <dgm:constr type="ctrX" for="ch" forName="circ5" refType="w" fact="0.4049"/>
          <dgm:constr type="ctrY" for="ch" forName="circ5" refType="h" fact="0.5567"/>
          <dgm:constr type="w" for="ch" forName="circ5" refType="w" fact="0.25"/>
          <dgm:constr type="h" for="ch" forName="circ5" refType="h" fact="0.35"/>
          <dgm:constr type="l" for="ch" forName="circ5Tx"/>
          <dgm:constr type="t" for="ch" forName="circ5Tx" refType="h" fact="0.31"/>
          <dgm:constr type="w" for="ch" forName="circ5Tx" refType="w" fact="0.26"/>
          <dgm:constr type="h" for="ch" forName="circ5Tx" refType="h" fact="0.255"/>
          <dgm:constr type="primFontSz" for="ch" ptType="node" op="equ"/>
        </dgm:constrLst>
      </dgm:if>
      <dgm:if name="Name15" axis="ch" ptType="node" func="cnt" op="equ" val="6">
        <dgm:constrLst>
          <dgm:constr type="ctrX" for="ch" forName="circ1" refType="w" fact="0.5"/>
          <dgm:constr type="ctrY" for="ch" forName="circ1" refType="h" fact="0.3844"/>
          <dgm:constr type="w" for="ch" forName="circ1" refType="w" fact="0.24"/>
          <dgm:constr type="h" for="ch" forName="circ1" refType="h" fact="0.3084"/>
          <dgm:constr type="l" for="ch" forName="circ1Tx" refType="w" fact="0.35"/>
          <dgm:constr type="t" for="ch" forName="circ1Tx"/>
          <dgm:constr type="w" for="ch" forName="circ1Tx" refType="w" fact="0.3"/>
          <dgm:constr type="h" for="ch" forName="circ1Tx" refType="h" fact="0.21"/>
          <dgm:constr type="ctrX" for="ch" forName="circ2" refType="w" fact="0.5779"/>
          <dgm:constr type="ctrY" for="ch" forName="circ2" refType="h" fact="0.4422"/>
          <dgm:constr type="w" for="ch" forName="circ2" refType="w" fact="0.24"/>
          <dgm:constr type="h" for="ch" forName="circ2" refType="h" fact="0.3084"/>
          <dgm:constr type="l" for="ch" forName="circ2Tx" refType="w" fact="0.7157"/>
          <dgm:constr type="t" for="ch" forName="circ2Tx" refType="h" fact="0.2"/>
          <dgm:constr type="w" for="ch" forName="circ2Tx" refType="w" fact="0.2843"/>
          <dgm:constr type="h" for="ch" forName="circ2Tx" refType="h" fact="0.23"/>
          <dgm:constr type="ctrX" for="ch" forName="circ3" refType="w" fact="0.5779"/>
          <dgm:constr type="ctrY" for="ch" forName="circ3" refType="h" fact="0.5578"/>
          <dgm:constr type="w" for="ch" forName="circ3" refType="w" fact="0.24"/>
          <dgm:constr type="h" for="ch" forName="circ3" refType="h" fact="0.3084"/>
          <dgm:constr type="l" for="ch" forName="circ3Tx" refType="w" fact="0.7157"/>
          <dgm:constr type="t" for="ch" forName="circ3Tx" refType="h" fact="0.543"/>
          <dgm:constr type="w" for="ch" forName="circ3Tx" refType="w" fact="0.2843"/>
          <dgm:constr type="h" for="ch" forName="circ3Tx" refType="h" fact="0.257"/>
          <dgm:constr type="ctrX" for="ch" forName="circ4" refType="w" fact="0.5"/>
          <dgm:constr type="ctrY" for="ch" forName="circ4" refType="h" fact="0.6157"/>
          <dgm:constr type="w" for="ch" forName="circ4" refType="w" fact="0.24"/>
          <dgm:constr type="h" for="ch" forName="circ4" refType="h" fact="0.3084"/>
          <dgm:constr type="l" for="ch" forName="circ4Tx" refType="w" fact="0.35"/>
          <dgm:constr type="t" for="ch" forName="circ4Tx" refType="h" fact="0.79"/>
          <dgm:constr type="w" for="ch" forName="circ4Tx" refType="w" fact="0.3"/>
          <dgm:constr type="h" for="ch" forName="circ4Tx" refType="h" fact="0.21"/>
          <dgm:constr type="ctrX" for="ch" forName="circ5" refType="w" fact="0.4221"/>
          <dgm:constr type="ctrY" for="ch" forName="circ5" refType="h" fact="0.5578"/>
          <dgm:constr type="w" for="ch" forName="circ5" refType="w" fact="0.24"/>
          <dgm:constr type="h" for="ch" forName="circ5" refType="h" fact="0.3084"/>
          <dgm:constr type="l" for="ch" forName="circ5Tx" refType="w" fact="0"/>
          <dgm:constr type="t" for="ch" forName="circ5Tx" refType="h" fact="0.543"/>
          <dgm:constr type="w" for="ch" forName="circ5Tx" refType="w" fact="0.2843"/>
          <dgm:constr type="h" for="ch" forName="circ5Tx" refType="h" fact="0.257"/>
          <dgm:constr type="ctrX" for="ch" forName="circ6" refType="w" fact="0.4221"/>
          <dgm:constr type="ctrY" for="ch" forName="circ6" refType="h" fact="0.4422"/>
          <dgm:constr type="w" for="ch" forName="circ6" refType="w" fact="0.24"/>
          <dgm:constr type="h" for="ch" forName="circ6" refType="h" fact="0.3084"/>
          <dgm:constr type="l" for="ch" forName="circ6Tx" refType="w" fact="0"/>
          <dgm:constr type="t" for="ch" forName="circ6Tx" refType="h" fact="0.2"/>
          <dgm:constr type="w" for="ch" forName="circ6Tx" refType="w" fact="0.2843"/>
          <dgm:constr type="h" for="ch" forName="circ6Tx" refType="h" fact="0.257"/>
          <dgm:constr type="primFontSz" for="ch" ptType="node" op="equ"/>
        </dgm:constrLst>
      </dgm:if>
      <dgm:else name="Name16">
        <dgm:constrLst>
          <dgm:constr type="ctrX" for="ch" forName="circ1" refType="w" fact="0.5"/>
          <dgm:constr type="ctrY" for="ch" forName="circ1" refType="h" fact="0.4177"/>
          <dgm:constr type="w" for="ch" forName="circ1" refType="w" fact="0.24"/>
          <dgm:constr type="h" for="ch" forName="circ1" refType="h" fact="0.3262"/>
          <dgm:constr type="l" for="ch" forName="circ1Tx" refType="w" fact="0.3625"/>
          <dgm:constr type="t" for="ch" forName="circ1Tx"/>
          <dgm:constr type="w" for="ch" forName="circ1Tx" refType="w" fact="0.275"/>
          <dgm:constr type="h" for="ch" forName="circ1Tx" refType="h" fact="0.2"/>
          <dgm:constr type="ctrX" for="ch" forName="circ2" refType="w" fact="0.5704"/>
          <dgm:constr type="ctrY" for="ch" forName="circ2" refType="h" fact="0.4637"/>
          <dgm:constr type="w" for="ch" forName="circ2" refType="w" fact="0.24"/>
          <dgm:constr type="h" for="ch" forName="circ2" refType="h" fact="0.3262"/>
          <dgm:constr type="l" for="ch" forName="circ2Tx" refType="w" fact="0.72"/>
          <dgm:constr type="t" for="ch" forName="circ2Tx" refType="h" fact="0.19"/>
          <dgm:constr type="w" for="ch" forName="circ2Tx" refType="w" fact="0.26"/>
          <dgm:constr type="h" for="ch" forName="circ2Tx" refType="h" fact="0.22"/>
          <dgm:constr type="ctrX" for="ch" forName="circ3" refType="w" fact="0.5877"/>
          <dgm:constr type="ctrY" for="ch" forName="circ3" refType="h" fact="0.5672"/>
          <dgm:constr type="w" for="ch" forName="circ3" refType="w" fact="0.24"/>
          <dgm:constr type="h" for="ch" forName="circ3" refType="h" fact="0.3262"/>
          <dgm:constr type="l" for="ch" forName="circ3Tx" refType="w" fact="0.745"/>
          <dgm:constr type="t" for="ch" forName="circ3Tx" refType="h" fact="0.47"/>
          <dgm:constr type="w" for="ch" forName="circ3Tx" refType="w" fact="0.255"/>
          <dgm:constr type="h" for="ch" forName="circ3Tx" refType="h" fact="0.235"/>
          <dgm:constr type="ctrX" for="ch" forName="circ4" refType="w" fact="0.539"/>
          <dgm:constr type="ctrY" for="ch" forName="circ4" refType="h" fact="0.6502"/>
          <dgm:constr type="w" for="ch" forName="circ4" refType="w" fact="0.24"/>
          <dgm:constr type="h" for="ch" forName="circ4" refType="h" fact="0.3262"/>
          <dgm:constr type="l" for="ch" forName="circ4Tx" refType="w" fact="0.635"/>
          <dgm:constr type="t" for="ch" forName="circ4Tx" refType="h" fact="0.785"/>
          <dgm:constr type="w" for="ch" forName="circ4Tx" refType="w" fact="0.275"/>
          <dgm:constr type="h" for="ch" forName="circ4Tx" refType="h" fact="0.215"/>
          <dgm:constr type="ctrX" for="ch" forName="circ5" refType="w" fact="0.461"/>
          <dgm:constr type="ctrY" for="ch" forName="circ5" refType="h" fact="0.6502"/>
          <dgm:constr type="w" for="ch" forName="circ5" refType="w" fact="0.24"/>
          <dgm:constr type="h" for="ch" forName="circ5" refType="h" fact="0.3262"/>
          <dgm:constr type="l" for="ch" forName="circ5Tx" refType="w" fact="0.09"/>
          <dgm:constr type="t" for="ch" forName="circ5Tx" refType="h" fact="0.785"/>
          <dgm:constr type="w" for="ch" forName="circ5Tx" refType="w" fact="0.275"/>
          <dgm:constr type="h" for="ch" forName="circ5Tx" refType="h" fact="0.215"/>
          <dgm:constr type="ctrX" for="ch" forName="circ6" refType="w" fact="0.4123"/>
          <dgm:constr type="ctrY" for="ch" forName="circ6" refType="h" fact="0.5672"/>
          <dgm:constr type="w" for="ch" forName="circ6" refType="w" fact="0.24"/>
          <dgm:constr type="h" for="ch" forName="circ6" refType="h" fact="0.3262"/>
          <dgm:constr type="l" for="ch" forName="circ6Tx"/>
          <dgm:constr type="t" for="ch" forName="circ6Tx" refType="h" fact="0.47"/>
          <dgm:constr type="w" for="ch" forName="circ6Tx" refType="w" fact="0.255"/>
          <dgm:constr type="h" for="ch" forName="circ6Tx" refType="h" fact="0.235"/>
          <dgm:constr type="ctrX" for="ch" forName="circ7" refType="w" fact="0.4296"/>
          <dgm:constr type="ctrY" for="ch" forName="circ7" refType="h" fact="0.4637"/>
          <dgm:constr type="w" for="ch" forName="circ7" refType="w" fact="0.24"/>
          <dgm:constr type="h" for="ch" forName="circ7" refType="h" fact="0.3262"/>
          <dgm:constr type="l" for="ch" forName="circ7Tx" refType="w" fact="0.02"/>
          <dgm:constr type="t" for="ch" forName="circ7Tx" refType="h" fact="0.19"/>
          <dgm:constr type="w" for="ch" forName="circ7Tx" refType="w" fact="0.26"/>
          <dgm:constr type="h" for="ch" forName="circ7Tx" refType="h" fact="0.22"/>
          <dgm:constr type="primFontSz" for="ch" ptType="node" op="equ"/>
        </dgm:constrLst>
      </dgm:else>
    </dgm:choose>
    <dgm:ruleLst/>
    <dgm:forEach name="Name17" axis="ch" ptType="node" cnt="1">
      <dgm:choose name="Name18">
        <dgm:if name="Name19" axis="root ch" ptType="all node" func="cnt" op="equ" val="1">
          <dgm:layoutNode name="circ1TxSh" styleLbl="vennNode1">
            <dgm:alg type="tx">
              <dgm:param type="txAnchorHorzCh" val="ctr"/>
              <dgm:param type="txAnchorVertCh" val="mid"/>
            </dgm:alg>
            <dgm:shape xmlns:r="http://schemas.openxmlformats.org/officeDocument/2006/relationships" type="ellipse" r:blip="">
              <dgm:adjLst/>
            </dgm:shape>
            <dgm:choose name="Name20">
              <dgm:if name="Name21" func="var" arg="dir" op="equ" val="norm">
                <dgm:choose name="Name22">
                  <dgm:if name="Name23" axis="root ch" ptType="all node" func="cnt" op="lte" val="4">
                    <dgm:presOf axis="desOrSelf" ptType="node"/>
                  </dgm:if>
                  <dgm:else name="Name24">
                    <dgm:presOf/>
                  </dgm:else>
                </dgm:choose>
              </dgm:if>
              <dgm:else name="Name25">
                <dgm:choose name="Name26">
                  <dgm:if name="Name27" axis="root ch" ptType="all node" func="cnt" op="equ" val="2">
                    <dgm:presOf axis="root ch desOrSelf" ptType="all node node" st="1 2 1" cnt="1 1 0"/>
                  </dgm:if>
                  <dgm:else name="Name28">
                    <dgm:presOf axis="desOrSelf" ptType="node"/>
                  </dgm:else>
                </dgm:choose>
              </dgm:else>
            </dgm:choose>
            <dgm:constrLst>
              <dgm:constr type="tMarg"/>
              <dgm:constr type="bMarg"/>
              <dgm:constr type="lMarg"/>
              <dgm:constr type="rMarg"/>
              <dgm:constr type="primFontSz" val="65"/>
            </dgm:constrLst>
            <dgm:ruleLst>
              <dgm:rule type="primFontSz" val="5" fact="NaN" max="NaN"/>
            </dgm:ruleLst>
          </dgm:layoutNode>
        </dgm:if>
        <dgm:else name="Name29">
          <dgm:layoutNode name="circ1" styleLbl="vennNode1">
            <dgm:alg type="sp"/>
            <dgm:shape xmlns:r="http://schemas.openxmlformats.org/officeDocument/2006/relationships" type="ellipse" r:blip="">
              <dgm:adjLst/>
            </dgm:shape>
            <dgm:choose name="Name30">
              <dgm:if name="Name31" func="var" arg="dir" op="equ" val="norm">
                <dgm:choose name="Name32">
                  <dgm:if name="Name33" axis="root ch" ptType="all node" func="cnt" op="lte" val="4">
                    <dgm:presOf axis="desOrSelf" ptType="node"/>
                  </dgm:if>
                  <dgm:else name="Name34">
                    <dgm:presOf/>
                  </dgm:else>
                </dgm:choose>
              </dgm:if>
              <dgm:else name="Name35">
                <dgm:choose name="Name36">
                  <dgm:if name="Name37" axis="root ch" ptType="all node" func="cnt" op="equ" val="2">
                    <dgm:presOf axis="root ch desOrSelf" ptType="all node node" st="1 2 1" cnt="1 1 0"/>
                  </dgm:if>
                  <dgm:else name="Name38">
                    <dgm:choose name="Name39">
                      <dgm:if name="Name40" axis="root ch" ptType="all node" func="cnt" op="lte" val="4">
                        <dgm:presOf axis="desOrSelf" ptType="node"/>
                      </dgm:if>
                      <dgm:else name="Name41">
                        <dgm:presOf/>
                      </dgm:else>
                    </dgm:choose>
                  </dgm:else>
                </dgm:choose>
              </dgm:else>
            </dgm:choose>
            <dgm:constrLst/>
            <dgm:ruleLst/>
          </dgm:layoutNode>
          <dgm:layoutNode name="circ1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42">
              <dgm:if name="Name43" func="var" arg="dir" op="equ" val="norm">
                <dgm:presOf axis="desOrSelf" ptType="node"/>
              </dgm:if>
              <dgm:else name="Name44">
                <dgm:choose name="Name45">
                  <dgm:if name="Name46" axis="root ch" ptType="all node" func="cnt" op="equ" val="2">
                    <dgm:presOf axis="root ch desOrSelf" ptType="all node node" st="1 2 1" cnt="1 1 0"/>
                  </dgm:if>
                  <dgm:else name="Name47">
                    <dgm:presOf axis="desOrSelf" ptType="node"/>
                  </dgm:else>
                </dgm:choose>
              </dgm:else>
            </dgm:choose>
            <dgm:constrLst>
              <dgm:constr type="tMarg"/>
              <dgm:constr type="bMarg"/>
              <dgm:constr type="lMarg"/>
              <dgm:constr type="rMarg"/>
              <dgm:constr type="primFontSz" val="65"/>
            </dgm:constrLst>
            <dgm:ruleLst>
              <dgm:rule type="primFontSz" val="5" fact="NaN" max="NaN"/>
            </dgm:ruleLst>
          </dgm:layoutNode>
        </dgm:else>
      </dgm:choose>
    </dgm:forEach>
    <dgm:forEach name="Name48" axis="ch" ptType="node" st="2" cnt="1">
      <dgm:layoutNode name="circ2" styleLbl="vennNode1">
        <dgm:alg type="sp"/>
        <dgm:shape xmlns:r="http://schemas.openxmlformats.org/officeDocument/2006/relationships" type="ellipse" r:blip="">
          <dgm:adjLst/>
        </dgm:shape>
        <dgm:choose name="Name49">
          <dgm:if name="Name50" func="var" arg="dir" op="equ" val="norm">
            <dgm:choose name="Name51">
              <dgm:if name="Name52" axis="root ch" ptType="all node" func="cnt" op="lte" val="4">
                <dgm:presOf axis="desOrSelf" ptType="node"/>
              </dgm:if>
              <dgm:else name="Name53">
                <dgm:presOf/>
              </dgm:else>
            </dgm:choose>
          </dgm:if>
          <dgm:else name="Name54">
            <dgm:choose name="Name55">
              <dgm:if name="Name56" axis="root ch" ptType="all node" func="cnt" op="equ" val="2">
                <dgm:presOf axis="root ch desOrSelf" ptType="all node node" st="1 1 1" cnt="1 1 0"/>
              </dgm:if>
              <dgm:if name="Name57" axis="root ch" ptType="all node" func="cnt" op="equ" val="3">
                <dgm:presOf axis="root ch desOrSelf" ptType="all node node" st="1 3 1" cnt="1 1 0"/>
              </dgm:if>
              <dgm:if name="Name58" axis="root ch" ptType="all node" func="cnt" op="equ" val="4">
                <dgm:presOf axis="root ch desOrSelf" ptType="all node node" st="1 4 1" cnt="1 1 0"/>
              </dgm:if>
              <dgm:else name="Name59">
                <dgm:presOf/>
              </dgm:else>
            </dgm:choose>
          </dgm:else>
        </dgm:choose>
        <dgm:constrLst/>
        <dgm:ruleLst/>
      </dgm:layoutNode>
      <dgm:layoutNode name="circ2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60">
          <dgm:if name="Name61" func="var" arg="dir" op="equ" val="norm">
            <dgm:presOf axis="desOrSelf" ptType="node"/>
          </dgm:if>
          <dgm:else name="Name62">
            <dgm:choose name="Name63">
              <dgm:if name="Name64" axis="root ch" ptType="all node" func="cnt" op="equ" val="2">
                <dgm:presOf axis="root ch desOrSelf" ptType="all node node" st="1 1 1" cnt="1 1 0"/>
              </dgm:if>
              <dgm:if name="Name65" axis="root ch" ptType="all node" func="cnt" op="equ" val="3">
                <dgm:presOf axis="root ch desOrSelf" ptType="all node node" st="1 3 1" cnt="1 1 0"/>
              </dgm:if>
              <dgm:if name="Name66" axis="root ch" ptType="all node" func="cnt" op="equ" val="4">
                <dgm:presOf axis="root ch desOrSelf" ptType="all node node" st="1 4 1" cnt="1 1 0"/>
              </dgm:if>
              <dgm:if name="Name67" axis="root ch" ptType="all node" func="cnt" op="equ" val="5">
                <dgm:presOf axis="root ch desOrSelf" ptType="all node node" st="1 5 1" cnt="1 1 0"/>
              </dgm:if>
              <dgm:if name="Name68" axis="root ch" ptType="all node" func="cnt" op="equ" val="6">
                <dgm:presOf axis="root ch desOrSelf" ptType="all node node" st="1 6 1" cnt="1 1 0"/>
              </dgm:if>
              <dgm:else name="Name69">
                <dgm:presOf axis="root ch desOrSelf" ptType="all node node" st="1 7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70" axis="ch" ptType="node" st="3" cnt="1">
      <dgm:layoutNode name="circ3" styleLbl="vennNode1">
        <dgm:alg type="sp"/>
        <dgm:shape xmlns:r="http://schemas.openxmlformats.org/officeDocument/2006/relationships" type="ellipse" r:blip="">
          <dgm:adjLst/>
        </dgm:shape>
        <dgm:choose name="Name71">
          <dgm:if name="Name72" func="var" arg="dir" op="equ" val="norm">
            <dgm:choose name="Name73">
              <dgm:if name="Name74" axis="root ch" ptType="all node" func="cnt" op="lte" val="4">
                <dgm:presOf axis="desOrSelf" ptType="node"/>
              </dgm:if>
              <dgm:else name="Name75">
                <dgm:presOf/>
              </dgm:else>
            </dgm:choose>
          </dgm:if>
          <dgm:else name="Name76">
            <dgm:choose name="Name77">
              <dgm:if name="Name78" axis="root ch" ptType="all node" func="cnt" op="equ" val="3">
                <dgm:presOf axis="root ch desOrSelf" ptType="all node node" st="1 2 1" cnt="1 1 0"/>
              </dgm:if>
              <dgm:if name="Name79" axis="root ch" ptType="all node" func="cnt" op="equ" val="4">
                <dgm:presOf axis="root ch desOrSelf" ptType="all node node" st="1 3 1" cnt="1 1 0"/>
              </dgm:if>
              <dgm:else name="Name80">
                <dgm:presOf/>
              </dgm:else>
            </dgm:choose>
          </dgm:else>
        </dgm:choose>
        <dgm:constrLst/>
        <dgm:ruleLst/>
      </dgm:layoutNode>
      <dgm:layoutNode name="circ3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81">
          <dgm:if name="Name82" func="var" arg="dir" op="equ" val="norm">
            <dgm:presOf axis="desOrSelf" ptType="node"/>
          </dgm:if>
          <dgm:else name="Name83">
            <dgm:choose name="Name84">
              <dgm:if name="Name85" axis="root ch" ptType="all node" func="cnt" op="equ" val="3">
                <dgm:presOf axis="root ch desOrSelf" ptType="all node node" st="1 2 1" cnt="1 1 0"/>
              </dgm:if>
              <dgm:if name="Name86" axis="root ch" ptType="all node" func="cnt" op="equ" val="4">
                <dgm:presOf axis="root ch desOrSelf" ptType="all node node" st="1 3 1" cnt="1 1 0"/>
              </dgm:if>
              <dgm:if name="Name87" axis="root ch" ptType="all node" func="cnt" op="equ" val="5">
                <dgm:presOf axis="root ch desOrSelf" ptType="all node node" st="1 4 1" cnt="1 1 0"/>
              </dgm:if>
              <dgm:if name="Name88" axis="root ch" ptType="all node" func="cnt" op="equ" val="6">
                <dgm:presOf axis="root ch desOrSelf" ptType="all node node" st="1 5 1" cnt="1 1 0"/>
              </dgm:if>
              <dgm:else name="Name89">
                <dgm:presOf axis="root ch desOrSelf" ptType="all node node" st="1 6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90" axis="ch" ptType="node" st="4" cnt="1">
      <dgm:layoutNode name="circ4" styleLbl="vennNode1">
        <dgm:alg type="sp"/>
        <dgm:shape xmlns:r="http://schemas.openxmlformats.org/officeDocument/2006/relationships" type="ellipse" r:blip="">
          <dgm:adjLst/>
        </dgm:shape>
        <dgm:choose name="Name91">
          <dgm:if name="Name92" func="var" arg="dir" op="equ" val="norm">
            <dgm:choose name="Name93">
              <dgm:if name="Name94" axis="root ch" ptType="all node" func="cnt" op="lte" val="4">
                <dgm:presOf axis="desOrSelf" ptType="node"/>
              </dgm:if>
              <dgm:else name="Name95">
                <dgm:presOf/>
              </dgm:else>
            </dgm:choose>
          </dgm:if>
          <dgm:else name="Name96">
            <dgm:choose name="Name97">
              <dgm:if name="Name98" axis="root ch" ptType="all node" func="cnt" op="equ" val="4">
                <dgm:presOf axis="root ch desOrSelf" ptType="all node node" st="1 2 1" cnt="1 1 0"/>
              </dgm:if>
              <dgm:else name="Name99">
                <dgm:presOf/>
              </dgm:else>
            </dgm:choose>
          </dgm:else>
        </dgm:choose>
        <dgm:constrLst/>
        <dgm:ruleLst/>
      </dgm:layoutNode>
      <dgm:layoutNode name="circ4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00">
          <dgm:if name="Name101" func="var" arg="dir" op="equ" val="norm">
            <dgm:presOf axis="desOrSelf" ptType="node"/>
          </dgm:if>
          <dgm:else name="Name102">
            <dgm:choose name="Name103">
              <dgm:if name="Name104" axis="root ch" ptType="all node" func="cnt" op="equ" val="4">
                <dgm:presOf axis="root ch desOrSelf" ptType="all node node" st="1 2 1" cnt="1 1 0"/>
              </dgm:if>
              <dgm:if name="Name105" axis="root ch" ptType="all node" func="cnt" op="equ" val="5">
                <dgm:presOf axis="root ch desOrSelf" ptType="all node node" st="1 3 1" cnt="1 1 0"/>
              </dgm:if>
              <dgm:if name="Name106" axis="root ch" ptType="all node" func="cnt" op="equ" val="6">
                <dgm:presOf axis="root ch desOrSelf" ptType="all node node" st="1 4 1" cnt="1 1 0"/>
              </dgm:if>
              <dgm:else name="Name107">
                <dgm:presOf axis="root ch desOrSelf" ptType="all node node" st="1 5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08" axis="ch" ptType="node" st="5" cnt="1">
      <dgm:layoutNode name="circ5" styleLbl="vennNode1">
        <dgm:alg type="sp"/>
        <dgm:shape xmlns:r="http://schemas.openxmlformats.org/officeDocument/2006/relationships" type="ellipse" r:blip="">
          <dgm:adjLst/>
        </dgm:shape>
        <dgm:presOf/>
        <dgm:constrLst/>
        <dgm:ruleLst/>
      </dgm:layoutNode>
      <dgm:layoutNode name="circ5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09">
          <dgm:if name="Name110" func="var" arg="dir" op="equ" val="norm">
            <dgm:presOf axis="desOrSelf" ptType="node"/>
          </dgm:if>
          <dgm:else name="Name111">
            <dgm:choose name="Name112">
              <dgm:if name="Name113" axis="root ch" ptType="all node" func="cnt" op="equ" val="5">
                <dgm:presOf axis="root ch desOrSelf" ptType="all node node" st="1 2 1" cnt="1 1 0"/>
              </dgm:if>
              <dgm:if name="Name114" axis="root ch" ptType="all node" func="cnt" op="equ" val="6">
                <dgm:presOf axis="root ch desOrSelf" ptType="all node node" st="1 3 1" cnt="1 1 0"/>
              </dgm:if>
              <dgm:else name="Name115">
                <dgm:presOf axis="root ch desOrSelf" ptType="all node node" st="1 4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16" axis="ch" ptType="node" st="6" cnt="1">
      <dgm:layoutNode name="circ6" styleLbl="vennNode1">
        <dgm:alg type="sp"/>
        <dgm:shape xmlns:r="http://schemas.openxmlformats.org/officeDocument/2006/relationships" type="ellipse" r:blip="">
          <dgm:adjLst/>
        </dgm:shape>
        <dgm:presOf/>
        <dgm:constrLst/>
        <dgm:ruleLst/>
      </dgm:layoutNode>
      <dgm:layoutNode name="circ6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17">
          <dgm:if name="Name118" func="var" arg="dir" op="equ" val="norm">
            <dgm:presOf axis="desOrSelf" ptType="node"/>
          </dgm:if>
          <dgm:else name="Name119">
            <dgm:choose name="Name120">
              <dgm:if name="Name121" axis="root ch" ptType="all node" func="cnt" op="equ" val="6">
                <dgm:presOf axis="root ch desOrSelf" ptType="all node node" st="1 2 1" cnt="1 1 0"/>
              </dgm:if>
              <dgm:else name="Name122">
                <dgm:presOf axis="root ch desOrSelf" ptType="all node node" st="1 3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23" axis="ch" ptType="node" st="7" cnt="1">
      <dgm:layoutNode name="circ7" styleLbl="vennNode1">
        <dgm:alg type="sp"/>
        <dgm:shape xmlns:r="http://schemas.openxmlformats.org/officeDocument/2006/relationships" type="ellipse" r:blip="">
          <dgm:adjLst/>
        </dgm:shape>
        <dgm:presOf/>
        <dgm:constrLst/>
        <dgm:ruleLst/>
      </dgm:layoutNode>
      <dgm:layoutNode name="circ7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24">
          <dgm:if name="Name125" func="var" arg="dir" op="equ" val="norm">
            <dgm:presOf axis="desOrSelf" ptType="node"/>
          </dgm:if>
          <dgm:else name="Name126">
            <dgm:presOf axis="root ch desOrSelf" ptType="all node node" st="1 2 1" cnt="1 1 0"/>
          </dgm:else>
        </dgm:choose>
        <dgm:constrLst>
          <dgm:constr type="tMarg"/>
          <dgm:constr type="bMarg"/>
          <dgm:constr type="lMarg"/>
          <dgm:constr type="rMarg"/>
          <dgm:constr type="primFontSz" val="65"/>
        </dgm:constrLst>
        <dgm:ruleLst>
          <dgm:rule type="primFontSz" val="5" fact="NaN" max="NaN"/>
        </dgm:ruleLst>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2580</Words>
  <Characters>14706</Characters>
  <Application>Microsoft Office Word</Application>
  <DocSecurity>0</DocSecurity>
  <Lines>122</Lines>
  <Paragraphs>34</Paragraphs>
  <ScaleCrop>false</ScaleCrop>
  <Company/>
  <LinksUpToDate>false</LinksUpToDate>
  <CharactersWithSpaces>17252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2023-02-01T18:29:00Z</dcterms:created>
  <dcterms:modified xsi:type="dcterms:W3CDTF">2023-02-01T18:29:00Z</dcterms:modified>
</cp:coreProperties>
</file>