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media/image2.svg" ContentType="image/svg+xml"/>
  <Override PartName="/word/media/image7.svg" ContentType="image/svg+xml"/>
  <Override PartName="/word/media/image9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/>
        <w:jc w:val="center"/>
        <w:rPr>
          <w:rFonts w:ascii="Calibri" w:hAnsi="Calibri" w:cs="Calibri"/>
          <w:snapToGrid w:val="0"/>
          <w:sz w:val="36"/>
          <w:szCs w:val="20"/>
        </w:rPr>
      </w:pPr>
      <w:r>
        <w:rPr>
          <w:rFonts w:ascii="Calibri" w:hAnsi="Calibri" w:eastAsia="Times New Roman" w:cs="Calibri"/>
          <w:b/>
          <w:sz w:val="48"/>
          <w:szCs w:val="48"/>
          <w:lang w:eastAsia="zh-Hans"/>
        </w:rPr>
        <w:t>Supplementary Information</w:t>
      </w:r>
    </w:p>
    <w:p>
      <w:pPr>
        <w:pStyle w:val="10"/>
        <w:jc w:val="both"/>
        <w:rPr>
          <w:rFonts w:asciiTheme="minorHAnsi" w:hAnsiTheme="minorHAnsi" w:cstheme="minorHAnsi"/>
          <w:snapToGrid w:val="0"/>
          <w:sz w:val="44"/>
          <w:szCs w:val="44"/>
        </w:rPr>
      </w:pPr>
      <w:r>
        <w:rPr>
          <w:rFonts w:asciiTheme="minorHAnsi" w:hAnsiTheme="minorHAnsi" w:cstheme="minorHAnsi"/>
          <w:snapToGrid w:val="0"/>
          <w:sz w:val="44"/>
          <w:szCs w:val="44"/>
        </w:rPr>
        <w:t xml:space="preserve">Detection of </w:t>
      </w:r>
      <w:bookmarkStart w:id="0" w:name="_Hlk124510176"/>
      <w:r>
        <w:rPr>
          <w:rFonts w:asciiTheme="minorHAnsi" w:hAnsiTheme="minorHAnsi" w:cstheme="minorHAnsi"/>
          <w:snapToGrid w:val="0"/>
          <w:sz w:val="44"/>
          <w:szCs w:val="44"/>
        </w:rPr>
        <w:t xml:space="preserve">Neuronal Defensive Discharges </w:t>
      </w:r>
      <w:bookmarkEnd w:id="0"/>
      <w:r>
        <w:rPr>
          <w:rFonts w:asciiTheme="minorHAnsi" w:hAnsiTheme="minorHAnsi" w:cstheme="minorHAnsi"/>
          <w:snapToGrid w:val="0"/>
          <w:sz w:val="44"/>
          <w:szCs w:val="44"/>
        </w:rPr>
        <w:t xml:space="preserve">Information Transmission </w:t>
      </w:r>
      <w:r>
        <w:rPr>
          <w:rFonts w:hint="eastAsia" w:eastAsia="宋体" w:asciiTheme="minorHAnsi" w:hAnsiTheme="minorHAnsi" w:cstheme="minorHAnsi"/>
          <w:snapToGrid w:val="0"/>
          <w:sz w:val="44"/>
          <w:szCs w:val="44"/>
          <w:lang w:eastAsia="zh-CN"/>
        </w:rPr>
        <w:t xml:space="preserve">and </w:t>
      </w:r>
      <w:r>
        <w:rPr>
          <w:rFonts w:asciiTheme="minorHAnsi" w:hAnsiTheme="minorHAnsi" w:cstheme="minorHAnsi"/>
          <w:snapToGrid w:val="0"/>
          <w:sz w:val="44"/>
          <w:szCs w:val="44"/>
        </w:rPr>
        <w:t>Characteristics in the Periaqueductal Gray Double-Subregions Using PtNPs/PEDOT:PSS-modified Microelectrode Arrays</w:t>
      </w:r>
    </w:p>
    <w:p>
      <w:pPr>
        <w:pStyle w:val="10"/>
        <w:jc w:val="both"/>
        <w:rPr>
          <w:rFonts w:asciiTheme="minorHAnsi" w:hAnsiTheme="minorHAnsi" w:cstheme="minorHAnsi"/>
          <w:szCs w:val="20"/>
        </w:rPr>
      </w:pPr>
      <w:bookmarkStart w:id="3" w:name="_GoBack"/>
      <w:bookmarkEnd w:id="3"/>
      <w:r>
        <w:rPr>
          <w:rFonts w:asciiTheme="minorHAnsi" w:hAnsiTheme="minorHAnsi" w:cstheme="minorHAnsi"/>
          <w:szCs w:val="20"/>
        </w:rPr>
        <w:t>Botao Lu</w:t>
      </w:r>
      <w:r>
        <w:rPr>
          <w:rFonts w:asciiTheme="minorHAnsi" w:hAnsiTheme="minorHAnsi" w:cstheme="minorHAnsi"/>
          <w:szCs w:val="20"/>
          <w:vertAlign w:val="superscript"/>
        </w:rPr>
        <w:t xml:space="preserve"> </w:t>
      </w:r>
      <w:bookmarkStart w:id="1" w:name="_Hlk95224010"/>
      <w:r>
        <w:rPr>
          <w:rStyle w:val="8"/>
          <w:rFonts w:eastAsia="宋体" w:asciiTheme="minorHAnsi" w:hAnsiTheme="minorHAnsi" w:cstheme="minorHAnsi"/>
          <w:szCs w:val="20"/>
        </w:rPr>
        <w:footnoteReference w:id="0"/>
      </w:r>
      <w:r>
        <w:rPr>
          <w:rFonts w:asciiTheme="minorHAnsi" w:hAnsiTheme="minorHAnsi" w:cstheme="minorHAnsi"/>
          <w:szCs w:val="20"/>
          <w:vertAlign w:val="superscript"/>
        </w:rPr>
        <w:t>,</w:t>
      </w:r>
      <w:bookmarkEnd w:id="1"/>
      <w:r>
        <w:rPr>
          <w:rStyle w:val="8"/>
          <w:rFonts w:eastAsia="宋体" w:asciiTheme="minorHAnsi" w:hAnsiTheme="minorHAnsi" w:cstheme="minorHAnsi"/>
          <w:szCs w:val="20"/>
        </w:rPr>
        <w:footnoteReference w:id="1"/>
      </w:r>
      <w:r>
        <w:rPr>
          <w:rFonts w:asciiTheme="minorHAnsi" w:hAnsiTheme="minorHAnsi" w:cstheme="minorHAnsi"/>
          <w:szCs w:val="20"/>
        </w:rPr>
        <w:t>, Penghui Fan</w:t>
      </w:r>
      <w:r>
        <w:rPr>
          <w:rFonts w:asciiTheme="minorHAnsi" w:hAnsiTheme="minorHAnsi" w:cstheme="minorHAnsi"/>
          <w:szCs w:val="20"/>
          <w:vertAlign w:val="superscript"/>
        </w:rPr>
        <w:t xml:space="preserve"> 1,2</w:t>
      </w:r>
      <w:r>
        <w:rPr>
          <w:rFonts w:asciiTheme="minorHAnsi" w:hAnsiTheme="minorHAnsi" w:cstheme="minorHAnsi"/>
          <w:szCs w:val="20"/>
        </w:rPr>
        <w:t xml:space="preserve">, </w:t>
      </w:r>
      <w:r>
        <w:rPr>
          <w:rFonts w:eastAsia="宋体" w:asciiTheme="minorHAnsi" w:hAnsiTheme="minorHAnsi" w:cstheme="minorHAnsi"/>
          <w:szCs w:val="20"/>
        </w:rPr>
        <w:t>Ming</w:t>
      </w:r>
      <w:r>
        <w:rPr>
          <w:rFonts w:asciiTheme="minorHAnsi" w:hAnsiTheme="minorHAnsi" w:cstheme="minorHAnsi"/>
          <w:szCs w:val="20"/>
        </w:rPr>
        <w:t xml:space="preserve"> </w:t>
      </w:r>
      <w:r>
        <w:rPr>
          <w:rFonts w:eastAsia="宋体" w:asciiTheme="minorHAnsi" w:hAnsiTheme="minorHAnsi" w:cstheme="minorHAnsi"/>
          <w:szCs w:val="20"/>
        </w:rPr>
        <w:t>Li</w:t>
      </w:r>
      <w:r>
        <w:rPr>
          <w:rFonts w:asciiTheme="minorHAnsi" w:hAnsiTheme="minorHAnsi" w:cstheme="minorHAnsi"/>
          <w:szCs w:val="20"/>
          <w:vertAlign w:val="superscript"/>
        </w:rPr>
        <w:t>1,2</w:t>
      </w:r>
      <w:r>
        <w:rPr>
          <w:rFonts w:asciiTheme="minorHAnsi" w:hAnsiTheme="minorHAnsi" w:cstheme="minorHAnsi"/>
          <w:szCs w:val="20"/>
        </w:rPr>
        <w:t>, Y</w:t>
      </w:r>
      <w:r>
        <w:rPr>
          <w:rFonts w:eastAsia="宋体" w:asciiTheme="minorHAnsi" w:hAnsiTheme="minorHAnsi" w:cstheme="minorHAnsi"/>
          <w:szCs w:val="20"/>
        </w:rPr>
        <w:t>iding</w:t>
      </w:r>
      <w:r>
        <w:rPr>
          <w:rFonts w:asciiTheme="minorHAnsi" w:hAnsiTheme="minorHAnsi" w:cstheme="minorHAnsi"/>
          <w:szCs w:val="20"/>
        </w:rPr>
        <w:t xml:space="preserve"> </w:t>
      </w:r>
      <w:r>
        <w:rPr>
          <w:rFonts w:eastAsia="宋体" w:asciiTheme="minorHAnsi" w:hAnsiTheme="minorHAnsi" w:cstheme="minorHAnsi"/>
          <w:szCs w:val="20"/>
        </w:rPr>
        <w:t>Wang</w:t>
      </w:r>
      <w:r>
        <w:rPr>
          <w:rFonts w:asciiTheme="minorHAnsi" w:hAnsiTheme="minorHAnsi" w:cstheme="minorHAnsi"/>
          <w:szCs w:val="20"/>
          <w:vertAlign w:val="superscript"/>
        </w:rPr>
        <w:t xml:space="preserve"> 1,2</w:t>
      </w:r>
      <w:r>
        <w:rPr>
          <w:rFonts w:asciiTheme="minorHAnsi" w:hAnsiTheme="minorHAnsi" w:cstheme="minorHAnsi"/>
          <w:szCs w:val="20"/>
        </w:rPr>
        <w:t>, Wei Liang</w:t>
      </w:r>
      <w:r>
        <w:rPr>
          <w:rFonts w:asciiTheme="minorHAnsi" w:hAnsiTheme="minorHAnsi" w:cstheme="minorHAnsi"/>
          <w:szCs w:val="20"/>
          <w:vertAlign w:val="superscript"/>
        </w:rPr>
        <w:t xml:space="preserve"> 1</w:t>
      </w:r>
      <w:r>
        <w:rPr>
          <w:rFonts w:asciiTheme="minorHAnsi" w:hAnsiTheme="minorHAnsi" w:cstheme="minorHAnsi"/>
          <w:szCs w:val="20"/>
        </w:rPr>
        <w:t xml:space="preserve">, Gucheng Yang </w:t>
      </w:r>
      <w:r>
        <w:rPr>
          <w:rFonts w:asciiTheme="minorHAnsi" w:hAnsiTheme="minorHAnsi" w:cstheme="minorHAnsi"/>
          <w:szCs w:val="20"/>
          <w:vertAlign w:val="superscript"/>
        </w:rPr>
        <w:t>1,2</w:t>
      </w:r>
      <w:r>
        <w:rPr>
          <w:rFonts w:asciiTheme="minorHAnsi" w:hAnsiTheme="minorHAnsi" w:cstheme="minorHAnsi"/>
          <w:szCs w:val="20"/>
        </w:rPr>
        <w:t>, Fan Mo</w:t>
      </w:r>
      <w:r>
        <w:rPr>
          <w:rFonts w:asciiTheme="minorHAnsi" w:hAnsiTheme="minorHAnsi" w:cstheme="minorHAnsi"/>
          <w:szCs w:val="20"/>
          <w:vertAlign w:val="superscript"/>
        </w:rPr>
        <w:t xml:space="preserve"> 1,2</w:t>
      </w:r>
      <w:r>
        <w:rPr>
          <w:rFonts w:asciiTheme="minorHAnsi" w:hAnsiTheme="minorHAnsi" w:cstheme="minorHAnsi"/>
          <w:szCs w:val="20"/>
        </w:rPr>
        <w:t xml:space="preserve">, </w:t>
      </w:r>
    </w:p>
    <w:p>
      <w:pPr>
        <w:pStyle w:val="10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szCs w:val="20"/>
        </w:rPr>
        <w:t>Zhaojie Xu</w:t>
      </w:r>
      <w:r>
        <w:rPr>
          <w:rFonts w:asciiTheme="minorHAnsi" w:hAnsiTheme="minorHAnsi" w:cstheme="minorHAnsi"/>
          <w:szCs w:val="20"/>
          <w:vertAlign w:val="superscript"/>
        </w:rPr>
        <w:t xml:space="preserve"> 1,2</w:t>
      </w:r>
      <w:r>
        <w:rPr>
          <w:rFonts w:asciiTheme="minorHAnsi" w:hAnsiTheme="minorHAnsi" w:cstheme="minorHAnsi"/>
          <w:szCs w:val="20"/>
        </w:rPr>
        <w:t>,</w:t>
      </w:r>
      <w:r>
        <w:rPr>
          <w:rFonts w:eastAsia="宋体" w:asciiTheme="minorHAnsi" w:hAnsiTheme="minorHAnsi" w:cstheme="minorHAnsi"/>
          <w:szCs w:val="20"/>
        </w:rPr>
        <w:t xml:space="preserve"> </w:t>
      </w:r>
      <w:r>
        <w:rPr>
          <w:rFonts w:asciiTheme="minorHAnsi" w:hAnsiTheme="minorHAnsi" w:cstheme="minorHAnsi"/>
          <w:szCs w:val="20"/>
        </w:rPr>
        <w:t xml:space="preserve">Jin </w:t>
      </w:r>
      <w:r>
        <w:rPr>
          <w:rFonts w:eastAsia="宋体" w:asciiTheme="minorHAnsi" w:hAnsiTheme="minorHAnsi" w:cstheme="minorHAnsi"/>
          <w:szCs w:val="20"/>
        </w:rPr>
        <w:t>Shan</w:t>
      </w:r>
      <w:r>
        <w:rPr>
          <w:rFonts w:asciiTheme="minorHAnsi" w:hAnsiTheme="minorHAnsi" w:cstheme="minorHAnsi"/>
          <w:szCs w:val="20"/>
          <w:vertAlign w:val="superscript"/>
        </w:rPr>
        <w:t xml:space="preserve"> 1,2</w:t>
      </w:r>
      <w:r>
        <w:rPr>
          <w:rFonts w:asciiTheme="minorHAnsi" w:hAnsiTheme="minorHAnsi" w:cstheme="minorHAnsi"/>
          <w:szCs w:val="20"/>
        </w:rPr>
        <w:t>, Yilin Song</w:t>
      </w:r>
      <w:r>
        <w:rPr>
          <w:rFonts w:asciiTheme="minorHAnsi" w:hAnsiTheme="minorHAnsi" w:cstheme="minorHAnsi"/>
          <w:szCs w:val="20"/>
          <w:vertAlign w:val="superscript"/>
        </w:rPr>
        <w:t xml:space="preserve"> 1,2</w:t>
      </w:r>
      <w:r>
        <w:rPr>
          <w:rFonts w:asciiTheme="minorHAnsi" w:hAnsiTheme="minorHAnsi" w:cstheme="minorHAnsi"/>
          <w:szCs w:val="20"/>
        </w:rPr>
        <w:t xml:space="preserve">, Juntao Liu </w:t>
      </w:r>
      <w:r>
        <w:rPr>
          <w:rFonts w:asciiTheme="minorHAnsi" w:hAnsiTheme="minorHAnsi" w:cstheme="minorHAnsi"/>
          <w:szCs w:val="20"/>
          <w:vertAlign w:val="superscript"/>
        </w:rPr>
        <w:t>1,2,*</w:t>
      </w:r>
      <w:r>
        <w:rPr>
          <w:rFonts w:asciiTheme="minorHAnsi" w:hAnsiTheme="minorHAnsi" w:cstheme="minorHAnsi"/>
          <w:szCs w:val="20"/>
        </w:rPr>
        <w:t>, Yirong Wu</w:t>
      </w:r>
      <w:r>
        <w:rPr>
          <w:rFonts w:asciiTheme="minorHAnsi" w:hAnsiTheme="minorHAnsi" w:cstheme="minorHAnsi"/>
          <w:szCs w:val="20"/>
          <w:vertAlign w:val="superscript"/>
        </w:rPr>
        <w:t>1,2,*</w:t>
      </w:r>
      <w:r>
        <w:rPr>
          <w:rFonts w:asciiTheme="minorHAnsi" w:hAnsiTheme="minorHAnsi" w:cstheme="minorHAnsi"/>
          <w:szCs w:val="20"/>
        </w:rPr>
        <w:t xml:space="preserve"> and Xinxia Cai </w:t>
      </w:r>
      <w:r>
        <w:rPr>
          <w:rFonts w:asciiTheme="minorHAnsi" w:hAnsiTheme="minorHAnsi" w:cstheme="minorHAnsi"/>
          <w:szCs w:val="20"/>
          <w:vertAlign w:val="superscript"/>
        </w:rPr>
        <w:t>1,2,*</w:t>
      </w:r>
    </w:p>
    <w:p>
      <w:pPr>
        <w:rPr>
          <w:rFonts w:ascii="Calibri" w:hAnsi="Calibri" w:eastAsia="Times New Roman" w:cs="Calibri"/>
          <w:b/>
          <w:bCs/>
          <w:sz w:val="28"/>
          <w:szCs w:val="32"/>
        </w:rPr>
      </w:pPr>
    </w:p>
    <w:p>
      <w:pPr>
        <w:rPr>
          <w:rFonts w:ascii="Calibri" w:hAnsi="Calibri" w:eastAsia="Times New Roman" w:cs="Calibri"/>
          <w:b/>
          <w:bCs/>
          <w:sz w:val="28"/>
          <w:szCs w:val="32"/>
        </w:rPr>
      </w:pPr>
    </w:p>
    <w:p>
      <w:pPr>
        <w:rPr>
          <w:rFonts w:ascii="Calibri" w:hAnsi="Calibri" w:eastAsia="Times New Roman" w:cs="Calibri"/>
          <w:b/>
          <w:bCs/>
          <w:sz w:val="28"/>
          <w:szCs w:val="32"/>
        </w:rPr>
      </w:pPr>
      <w:r>
        <w:rPr>
          <w:rFonts w:ascii="Calibri" w:hAnsi="Calibri" w:eastAsia="Times New Roman" w:cs="Calibri"/>
          <w:b/>
          <w:bCs/>
          <w:sz w:val="28"/>
          <w:szCs w:val="32"/>
        </w:rPr>
        <w:t>This file includes:</w:t>
      </w:r>
    </w:p>
    <w:p>
      <w:pPr>
        <w:rPr>
          <w:rFonts w:ascii="Calibri" w:hAnsi="Calibri" w:cs="Calibri"/>
          <w:szCs w:val="21"/>
        </w:rPr>
      </w:pPr>
      <w:r>
        <w:rPr>
          <w:rFonts w:ascii="Calibri" w:hAnsi="Calibri" w:eastAsia="Times New Roman" w:cs="Calibri"/>
          <w:bCs/>
        </w:rPr>
        <w:t>Figures S1–S</w:t>
      </w:r>
      <w:r>
        <w:rPr>
          <w:rFonts w:ascii="Calibri" w:hAnsi="Calibri" w:eastAsia="宋体" w:cs="Calibri"/>
          <w:bCs/>
        </w:rPr>
        <w:t>6</w:t>
      </w:r>
      <w:r>
        <w:rPr>
          <w:rFonts w:ascii="Calibri" w:hAnsi="Calibri" w:eastAsia="Times New Roman" w:cs="Calibri"/>
          <w:bCs/>
        </w:rPr>
        <w:t>.</w:t>
      </w:r>
    </w:p>
    <w:p>
      <w:pPr>
        <w:jc w:val="center"/>
      </w:pPr>
      <w:r>
        <w:rPr>
          <w:rFonts w:ascii="Calibri" w:hAnsi="Calibri" w:cs="Calibri"/>
          <w:szCs w:val="21"/>
        </w:rPr>
        <w:drawing>
          <wp:inline distT="0" distB="0" distL="0" distR="0">
            <wp:extent cx="5534660" cy="3598545"/>
            <wp:effectExtent l="0" t="0" r="0" b="0"/>
            <wp:docPr id="6" name="图形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形 6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4660" cy="359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cs="Calibri"/>
          <w:szCs w:val="21"/>
        </w:rPr>
      </w:pPr>
      <w:r>
        <w:rPr>
          <w:rFonts w:ascii="Calibri" w:hAnsi="Calibri" w:cs="Calibri"/>
          <w:b/>
          <w:bCs/>
          <w:szCs w:val="21"/>
        </w:rPr>
        <w:t>Figure S1 Fabrication of the MEA. a</w:t>
      </w:r>
      <w:r>
        <w:rPr>
          <w:rFonts w:ascii="Calibri" w:hAnsi="Calibri" w:cs="Calibri"/>
          <w:szCs w:val="21"/>
        </w:rPr>
        <w:t xml:space="preserve"> A 200-nm layer of SiO</w:t>
      </w:r>
      <w:r>
        <w:rPr>
          <w:rFonts w:ascii="Calibri" w:hAnsi="Calibri" w:cs="Calibri"/>
          <w:szCs w:val="21"/>
          <w:vertAlign w:val="subscript"/>
        </w:rPr>
        <w:t>2</w:t>
      </w:r>
      <w:r>
        <w:rPr>
          <w:rFonts w:ascii="Calibri" w:hAnsi="Calibri" w:cs="Calibri"/>
          <w:szCs w:val="21"/>
        </w:rPr>
        <w:t xml:space="preserve"> was produced for insulating devices from the SOI substrate. </w:t>
      </w:r>
      <w:r>
        <w:rPr>
          <w:rFonts w:ascii="Calibri" w:hAnsi="Calibri" w:cs="Calibri"/>
          <w:b/>
          <w:bCs/>
          <w:szCs w:val="21"/>
        </w:rPr>
        <w:t>b</w:t>
      </w:r>
      <w:r>
        <w:rPr>
          <w:rFonts w:ascii="Calibri" w:hAnsi="Calibri" w:cs="Calibri"/>
          <w:szCs w:val="21"/>
        </w:rPr>
        <w:t xml:space="preserve"> AZ 5214E photoresist was spin coated on wafer. </w:t>
      </w:r>
      <w:r>
        <w:rPr>
          <w:rFonts w:ascii="Calibri" w:hAnsi="Calibri" w:cs="Calibri"/>
          <w:b/>
          <w:bCs/>
          <w:szCs w:val="21"/>
        </w:rPr>
        <w:t>c</w:t>
      </w:r>
      <w:r>
        <w:rPr>
          <w:rFonts w:ascii="Calibri" w:hAnsi="Calibri" w:cs="Calibri"/>
          <w:szCs w:val="21"/>
        </w:rPr>
        <w:t xml:space="preserve"> 250 nm Pt and 30 nm Ti were deposited by sputtering as metal layer to Sputter and lift-off to form the metal Pt/Ti layer. </w:t>
      </w:r>
      <w:r>
        <w:rPr>
          <w:rFonts w:ascii="Calibri" w:hAnsi="Calibri" w:cs="Calibri"/>
          <w:b/>
          <w:bCs/>
          <w:szCs w:val="21"/>
        </w:rPr>
        <w:t>d</w:t>
      </w:r>
      <w:r>
        <w:rPr>
          <w:rFonts w:ascii="Calibri" w:hAnsi="Calibri" w:cs="Calibri"/>
          <w:szCs w:val="21"/>
        </w:rPr>
        <w:t xml:space="preserve"> 300 nm SiO</w:t>
      </w:r>
      <w:r>
        <w:rPr>
          <w:rFonts w:ascii="Calibri" w:hAnsi="Calibri" w:cs="Calibri"/>
          <w:szCs w:val="21"/>
          <w:vertAlign w:val="subscript"/>
        </w:rPr>
        <w:t>2</w:t>
      </w:r>
      <w:r>
        <w:rPr>
          <w:rFonts w:ascii="Calibri" w:hAnsi="Calibri" w:cs="Calibri"/>
          <w:szCs w:val="21"/>
        </w:rPr>
        <w:t>and 500 nm Si</w:t>
      </w:r>
      <w:r>
        <w:rPr>
          <w:rFonts w:ascii="Calibri" w:hAnsi="Calibri" w:cs="Calibri"/>
          <w:szCs w:val="21"/>
          <w:vertAlign w:val="subscript"/>
        </w:rPr>
        <w:t>3</w:t>
      </w:r>
      <w:r>
        <w:rPr>
          <w:rFonts w:ascii="Calibri" w:hAnsi="Calibri" w:cs="Calibri"/>
          <w:szCs w:val="21"/>
        </w:rPr>
        <w:t xml:space="preserve"> N</w:t>
      </w:r>
      <w:r>
        <w:rPr>
          <w:rFonts w:ascii="Calibri" w:hAnsi="Calibri" w:cs="Calibri"/>
          <w:szCs w:val="21"/>
          <w:vertAlign w:val="subscript"/>
        </w:rPr>
        <w:t>4</w:t>
      </w:r>
      <w:r>
        <w:rPr>
          <w:rFonts w:ascii="Calibri" w:hAnsi="Calibri" w:cs="Calibri"/>
          <w:szCs w:val="21"/>
        </w:rPr>
        <w:t xml:space="preserve"> was deposited as insulating layer. </w:t>
      </w:r>
      <w:r>
        <w:rPr>
          <w:rFonts w:ascii="Calibri" w:hAnsi="Calibri" w:cs="Calibri"/>
          <w:b/>
          <w:bCs/>
          <w:szCs w:val="21"/>
        </w:rPr>
        <w:t>e</w:t>
      </w:r>
      <w:r>
        <w:rPr>
          <w:rFonts w:ascii="Calibri" w:hAnsi="Calibri" w:cs="Calibri"/>
          <w:szCs w:val="21"/>
        </w:rPr>
        <w:t xml:space="preserve"> AZ 1500 photoresist was spin coated on wafer. </w:t>
      </w:r>
      <w:r>
        <w:rPr>
          <w:rFonts w:ascii="Calibri" w:hAnsi="Calibri" w:cs="Calibri"/>
          <w:b/>
          <w:bCs/>
          <w:szCs w:val="21"/>
        </w:rPr>
        <w:t>f</w:t>
      </w:r>
      <w:r>
        <w:rPr>
          <w:rFonts w:ascii="Calibri" w:hAnsi="Calibri" w:cs="Calibri"/>
          <w:szCs w:val="21"/>
        </w:rPr>
        <w:t xml:space="preserve"> Exposure of recording sites and bonding pads. </w:t>
      </w:r>
      <w:r>
        <w:rPr>
          <w:rFonts w:ascii="Calibri" w:hAnsi="Calibri" w:cs="Calibri"/>
          <w:b/>
          <w:bCs/>
          <w:szCs w:val="21"/>
        </w:rPr>
        <w:t>g</w:t>
      </w:r>
      <w:r>
        <w:rPr>
          <w:rFonts w:ascii="Calibri" w:hAnsi="Calibri" w:cs="Calibri"/>
          <w:szCs w:val="21"/>
        </w:rPr>
        <w:t xml:space="preserve"> BN303 was spin-coated on wafer . (h)</w:t>
      </w:r>
      <w:r>
        <w:rPr>
          <w:rFonts w:ascii="Calibri" w:hAnsi="Calibri" w:eastAsia="黑体" w:cs="Calibri"/>
          <w:szCs w:val="21"/>
        </w:rPr>
        <w:t>Wet etching to</w:t>
      </w:r>
      <w:r>
        <w:rPr>
          <w:rFonts w:ascii="Calibri" w:hAnsi="Calibri" w:cs="Calibri"/>
          <w:szCs w:val="21"/>
        </w:rPr>
        <w:t xml:space="preserve"> release of the MEA from the substrate.</w:t>
      </w:r>
    </w:p>
    <w:p/>
    <w:p>
      <w:pPr>
        <w:jc w:val="center"/>
      </w:pPr>
      <w:r>
        <w:drawing>
          <wp:inline distT="0" distB="0" distL="0" distR="0">
            <wp:extent cx="4017010" cy="2371090"/>
            <wp:effectExtent l="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7612" cy="23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ascii="Calibri" w:hAnsi="Calibri" w:cs="Calibri"/>
          <w:b/>
          <w:bCs/>
          <w:szCs w:val="21"/>
        </w:rPr>
        <w:t>Figure S2</w:t>
      </w:r>
      <w:r>
        <w:rPr>
          <w:rFonts w:ascii="Calibri" w:hAnsi="Calibri" w:cs="Calibri"/>
          <w:szCs w:val="21"/>
        </w:rPr>
        <w:t xml:space="preserve"> </w:t>
      </w:r>
      <w:r>
        <w:rPr>
          <w:rFonts w:ascii="Calibri" w:hAnsi="Calibri" w:eastAsia="黑体" w:cs="Calibri"/>
          <w:szCs w:val="21"/>
        </w:rPr>
        <w:t xml:space="preserve">Typical sample signal after 200Hz high pass filtering recorded by microelectrode modified with PtNPs /PEDOT: PSS at </w:t>
      </w:r>
      <w:r>
        <w:rPr>
          <w:rFonts w:ascii="Calibri" w:hAnsi="Calibri" w:eastAsia="黑体" w:cs="Calibri"/>
          <w:b/>
          <w:bCs/>
          <w:szCs w:val="21"/>
        </w:rPr>
        <w:t>a</w:t>
      </w:r>
      <w:r>
        <w:rPr>
          <w:rFonts w:ascii="Calibri" w:hAnsi="Calibri" w:eastAsia="黑体" w:cs="Calibri"/>
          <w:szCs w:val="21"/>
        </w:rPr>
        <w:t xml:space="preserve"> 5 days and</w:t>
      </w:r>
      <w:r>
        <w:rPr>
          <w:rFonts w:ascii="Calibri" w:hAnsi="Calibri" w:eastAsia="黑体" w:cs="Calibri"/>
          <w:b/>
          <w:bCs/>
          <w:szCs w:val="21"/>
        </w:rPr>
        <w:t xml:space="preserve"> b</w:t>
      </w:r>
      <w:r>
        <w:rPr>
          <w:rFonts w:ascii="Calibri" w:hAnsi="Calibri" w:eastAsia="黑体" w:cs="Calibri"/>
          <w:szCs w:val="21"/>
        </w:rPr>
        <w:t xml:space="preserve"> 40 days of in vivo recording.</w:t>
      </w:r>
    </w:p>
    <w:p>
      <w:pPr>
        <w:jc w:val="center"/>
      </w:pPr>
      <w:r>
        <w:drawing>
          <wp:inline distT="0" distB="0" distL="114300" distR="114300">
            <wp:extent cx="5116830" cy="4585970"/>
            <wp:effectExtent l="0" t="0" r="0" b="0"/>
            <wp:docPr id="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16830" cy="458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ascii="Calibri" w:hAnsi="Calibri" w:eastAsia="黑体" w:cs="Calibri"/>
          <w:szCs w:val="21"/>
        </w:rPr>
      </w:pPr>
      <w:r>
        <w:rPr>
          <w:rFonts w:ascii="Calibri" w:hAnsi="Calibri" w:cs="Calibri"/>
          <w:b/>
          <w:bCs/>
          <w:szCs w:val="21"/>
        </w:rPr>
        <w:t>Figure S</w:t>
      </w:r>
      <w:r>
        <w:rPr>
          <w:rFonts w:hint="eastAsia" w:ascii="Calibri" w:hAnsi="Calibri" w:cs="Calibri"/>
          <w:b/>
          <w:bCs/>
          <w:szCs w:val="21"/>
        </w:rPr>
        <w:t xml:space="preserve">3 </w:t>
      </w:r>
      <w:r>
        <w:rPr>
          <w:rFonts w:ascii="Calibri" w:hAnsi="Calibri" w:eastAsia="黑体" w:cs="Calibri"/>
          <w:b/>
          <w:bCs/>
          <w:szCs w:val="21"/>
        </w:rPr>
        <w:t>Implantation position of MEA.</w:t>
      </w:r>
      <w:r>
        <w:rPr>
          <w:rFonts w:ascii="Calibri" w:hAnsi="Calibri" w:eastAsia="黑体" w:cs="Calibri"/>
          <w:szCs w:val="21"/>
        </w:rPr>
        <w:t xml:space="preserve"> </w:t>
      </w:r>
      <w:r>
        <w:rPr>
          <w:rFonts w:ascii="Calibri" w:hAnsi="Calibri" w:eastAsia="黑体" w:cs="Calibri"/>
          <w:b/>
          <w:bCs/>
          <w:szCs w:val="21"/>
        </w:rPr>
        <w:t>a</w:t>
      </w:r>
      <w:r>
        <w:rPr>
          <w:rFonts w:ascii="Calibri" w:hAnsi="Calibri" w:eastAsia="黑体" w:cs="Calibri"/>
          <w:szCs w:val="21"/>
        </w:rPr>
        <w:t xml:space="preserve"> Schematic diagram of MEA implantation position in the midbrain periaqueductal gray(PAG)</w:t>
      </w:r>
      <w:r>
        <w:rPr>
          <w:rFonts w:ascii="Calibri" w:hAnsi="Calibri" w:cs="Calibri"/>
          <w:szCs w:val="21"/>
        </w:rPr>
        <w:t xml:space="preserve">. </w:t>
      </w:r>
      <w:r>
        <w:rPr>
          <w:rFonts w:ascii="Calibri" w:hAnsi="Calibri" w:cs="Calibri"/>
          <w:b/>
          <w:bCs/>
          <w:szCs w:val="21"/>
        </w:rPr>
        <w:t xml:space="preserve">b c </w:t>
      </w:r>
      <w:r>
        <w:rPr>
          <w:rFonts w:ascii="Calibri" w:hAnsi="Calibri" w:eastAsia="黑体" w:cs="Calibri"/>
          <w:szCs w:val="21"/>
        </w:rPr>
        <w:t xml:space="preserve">The </w:t>
      </w:r>
      <w:r>
        <w:rPr>
          <w:rFonts w:hint="eastAsia" w:ascii="Calibri" w:hAnsi="Calibri" w:eastAsia="宋体" w:cs="Calibri"/>
          <w:sz w:val="22"/>
          <w:szCs w:val="22"/>
          <w:lang w:bidi="ar"/>
        </w:rPr>
        <w:t>c</w:t>
      </w:r>
      <w:r>
        <w:rPr>
          <w:rFonts w:ascii="Calibri" w:hAnsi="Calibri" w:eastAsia="宋体" w:cs="Calibri"/>
          <w:sz w:val="22"/>
          <w:szCs w:val="22"/>
          <w:lang w:bidi="ar"/>
        </w:rPr>
        <w:t>oronal sections</w:t>
      </w:r>
      <w:r>
        <w:rPr>
          <w:rFonts w:ascii="Calibri" w:hAnsi="Calibri" w:eastAsia="黑体" w:cs="Calibri"/>
          <w:szCs w:val="21"/>
        </w:rPr>
        <w:t xml:space="preserve"> of PAG showing the position of different handles of MEA in the same rat PAG. Approximate position of section relative to bregma was indicated.</w:t>
      </w:r>
    </w:p>
    <w:p>
      <w:pPr>
        <w:jc w:val="center"/>
        <w:rPr>
          <w:rFonts w:ascii="Calibri" w:hAnsi="Calibri" w:eastAsia="黑体" w:cs="Calibri"/>
          <w:szCs w:val="21"/>
        </w:rPr>
      </w:pPr>
      <w:r>
        <w:rPr>
          <w:rFonts w:hint="eastAsia"/>
        </w:rPr>
        <w:drawing>
          <wp:inline distT="0" distB="0" distL="0" distR="0">
            <wp:extent cx="5486400" cy="198437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98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黑体" w:cs="Calibri"/>
          <w:sz w:val="22"/>
        </w:rPr>
      </w:pPr>
      <w:r>
        <w:rPr>
          <w:rFonts w:ascii="Calibri" w:hAnsi="Calibri" w:cs="Calibri"/>
          <w:b/>
          <w:bCs/>
          <w:kern w:val="0"/>
          <w:sz w:val="22"/>
        </w:rPr>
        <w:t xml:space="preserve">Figure S4 </w:t>
      </w:r>
      <w:r>
        <w:rPr>
          <w:rFonts w:ascii="Calibri" w:hAnsi="Calibri" w:eastAsia="黑体" w:cs="Calibri"/>
          <w:szCs w:val="21"/>
        </w:rPr>
        <w:t>Quantitative analysis of main parameters of behavior and electrophysiology.</w:t>
      </w:r>
      <w:r>
        <w:rPr>
          <w:rFonts w:ascii="Calibri" w:hAnsi="Calibri" w:eastAsia="黑体" w:cs="Calibri"/>
          <w:kern w:val="0"/>
          <w:sz w:val="22"/>
        </w:rPr>
        <w:t xml:space="preserve"> </w:t>
      </w:r>
      <w:r>
        <w:rPr>
          <w:rFonts w:hint="eastAsia" w:ascii="Calibri" w:hAnsi="Calibri" w:eastAsia="黑体" w:cs="Calibri"/>
          <w:b/>
          <w:bCs/>
          <w:kern w:val="0"/>
          <w:sz w:val="22"/>
          <w:szCs w:val="22"/>
          <w:lang w:val="en-US" w:eastAsia="zh-CN"/>
        </w:rPr>
        <w:t>a</w:t>
      </w:r>
      <w:r>
        <w:rPr>
          <w:rFonts w:hint="default" w:ascii="Calibri" w:hAnsi="Calibri" w:eastAsia="黑体" w:cs="Calibri"/>
          <w:kern w:val="0"/>
          <w:sz w:val="22"/>
          <w:szCs w:val="22"/>
        </w:rPr>
        <w:t xml:space="preserve"> Average freezing rate </w:t>
      </w:r>
      <w:r>
        <w:rPr>
          <w:rFonts w:hint="eastAsia" w:ascii="Calibri" w:hAnsi="Calibri" w:eastAsia="黑体" w:cs="Calibri"/>
          <w:kern w:val="0"/>
          <w:sz w:val="22"/>
          <w:szCs w:val="22"/>
          <w:lang w:val="en-US" w:eastAsia="zh-CN"/>
        </w:rPr>
        <w:t>and velocity</w:t>
      </w:r>
      <w:r>
        <w:rPr>
          <w:rFonts w:hint="default" w:ascii="Calibri" w:hAnsi="Calibri" w:eastAsia="黑体" w:cs="Calibri"/>
          <w:kern w:val="0"/>
          <w:sz w:val="22"/>
          <w:szCs w:val="22"/>
        </w:rPr>
        <w:t xml:space="preserve"> of rats in different states.</w:t>
      </w:r>
      <w:r>
        <w:rPr>
          <w:rFonts w:ascii="Calibri" w:hAnsi="Calibri" w:eastAsia="黑体" w:cs="Calibri"/>
          <w:kern w:val="0"/>
          <w:sz w:val="22"/>
        </w:rPr>
        <w:t xml:space="preserve"> </w:t>
      </w:r>
      <w:r>
        <w:rPr>
          <w:rFonts w:hint="eastAsia" w:ascii="Calibri" w:hAnsi="Calibri" w:eastAsia="黑体" w:cs="Calibri"/>
          <w:b/>
          <w:bCs/>
          <w:kern w:val="0"/>
          <w:sz w:val="22"/>
          <w:lang w:val="en-US" w:eastAsia="zh-CN"/>
        </w:rPr>
        <w:t>b</w:t>
      </w:r>
      <w:r>
        <w:rPr>
          <w:rFonts w:ascii="Calibri" w:hAnsi="Calibri" w:eastAsia="黑体" w:cs="Calibri"/>
          <w:kern w:val="0"/>
          <w:sz w:val="22"/>
        </w:rPr>
        <w:t xml:space="preserve"> Power spectral density change of LFP in 0-20Hz frequency band. </w:t>
      </w:r>
      <w:r>
        <w:rPr>
          <w:rFonts w:ascii="Calibri" w:hAnsi="Calibri" w:eastAsia="黑体" w:cs="Calibri"/>
          <w:sz w:val="22"/>
        </w:rPr>
        <w:t>The solid line represents dPAG and the dotted line represents vPAG.</w:t>
      </w:r>
    </w:p>
    <w:p>
      <w:pPr>
        <w:rPr>
          <w:rFonts w:hint="eastAsia" w:ascii="Calibri" w:hAnsi="Calibri" w:eastAsia="黑体" w:cs="Calibri"/>
          <w:szCs w:val="21"/>
          <w:lang w:eastAsia="zh-CN"/>
        </w:rPr>
      </w:pPr>
      <w:r>
        <w:rPr>
          <w:rFonts w:hint="eastAsia" w:ascii="Calibri" w:hAnsi="Calibri" w:eastAsia="黑体" w:cs="Calibri"/>
          <w:szCs w:val="21"/>
          <w:lang w:eastAsia="zh-CN"/>
        </w:rPr>
        <w:drawing>
          <wp:inline distT="0" distB="0" distL="114300" distR="114300">
            <wp:extent cx="5047615" cy="1852295"/>
            <wp:effectExtent l="0" t="0" r="0" b="0"/>
            <wp:docPr id="4" name="图片 4" descr="补充材料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补充材料S5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761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黑体" w:cs="Calibri"/>
          <w:szCs w:val="21"/>
        </w:rPr>
      </w:pPr>
      <w:bookmarkStart w:id="2" w:name="_Hlk124278347"/>
      <w:r>
        <w:rPr>
          <w:rFonts w:ascii="Calibri" w:hAnsi="Calibri" w:cs="Calibri"/>
          <w:b/>
          <w:bCs/>
          <w:kern w:val="0"/>
          <w:sz w:val="22"/>
        </w:rPr>
        <w:t>Figure S5</w:t>
      </w:r>
      <w:bookmarkEnd w:id="2"/>
      <w:r>
        <w:rPr>
          <w:rFonts w:ascii="Calibri" w:hAnsi="Calibri" w:cs="Calibri"/>
          <w:b/>
          <w:bCs/>
          <w:kern w:val="0"/>
          <w:sz w:val="22"/>
        </w:rPr>
        <w:t xml:space="preserve"> </w:t>
      </w:r>
      <w:r>
        <w:rPr>
          <w:rFonts w:ascii="Calibri" w:hAnsi="Calibri" w:eastAsia="黑体" w:cs="Calibri"/>
          <w:b/>
          <w:bCs/>
          <w:kern w:val="0"/>
          <w:sz w:val="22"/>
        </w:rPr>
        <w:t>a</w:t>
      </w:r>
      <w:r>
        <w:rPr>
          <w:rFonts w:ascii="Calibri" w:hAnsi="Calibri" w:eastAsia="黑体" w:cs="Calibri"/>
          <w:kern w:val="0"/>
          <w:sz w:val="22"/>
        </w:rPr>
        <w:t xml:space="preserve"> The firing rate of neurons was positively correlated with the amplitude of the autocorrelogram peak exposure to predator odor. </w:t>
      </w:r>
      <w:r>
        <w:rPr>
          <w:rFonts w:ascii="Calibri" w:hAnsi="Calibri" w:eastAsia="黑体" w:cs="Calibri"/>
          <w:b/>
          <w:bCs/>
          <w:kern w:val="0"/>
          <w:sz w:val="22"/>
        </w:rPr>
        <w:t>b</w:t>
      </w:r>
      <w:r>
        <w:rPr>
          <w:rFonts w:ascii="Calibri" w:hAnsi="Calibri" w:eastAsia="黑体" w:cs="Calibri"/>
          <w:kern w:val="0"/>
          <w:sz w:val="22"/>
        </w:rPr>
        <w:t xml:space="preserve"> The firing change of neurons was negatively correlated with the latency of the autocorrelogram peak.</w:t>
      </w:r>
    </w:p>
    <w:p>
      <w:r>
        <w:rPr>
          <w:rFonts w:ascii="Calibri" w:hAnsi="Calibri" w:eastAsia="黑体" w:cs="Calibri"/>
          <w:szCs w:val="21"/>
        </w:rPr>
        <w:drawing>
          <wp:inline distT="0" distB="0" distL="0" distR="0">
            <wp:extent cx="5102860" cy="2311400"/>
            <wp:effectExtent l="0" t="0" r="0" b="0"/>
            <wp:docPr id="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形 1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9196" cy="231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rPr>
          <w:rFonts w:ascii="Calibri" w:hAnsi="Calibri" w:eastAsia="黑体" w:cs="Calibri"/>
          <w:kern w:val="0"/>
          <w:sz w:val="22"/>
        </w:rPr>
      </w:pPr>
      <w:r>
        <w:rPr>
          <w:rFonts w:ascii="Calibri" w:hAnsi="Calibri" w:cs="Calibri"/>
          <w:b/>
          <w:bCs/>
          <w:kern w:val="0"/>
          <w:sz w:val="22"/>
        </w:rPr>
        <w:t>Figure S6</w:t>
      </w:r>
      <w:r>
        <w:rPr>
          <w:rFonts w:ascii="Calibri" w:hAnsi="Calibri" w:eastAsia="黑体" w:cs="Calibri"/>
          <w:kern w:val="0"/>
          <w:sz w:val="22"/>
        </w:rPr>
        <w:t xml:space="preserve"> </w:t>
      </w:r>
      <w:r>
        <w:rPr>
          <w:rFonts w:ascii="Calibri" w:hAnsi="Calibri" w:eastAsia="黑体" w:cs="Calibri"/>
          <w:b/>
          <w:bCs/>
          <w:kern w:val="0"/>
          <w:sz w:val="22"/>
        </w:rPr>
        <w:t>The correlation between spike firing rate and freezing rate.</w:t>
      </w:r>
      <w:r>
        <w:rPr>
          <w:rFonts w:ascii="Calibri" w:hAnsi="Calibri" w:eastAsia="黑体" w:cs="Calibri"/>
          <w:kern w:val="0"/>
          <w:sz w:val="22"/>
        </w:rPr>
        <w:t xml:space="preserve"> </w:t>
      </w:r>
      <w:r>
        <w:rPr>
          <w:rFonts w:ascii="Calibri" w:hAnsi="Calibri" w:eastAsia="黑体" w:cs="Calibri"/>
          <w:b/>
          <w:bCs/>
          <w:kern w:val="0"/>
          <w:sz w:val="22"/>
        </w:rPr>
        <w:t>a</w:t>
      </w:r>
      <w:r>
        <w:rPr>
          <w:rFonts w:ascii="Calibri" w:hAnsi="Calibri" w:eastAsia="黑体" w:cs="Calibri"/>
          <w:kern w:val="0"/>
          <w:sz w:val="22"/>
        </w:rPr>
        <w:t xml:space="preserve"> The relationship between dPAG neurons and freezing rate under control and 2MT. </w:t>
      </w:r>
      <w:r>
        <w:rPr>
          <w:rFonts w:ascii="Calibri" w:hAnsi="Calibri" w:eastAsia="黑体" w:cs="Calibri"/>
          <w:b/>
          <w:bCs/>
          <w:kern w:val="0"/>
          <w:sz w:val="22"/>
        </w:rPr>
        <w:t>b</w:t>
      </w:r>
      <w:r>
        <w:rPr>
          <w:rFonts w:ascii="Calibri" w:hAnsi="Calibri" w:eastAsia="黑体" w:cs="Calibri"/>
          <w:kern w:val="0"/>
          <w:sz w:val="22"/>
        </w:rPr>
        <w:t xml:space="preserve"> The relationship between vPAG neurons and freezing rate under control and 2MT. </w:t>
      </w:r>
    </w:p>
    <w:p/>
    <w:sectPr>
      <w:pgSz w:w="12240" w:h="15840"/>
      <w:pgMar w:top="1440" w:right="1800" w:bottom="1440" w:left="1800" w:header="720" w:footer="720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>
      <w:pPr>
        <w:pStyle w:val="4"/>
        <w:ind w:firstLine="360"/>
      </w:pPr>
      <w:r>
        <w:rPr>
          <w:rStyle w:val="8"/>
        </w:rPr>
        <w:footnoteRef/>
      </w:r>
      <w:r>
        <w:t xml:space="preserve"> </w:t>
      </w:r>
      <w:r>
        <w:rPr>
          <w:bCs/>
          <w:szCs w:val="22"/>
        </w:rPr>
        <w:t xml:space="preserve">State Key Laboratory of Transducer Technology, Aerospace Information Research Institute, </w:t>
      </w:r>
      <w:r>
        <w:rPr>
          <w:bCs/>
        </w:rPr>
        <w:t>Chinese Academy of Sciences, Beijing 100190, China</w:t>
      </w:r>
    </w:p>
  </w:footnote>
  <w:footnote w:id="1">
    <w:p>
      <w:pPr>
        <w:pStyle w:val="4"/>
        <w:ind w:firstLine="360"/>
      </w:pPr>
      <w:r>
        <w:rPr>
          <w:rStyle w:val="8"/>
        </w:rPr>
        <w:footnoteRef/>
      </w:r>
      <w:r>
        <w:t xml:space="preserve"> University of Chinese Academy of Sciences, Beijing 100049, China</w:t>
      </w:r>
    </w:p>
    <w:p>
      <w:pPr>
        <w:pStyle w:val="4"/>
        <w:ind w:firstLine="360"/>
      </w:pPr>
      <w:r>
        <w:rPr>
          <w:rFonts w:hint="eastAsia"/>
        </w:rPr>
        <w:t>*</w:t>
      </w:r>
      <w:r>
        <w:t xml:space="preserve"> Correspondence: Juntao Liu (liujuntao@mail.ie.ac.cn) or Yirong Wu(wyr@mail.ie.ac.cn) or Xinxia Cai(xxcai@mail.ie.ac.cn)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4"/>
    <w:footnote w:id="5"/>
  </w:foot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MwMDEzsDQ3MTE1NTJR0lEKTi0uzszPAykwrAUApG+26ywAAAA="/>
    <w:docVar w:name="commondata" w:val="eyJoZGlkIjoiMTU4YzljOTJlZWNiNGNkNzRiNzVkNmQ5M2MwYjNkYjcifQ=="/>
  </w:docVars>
  <w:rsids>
    <w:rsidRoot w:val="00172A27"/>
    <w:rsid w:val="00172A27"/>
    <w:rsid w:val="002506E6"/>
    <w:rsid w:val="002A1978"/>
    <w:rsid w:val="00300334"/>
    <w:rsid w:val="003B46C9"/>
    <w:rsid w:val="004B5CF2"/>
    <w:rsid w:val="005B7746"/>
    <w:rsid w:val="005C2570"/>
    <w:rsid w:val="00660197"/>
    <w:rsid w:val="007A006C"/>
    <w:rsid w:val="008242EC"/>
    <w:rsid w:val="0083297B"/>
    <w:rsid w:val="00A112FD"/>
    <w:rsid w:val="00A852F8"/>
    <w:rsid w:val="00B1048D"/>
    <w:rsid w:val="00B2475B"/>
    <w:rsid w:val="00C02B3F"/>
    <w:rsid w:val="00C26F56"/>
    <w:rsid w:val="00CD2544"/>
    <w:rsid w:val="00D37CC2"/>
    <w:rsid w:val="00D44152"/>
    <w:rsid w:val="00D60F78"/>
    <w:rsid w:val="00E47685"/>
    <w:rsid w:val="00E576AD"/>
    <w:rsid w:val="00E749EF"/>
    <w:rsid w:val="00F05219"/>
    <w:rsid w:val="046F4631"/>
    <w:rsid w:val="052111E1"/>
    <w:rsid w:val="0CB352E6"/>
    <w:rsid w:val="0F1046BE"/>
    <w:rsid w:val="256C3651"/>
    <w:rsid w:val="3D08301D"/>
    <w:rsid w:val="43853E75"/>
    <w:rsid w:val="53247B73"/>
    <w:rsid w:val="53583680"/>
    <w:rsid w:val="71AE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13"/>
    <w:qFormat/>
    <w:uiPriority w:val="0"/>
    <w:pPr>
      <w:snapToGrid w:val="0"/>
      <w:ind w:firstLine="200" w:firstLineChars="200"/>
      <w:jc w:val="left"/>
    </w:pPr>
    <w:rPr>
      <w:rFonts w:ascii="Calibri" w:hAnsi="Calibri" w:eastAsia="宋体" w:cs="Times New Roman"/>
      <w:kern w:val="0"/>
      <w:sz w:val="18"/>
      <w:szCs w:val="18"/>
    </w:rPr>
  </w:style>
  <w:style w:type="character" w:styleId="7">
    <w:name w:val="line number"/>
    <w:basedOn w:val="6"/>
    <w:uiPriority w:val="0"/>
  </w:style>
  <w:style w:type="character" w:styleId="8">
    <w:name w:val="footnote reference"/>
    <w:basedOn w:val="6"/>
    <w:qFormat/>
    <w:uiPriority w:val="0"/>
    <w:rPr>
      <w:vertAlign w:val="superscript"/>
    </w:rPr>
  </w:style>
  <w:style w:type="paragraph" w:customStyle="1" w:styleId="9">
    <w:name w:val="MDPI_1.6_affiliation"/>
    <w:basedOn w:val="1"/>
    <w:qFormat/>
    <w:uiPriority w:val="0"/>
    <w:pPr>
      <w:widowControl/>
      <w:adjustRightInd w:val="0"/>
      <w:snapToGrid w:val="0"/>
      <w:spacing w:line="200" w:lineRule="atLeast"/>
      <w:ind w:left="2806" w:hanging="198"/>
      <w:jc w:val="left"/>
    </w:pPr>
    <w:rPr>
      <w:rFonts w:ascii="Palatino Linotype" w:hAnsi="Palatino Linotype" w:eastAsia="Times New Roman" w:cs="Times New Roman"/>
      <w:color w:val="000000"/>
      <w:kern w:val="0"/>
      <w:sz w:val="16"/>
      <w:szCs w:val="18"/>
    </w:rPr>
  </w:style>
  <w:style w:type="paragraph" w:customStyle="1" w:styleId="10">
    <w:name w:val="MDPI_1.3_authornames"/>
    <w:basedOn w:val="1"/>
    <w:next w:val="1"/>
    <w:qFormat/>
    <w:uiPriority w:val="0"/>
    <w:pPr>
      <w:widowControl/>
      <w:adjustRightInd w:val="0"/>
      <w:snapToGrid w:val="0"/>
      <w:spacing w:after="360" w:line="260" w:lineRule="atLeast"/>
      <w:jc w:val="left"/>
    </w:pPr>
    <w:rPr>
      <w:rFonts w:ascii="Palatino Linotype" w:hAnsi="Palatino Linotype" w:eastAsia="Times New Roman" w:cs="Times New Roman"/>
      <w:b/>
      <w:color w:val="000000"/>
      <w:kern w:val="0"/>
      <w:sz w:val="20"/>
      <w:szCs w:val="22"/>
    </w:rPr>
  </w:style>
  <w:style w:type="character" w:customStyle="1" w:styleId="11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脚注文本 字符"/>
    <w:basedOn w:val="6"/>
    <w:link w:val="4"/>
    <w:qFormat/>
    <w:uiPriority w:val="0"/>
    <w:rPr>
      <w:rFonts w:hint="default"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9.svg"/><Relationship Id="rId12" Type="http://schemas.openxmlformats.org/officeDocument/2006/relationships/image" Target="media/image8.png"/><Relationship Id="rId11" Type="http://schemas.openxmlformats.org/officeDocument/2006/relationships/image" Target="media/image7.sv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361</Words>
  <Characters>1860</Characters>
  <Lines>16</Lines>
  <Paragraphs>4</Paragraphs>
  <TotalTime>0</TotalTime>
  <ScaleCrop>false</ScaleCrop>
  <LinksUpToDate>false</LinksUpToDate>
  <CharactersWithSpaces>2210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2022-12-14T16:58:00Z</dcterms:created>
  <dc:creator>lslbt</dc:creator>
  <cp:lastModifiedBy>柏水陌涛</cp:lastModifiedBy>
  <cp:lastPrinted>2023-01-13T00:43:00Z</cp:lastPrinted>
  <dcterms:modified xsi:type="dcterms:W3CDTF">2023-01-14T20:25:45Z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3980BAA302C446B39A5E064EA2AB0975</vt:lpwstr>
  </property>
</Properties>
</file>