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E143C8" w14:textId="77777777" w:rsidR="00FD2050" w:rsidRDefault="00FD2050" w:rsidP="00FD2050">
      <w:pPr>
        <w:rPr>
          <w:rFonts w:ascii="Times New Roman" w:hAnsi="Times New Roman"/>
          <w:b/>
          <w:sz w:val="18"/>
          <w:szCs w:val="18"/>
        </w:rPr>
      </w:pPr>
      <w:r>
        <w:rPr>
          <w:rFonts w:ascii="Times New Roman" w:hAnsi="Times New Roman"/>
          <w:b/>
          <w:sz w:val="18"/>
          <w:szCs w:val="18"/>
        </w:rPr>
        <w:t>Table 2 Calculation methods of landscape pattern indices</w:t>
      </w:r>
    </w:p>
    <w:tbl>
      <w:tblPr>
        <w:tblW w:w="10252" w:type="dxa"/>
        <w:jc w:val="center"/>
        <w:tblLayout w:type="fixed"/>
        <w:tblLook w:val="04A0" w:firstRow="1" w:lastRow="0" w:firstColumn="1" w:lastColumn="0" w:noHBand="0" w:noVBand="1"/>
      </w:tblPr>
      <w:tblGrid>
        <w:gridCol w:w="867"/>
        <w:gridCol w:w="1677"/>
        <w:gridCol w:w="2264"/>
        <w:gridCol w:w="5444"/>
      </w:tblGrid>
      <w:tr w:rsidR="00FD2050" w14:paraId="203ADEA6" w14:textId="77777777" w:rsidTr="00021E4B">
        <w:trPr>
          <w:trHeight w:val="600"/>
          <w:jc w:val="center"/>
        </w:trPr>
        <w:tc>
          <w:tcPr>
            <w:tcW w:w="867" w:type="dxa"/>
            <w:tcBorders>
              <w:top w:val="single" w:sz="12" w:space="0" w:color="auto"/>
              <w:left w:val="nil"/>
              <w:bottom w:val="single" w:sz="4" w:space="0" w:color="auto"/>
              <w:right w:val="nil"/>
            </w:tcBorders>
            <w:shd w:val="clear" w:color="auto" w:fill="auto"/>
            <w:noWrap/>
            <w:vAlign w:val="center"/>
          </w:tcPr>
          <w:p w14:paraId="6CF22346"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Number</w:t>
            </w:r>
          </w:p>
        </w:tc>
        <w:tc>
          <w:tcPr>
            <w:tcW w:w="1677" w:type="dxa"/>
            <w:tcBorders>
              <w:top w:val="single" w:sz="12" w:space="0" w:color="auto"/>
              <w:left w:val="nil"/>
              <w:bottom w:val="single" w:sz="4" w:space="0" w:color="auto"/>
              <w:right w:val="nil"/>
            </w:tcBorders>
            <w:shd w:val="clear" w:color="auto" w:fill="auto"/>
            <w:noWrap/>
            <w:vAlign w:val="center"/>
          </w:tcPr>
          <w:p w14:paraId="2040298B"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Name</w:t>
            </w:r>
          </w:p>
        </w:tc>
        <w:tc>
          <w:tcPr>
            <w:tcW w:w="2264" w:type="dxa"/>
            <w:tcBorders>
              <w:top w:val="single" w:sz="12" w:space="0" w:color="auto"/>
              <w:left w:val="nil"/>
              <w:bottom w:val="single" w:sz="4" w:space="0" w:color="auto"/>
              <w:right w:val="nil"/>
            </w:tcBorders>
            <w:shd w:val="clear" w:color="auto" w:fill="auto"/>
            <w:noWrap/>
            <w:vAlign w:val="center"/>
          </w:tcPr>
          <w:p w14:paraId="58868FBD"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Computation method</w:t>
            </w:r>
          </w:p>
        </w:tc>
        <w:tc>
          <w:tcPr>
            <w:tcW w:w="5444" w:type="dxa"/>
            <w:tcBorders>
              <w:top w:val="single" w:sz="12" w:space="0" w:color="auto"/>
              <w:left w:val="nil"/>
              <w:bottom w:val="single" w:sz="4" w:space="0" w:color="auto"/>
              <w:right w:val="nil"/>
            </w:tcBorders>
            <w:shd w:val="clear" w:color="auto" w:fill="auto"/>
            <w:noWrap/>
            <w:vAlign w:val="center"/>
          </w:tcPr>
          <w:p w14:paraId="3D45221F"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Meaning of landscape pattern indices</w:t>
            </w:r>
          </w:p>
        </w:tc>
      </w:tr>
      <w:tr w:rsidR="00FD2050" w14:paraId="1505BB00" w14:textId="77777777" w:rsidTr="00021E4B">
        <w:trPr>
          <w:trHeight w:val="383"/>
          <w:jc w:val="center"/>
        </w:trPr>
        <w:tc>
          <w:tcPr>
            <w:tcW w:w="867" w:type="dxa"/>
            <w:vMerge w:val="restart"/>
            <w:tcBorders>
              <w:top w:val="single" w:sz="4" w:space="0" w:color="auto"/>
              <w:left w:val="nil"/>
              <w:bottom w:val="nil"/>
              <w:right w:val="nil"/>
            </w:tcBorders>
            <w:shd w:val="clear" w:color="auto" w:fill="auto"/>
            <w:noWrap/>
            <w:vAlign w:val="center"/>
          </w:tcPr>
          <w:p w14:paraId="0D7C428D" w14:textId="77777777" w:rsidR="00FD2050" w:rsidRDefault="00FD2050" w:rsidP="00021E4B">
            <w:pPr>
              <w:jc w:val="center"/>
              <w:rPr>
                <w:rFonts w:ascii="Times New Roman" w:hAnsi="Times New Roman"/>
                <w:sz w:val="18"/>
                <w:szCs w:val="18"/>
              </w:rPr>
            </w:pPr>
            <w:r>
              <w:rPr>
                <w:rFonts w:ascii="Times New Roman" w:hAnsi="Times New Roman"/>
                <w:sz w:val="18"/>
                <w:szCs w:val="18"/>
              </w:rPr>
              <w:t>1</w:t>
            </w:r>
          </w:p>
        </w:tc>
        <w:tc>
          <w:tcPr>
            <w:tcW w:w="1677" w:type="dxa"/>
            <w:vMerge w:val="restart"/>
            <w:tcBorders>
              <w:top w:val="single" w:sz="4" w:space="0" w:color="auto"/>
              <w:left w:val="nil"/>
              <w:bottom w:val="nil"/>
              <w:right w:val="nil"/>
            </w:tcBorders>
            <w:shd w:val="clear" w:color="auto" w:fill="auto"/>
            <w:noWrap/>
            <w:vAlign w:val="center"/>
          </w:tcPr>
          <w:p w14:paraId="7311D032" w14:textId="77777777" w:rsidR="00FD2050" w:rsidRDefault="00FD2050" w:rsidP="00021E4B">
            <w:pPr>
              <w:jc w:val="center"/>
              <w:rPr>
                <w:rFonts w:ascii="Times New Roman" w:hAnsi="Times New Roman"/>
                <w:sz w:val="18"/>
                <w:szCs w:val="18"/>
                <w:vertAlign w:val="subscript"/>
              </w:rPr>
            </w:pPr>
            <w:r>
              <w:rPr>
                <w:rFonts w:ascii="Times New Roman" w:hAnsi="Times New Roman" w:hint="eastAsia"/>
                <w:sz w:val="18"/>
                <w:szCs w:val="18"/>
              </w:rPr>
              <w:t>Landscape fragmentation index (</w:t>
            </w:r>
            <w:r>
              <w:rPr>
                <w:rFonts w:ascii="Times New Roman" w:hAnsi="Times New Roman"/>
                <w:sz w:val="18"/>
                <w:szCs w:val="18"/>
              </w:rPr>
              <w:t>C</w:t>
            </w:r>
            <w:r>
              <w:rPr>
                <w:rFonts w:ascii="Times New Roman" w:hAnsi="Times New Roman"/>
                <w:sz w:val="18"/>
                <w:szCs w:val="18"/>
                <w:vertAlign w:val="subscript"/>
              </w:rPr>
              <w:t>i</w:t>
            </w:r>
            <w:r>
              <w:rPr>
                <w:rFonts w:ascii="Times New Roman" w:hAnsi="Times New Roman" w:hint="eastAsia"/>
                <w:sz w:val="18"/>
                <w:szCs w:val="18"/>
              </w:rPr>
              <w:t>)</w:t>
            </w:r>
          </w:p>
          <w:p w14:paraId="0D6CF81E" w14:textId="77777777" w:rsidR="00FD2050" w:rsidRDefault="00FD2050" w:rsidP="00021E4B">
            <w:pPr>
              <w:jc w:val="center"/>
              <w:rPr>
                <w:rFonts w:ascii="Times New Roman" w:hAnsi="Times New Roman"/>
                <w:sz w:val="18"/>
                <w:szCs w:val="18"/>
              </w:rPr>
            </w:pPr>
          </w:p>
        </w:tc>
        <w:tc>
          <w:tcPr>
            <w:tcW w:w="2264" w:type="dxa"/>
            <w:vMerge w:val="restart"/>
            <w:tcBorders>
              <w:top w:val="single" w:sz="4" w:space="0" w:color="auto"/>
              <w:left w:val="nil"/>
              <w:bottom w:val="nil"/>
              <w:right w:val="nil"/>
            </w:tcBorders>
            <w:shd w:val="clear" w:color="auto" w:fill="auto"/>
            <w:noWrap/>
            <w:vAlign w:val="center"/>
          </w:tcPr>
          <w:p w14:paraId="28774462" w14:textId="77777777" w:rsidR="00FD2050" w:rsidRDefault="00FD2050" w:rsidP="00021E4B">
            <w:pPr>
              <w:jc w:val="center"/>
              <w:rPr>
                <w:rFonts w:ascii="Times New Roman" w:hAnsi="Times New Roman"/>
                <w:sz w:val="18"/>
                <w:szCs w:val="18"/>
              </w:rPr>
            </w:pPr>
            <m:oMathPara>
              <m:oMath>
                <m:sSub>
                  <m:sSubPr>
                    <m:ctrlPr>
                      <w:rPr>
                        <w:rFonts w:ascii="DejaVu Math TeX Gyre" w:hAnsi="DejaVu Math TeX Gyre"/>
                        <w:i/>
                        <w:sz w:val="18"/>
                        <w:szCs w:val="18"/>
                      </w:rPr>
                    </m:ctrlPr>
                  </m:sSubPr>
                  <m:e>
                    <m:r>
                      <w:rPr>
                        <w:rFonts w:ascii="DejaVu Math TeX Gyre" w:hAnsi="DejaVu Math TeX Gyre" w:hint="eastAsia"/>
                        <w:sz w:val="18"/>
                        <w:szCs w:val="18"/>
                      </w:rPr>
                      <m:t>C</m:t>
                    </m:r>
                  </m:e>
                  <m:sub>
                    <m:r>
                      <w:rPr>
                        <w:rFonts w:ascii="DejaVu Math TeX Gyre" w:hAnsi="DejaVu Math TeX Gyre" w:hint="eastAsia"/>
                        <w:sz w:val="18"/>
                        <w:szCs w:val="18"/>
                      </w:rPr>
                      <m:t>i</m:t>
                    </m:r>
                  </m:sub>
                </m:sSub>
                <m:r>
                  <w:rPr>
                    <w:rFonts w:ascii="DejaVu Math TeX Gyre" w:hAnsi="DejaVu Math TeX Gyre"/>
                    <w:sz w:val="18"/>
                    <w:szCs w:val="18"/>
                  </w:rPr>
                  <m:t>=</m:t>
                </m:r>
                <m:f>
                  <m:fPr>
                    <m:ctrlPr>
                      <w:rPr>
                        <w:rFonts w:ascii="DejaVu Math TeX Gyre" w:hAnsi="DejaVu Math TeX Gyre"/>
                        <w:i/>
                        <w:sz w:val="18"/>
                        <w:szCs w:val="18"/>
                      </w:rPr>
                    </m:ctrlPr>
                  </m:fPr>
                  <m:num>
                    <m:sSub>
                      <m:sSubPr>
                        <m:ctrlPr>
                          <w:rPr>
                            <w:rFonts w:ascii="DejaVu Math TeX Gyre" w:hAnsi="DejaVu Math TeX Gyre"/>
                            <w:i/>
                            <w:sz w:val="18"/>
                            <w:szCs w:val="18"/>
                          </w:rPr>
                        </m:ctrlPr>
                      </m:sSubPr>
                      <m:e>
                        <m:r>
                          <w:rPr>
                            <w:rFonts w:ascii="DejaVu Math TeX Gyre" w:hAnsi="DejaVu Math TeX Gyre" w:hint="eastAsia"/>
                            <w:sz w:val="18"/>
                            <w:szCs w:val="18"/>
                          </w:rPr>
                          <m:t>n</m:t>
                        </m:r>
                      </m:e>
                      <m:sub>
                        <m:r>
                          <w:rPr>
                            <w:rFonts w:ascii="DejaVu Math TeX Gyre" w:hAnsi="DejaVu Math TeX Gyre" w:hint="eastAsia"/>
                            <w:sz w:val="18"/>
                            <w:szCs w:val="18"/>
                          </w:rPr>
                          <m:t>i</m:t>
                        </m:r>
                      </m:sub>
                    </m:sSub>
                  </m:num>
                  <m:den>
                    <m:sSub>
                      <m:sSubPr>
                        <m:ctrlPr>
                          <w:rPr>
                            <w:rFonts w:ascii="DejaVu Math TeX Gyre" w:hAnsi="DejaVu Math TeX Gyre"/>
                            <w:i/>
                            <w:sz w:val="18"/>
                            <w:szCs w:val="18"/>
                          </w:rPr>
                        </m:ctrlPr>
                      </m:sSubPr>
                      <m:e>
                        <m:r>
                          <w:rPr>
                            <w:rFonts w:ascii="DejaVu Math TeX Gyre" w:hAnsi="DejaVu Math TeX Gyre" w:hint="eastAsia"/>
                            <w:sz w:val="18"/>
                            <w:szCs w:val="18"/>
                          </w:rPr>
                          <m:t>A</m:t>
                        </m:r>
                      </m:e>
                      <m:sub>
                        <m:r>
                          <w:rPr>
                            <w:rFonts w:ascii="DejaVu Math TeX Gyre" w:hAnsi="DejaVu Math TeX Gyre" w:hint="eastAsia"/>
                            <w:sz w:val="18"/>
                            <w:szCs w:val="18"/>
                          </w:rPr>
                          <m:t>i</m:t>
                        </m:r>
                      </m:sub>
                    </m:sSub>
                  </m:den>
                </m:f>
              </m:oMath>
            </m:oMathPara>
          </w:p>
        </w:tc>
        <w:tc>
          <w:tcPr>
            <w:tcW w:w="5444" w:type="dxa"/>
            <w:vMerge w:val="restart"/>
            <w:tcBorders>
              <w:top w:val="single" w:sz="4" w:space="0" w:color="auto"/>
              <w:left w:val="nil"/>
              <w:bottom w:val="nil"/>
              <w:right w:val="nil"/>
            </w:tcBorders>
            <w:shd w:val="clear" w:color="auto" w:fill="auto"/>
            <w:vAlign w:val="center"/>
          </w:tcPr>
          <w:p w14:paraId="028720E6" w14:textId="77777777" w:rsidR="00FD2050" w:rsidRDefault="00FD2050" w:rsidP="00021E4B">
            <w:pPr>
              <w:rPr>
                <w:rFonts w:ascii="Times New Roman" w:hAnsi="Times New Roman"/>
                <w:sz w:val="18"/>
                <w:szCs w:val="18"/>
              </w:rPr>
            </w:pPr>
            <w:r>
              <w:rPr>
                <w:rFonts w:ascii="Times New Roman" w:hAnsi="Times New Roman"/>
                <w:sz w:val="18"/>
                <w:szCs w:val="18"/>
              </w:rPr>
              <w:t xml:space="preserve">This value is used to express the degree of fragmentation of the whole landscape or a certain landscape type at a given time and comprehensive nature, that is, the process of landscape mosaic from a single homogeneous and continuous whole to complex, heterogeneous and discontinuous patches under the action of natural or human disturbance. The larger this value is, the lower the internal stability of the landscape unit is, and the lower the ecosystem stability of the corresponding landscape is [10]. Where: the number of patches of landscape type; Is the total area of landscape type. </w:t>
            </w:r>
          </w:p>
        </w:tc>
      </w:tr>
      <w:tr w:rsidR="00FD2050" w14:paraId="0B4B0BAF" w14:textId="77777777" w:rsidTr="00021E4B">
        <w:trPr>
          <w:trHeight w:val="383"/>
          <w:jc w:val="center"/>
        </w:trPr>
        <w:tc>
          <w:tcPr>
            <w:tcW w:w="867" w:type="dxa"/>
            <w:vMerge/>
            <w:tcBorders>
              <w:top w:val="nil"/>
              <w:left w:val="nil"/>
              <w:bottom w:val="nil"/>
              <w:right w:val="nil"/>
            </w:tcBorders>
            <w:vAlign w:val="center"/>
          </w:tcPr>
          <w:p w14:paraId="17E39F42"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1261708F"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3F27DFA9"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77BC3BB2" w14:textId="77777777" w:rsidR="00FD2050" w:rsidRDefault="00FD2050" w:rsidP="00021E4B">
            <w:pPr>
              <w:rPr>
                <w:rFonts w:ascii="Times New Roman" w:hAnsi="Times New Roman"/>
                <w:sz w:val="18"/>
                <w:szCs w:val="18"/>
              </w:rPr>
            </w:pPr>
          </w:p>
        </w:tc>
      </w:tr>
      <w:tr w:rsidR="00FD2050" w14:paraId="39982D1B" w14:textId="77777777" w:rsidTr="00021E4B">
        <w:trPr>
          <w:trHeight w:val="383"/>
          <w:jc w:val="center"/>
        </w:trPr>
        <w:tc>
          <w:tcPr>
            <w:tcW w:w="867" w:type="dxa"/>
            <w:vMerge/>
            <w:tcBorders>
              <w:top w:val="nil"/>
              <w:left w:val="nil"/>
              <w:bottom w:val="nil"/>
              <w:right w:val="nil"/>
            </w:tcBorders>
            <w:vAlign w:val="center"/>
          </w:tcPr>
          <w:p w14:paraId="590C0154"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3C9BDBAB"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4246F508"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3732F971" w14:textId="77777777" w:rsidR="00FD2050" w:rsidRDefault="00FD2050" w:rsidP="00021E4B">
            <w:pPr>
              <w:rPr>
                <w:rFonts w:ascii="Times New Roman" w:hAnsi="Times New Roman"/>
                <w:sz w:val="18"/>
                <w:szCs w:val="18"/>
              </w:rPr>
            </w:pPr>
          </w:p>
        </w:tc>
      </w:tr>
      <w:tr w:rsidR="00FD2050" w14:paraId="234630EA" w14:textId="77777777" w:rsidTr="00021E4B">
        <w:trPr>
          <w:trHeight w:val="383"/>
          <w:jc w:val="center"/>
        </w:trPr>
        <w:tc>
          <w:tcPr>
            <w:tcW w:w="867" w:type="dxa"/>
            <w:vMerge w:val="restart"/>
            <w:tcBorders>
              <w:top w:val="nil"/>
              <w:left w:val="nil"/>
              <w:bottom w:val="nil"/>
              <w:right w:val="nil"/>
            </w:tcBorders>
            <w:shd w:val="clear" w:color="auto" w:fill="auto"/>
            <w:noWrap/>
            <w:vAlign w:val="center"/>
          </w:tcPr>
          <w:p w14:paraId="1E074279" w14:textId="77777777" w:rsidR="00FD2050" w:rsidRDefault="00FD2050" w:rsidP="00021E4B">
            <w:pPr>
              <w:jc w:val="center"/>
              <w:rPr>
                <w:rFonts w:ascii="Times New Roman" w:hAnsi="Times New Roman"/>
                <w:sz w:val="18"/>
                <w:szCs w:val="18"/>
              </w:rPr>
            </w:pPr>
            <w:r>
              <w:rPr>
                <w:rFonts w:ascii="Times New Roman" w:hAnsi="Times New Roman"/>
                <w:sz w:val="18"/>
                <w:szCs w:val="18"/>
              </w:rPr>
              <w:t>2</w:t>
            </w:r>
          </w:p>
        </w:tc>
        <w:tc>
          <w:tcPr>
            <w:tcW w:w="1677" w:type="dxa"/>
            <w:vMerge w:val="restart"/>
            <w:tcBorders>
              <w:top w:val="nil"/>
              <w:left w:val="nil"/>
              <w:bottom w:val="nil"/>
              <w:right w:val="nil"/>
            </w:tcBorders>
            <w:shd w:val="clear" w:color="auto" w:fill="auto"/>
            <w:noWrap/>
            <w:vAlign w:val="center"/>
          </w:tcPr>
          <w:p w14:paraId="178DD162"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Landscape Abruption index (</w:t>
            </w:r>
            <w:r>
              <w:rPr>
                <w:rFonts w:ascii="Times New Roman" w:hAnsi="Times New Roman"/>
                <w:sz w:val="18"/>
                <w:szCs w:val="18"/>
              </w:rPr>
              <w:t>N</w:t>
            </w:r>
            <w:r>
              <w:rPr>
                <w:rFonts w:ascii="Times New Roman" w:hAnsi="Times New Roman"/>
                <w:sz w:val="18"/>
                <w:szCs w:val="18"/>
                <w:vertAlign w:val="subscript"/>
              </w:rPr>
              <w:t>i</w:t>
            </w:r>
            <w:r>
              <w:rPr>
                <w:rFonts w:ascii="Times New Roman" w:hAnsi="Times New Roman"/>
                <w:sz w:val="18"/>
                <w:szCs w:val="18"/>
                <w:vertAlign w:val="superscript"/>
              </w:rPr>
              <w:t>[2</w:t>
            </w:r>
            <w:r>
              <w:rPr>
                <w:rFonts w:ascii="Times New Roman" w:hAnsi="Times New Roman" w:hint="eastAsia"/>
                <w:sz w:val="18"/>
                <w:szCs w:val="18"/>
                <w:vertAlign w:val="superscript"/>
              </w:rPr>
              <w:t>9</w:t>
            </w:r>
            <w:r>
              <w:rPr>
                <w:rFonts w:ascii="Times New Roman" w:hAnsi="Times New Roman"/>
                <w:sz w:val="18"/>
                <w:szCs w:val="18"/>
                <w:vertAlign w:val="superscript"/>
              </w:rPr>
              <w:t>]</w:t>
            </w:r>
            <w:r>
              <w:rPr>
                <w:rFonts w:ascii="Times New Roman" w:hAnsi="Times New Roman" w:hint="eastAsia"/>
                <w:sz w:val="18"/>
                <w:szCs w:val="18"/>
              </w:rPr>
              <w:t>)</w:t>
            </w:r>
          </w:p>
        </w:tc>
        <w:tc>
          <w:tcPr>
            <w:tcW w:w="2264" w:type="dxa"/>
            <w:vMerge w:val="restart"/>
            <w:tcBorders>
              <w:top w:val="nil"/>
              <w:left w:val="nil"/>
              <w:bottom w:val="nil"/>
              <w:right w:val="nil"/>
            </w:tcBorders>
            <w:shd w:val="clear" w:color="auto" w:fill="auto"/>
            <w:noWrap/>
            <w:vAlign w:val="center"/>
          </w:tcPr>
          <w:p w14:paraId="36A663A2" w14:textId="77777777" w:rsidR="00FD2050" w:rsidRDefault="00FD2050" w:rsidP="00021E4B">
            <w:pPr>
              <w:jc w:val="center"/>
              <w:rPr>
                <w:rFonts w:hAnsi="DejaVu Math TeX Gyre"/>
                <w:sz w:val="18"/>
                <w:szCs w:val="18"/>
              </w:rPr>
            </w:pPr>
            <m:oMathPara>
              <m:oMath>
                <m:sSub>
                  <m:sSubPr>
                    <m:ctrlPr>
                      <w:rPr>
                        <w:rFonts w:ascii="DejaVu Math TeX Gyre" w:hAnsi="DejaVu Math TeX Gyre"/>
                        <w:i/>
                        <w:sz w:val="18"/>
                        <w:szCs w:val="18"/>
                      </w:rPr>
                    </m:ctrlPr>
                  </m:sSubPr>
                  <m:e>
                    <m:r>
                      <w:rPr>
                        <w:rFonts w:ascii="DejaVu Math TeX Gyre" w:hAnsi="DejaVu Math TeX Gyre" w:hint="eastAsia"/>
                        <w:sz w:val="18"/>
                        <w:szCs w:val="18"/>
                      </w:rPr>
                      <m:t>N</m:t>
                    </m:r>
                  </m:e>
                  <m:sub>
                    <m:r>
                      <w:rPr>
                        <w:rFonts w:ascii="DejaVu Math TeX Gyre" w:hAnsi="DejaVu Math TeX Gyre" w:hint="eastAsia"/>
                        <w:sz w:val="18"/>
                        <w:szCs w:val="18"/>
                      </w:rPr>
                      <m:t>i</m:t>
                    </m:r>
                  </m:sub>
                </m:sSub>
                <m:r>
                  <w:rPr>
                    <w:rFonts w:ascii="DejaVu Math TeX Gyre" w:hAnsi="DejaVu Math TeX Gyre"/>
                    <w:sz w:val="18"/>
                    <w:szCs w:val="18"/>
                  </w:rPr>
                  <m:t>=</m:t>
                </m:r>
                <m:sSub>
                  <m:sSubPr>
                    <m:ctrlPr>
                      <w:rPr>
                        <w:rFonts w:ascii="DejaVu Math TeX Gyre" w:hAnsi="DejaVu Math TeX Gyre"/>
                        <w:i/>
                        <w:sz w:val="18"/>
                        <w:szCs w:val="18"/>
                      </w:rPr>
                    </m:ctrlPr>
                  </m:sSubPr>
                  <m:e>
                    <m:r>
                      <w:rPr>
                        <w:rFonts w:ascii="DejaVu Math TeX Gyre" w:hAnsi="DejaVu Math TeX Gyre" w:hint="eastAsia"/>
                        <w:sz w:val="18"/>
                        <w:szCs w:val="18"/>
                      </w:rPr>
                      <m:t>l</m:t>
                    </m:r>
                  </m:e>
                  <m:sub>
                    <m:r>
                      <w:rPr>
                        <w:rFonts w:ascii="DejaVu Math TeX Gyre" w:hAnsi="DejaVu Math TeX Gyre" w:hint="eastAsia"/>
                        <w:sz w:val="18"/>
                        <w:szCs w:val="18"/>
                      </w:rPr>
                      <m:t>i</m:t>
                    </m:r>
                  </m:sub>
                </m:sSub>
                <m:r>
                  <w:rPr>
                    <w:rFonts w:ascii="DejaVu Math TeX Gyre" w:hAnsi="DejaVu Math TeX Gyre"/>
                    <w:sz w:val="18"/>
                    <w:szCs w:val="18"/>
                  </w:rPr>
                  <m:t>×</m:t>
                </m:r>
                <m:f>
                  <m:fPr>
                    <m:type m:val="skw"/>
                    <m:ctrlPr>
                      <w:rPr>
                        <w:rFonts w:ascii="DejaVu Math TeX Gyre" w:hAnsi="DejaVu Math TeX Gyre"/>
                        <w:i/>
                        <w:sz w:val="18"/>
                        <w:szCs w:val="18"/>
                      </w:rPr>
                    </m:ctrlPr>
                  </m:fPr>
                  <m:num>
                    <m:r>
                      <w:rPr>
                        <w:rFonts w:ascii="DejaVu Math TeX Gyre" w:hAnsi="DejaVu Math TeX Gyre" w:hint="eastAsia"/>
                        <w:sz w:val="18"/>
                        <w:szCs w:val="18"/>
                      </w:rPr>
                      <m:t>A</m:t>
                    </m:r>
                  </m:num>
                  <m:den>
                    <m:sSub>
                      <m:sSubPr>
                        <m:ctrlPr>
                          <w:rPr>
                            <w:rFonts w:ascii="DejaVu Math TeX Gyre" w:hAnsi="DejaVu Math TeX Gyre"/>
                            <w:i/>
                            <w:sz w:val="18"/>
                            <w:szCs w:val="18"/>
                          </w:rPr>
                        </m:ctrlPr>
                      </m:sSubPr>
                      <m:e>
                        <m:r>
                          <w:rPr>
                            <w:rFonts w:ascii="DejaVu Math TeX Gyre" w:hAnsi="DejaVu Math TeX Gyre" w:hint="eastAsia"/>
                            <w:sz w:val="18"/>
                            <w:szCs w:val="18"/>
                          </w:rPr>
                          <m:t>A</m:t>
                        </m:r>
                      </m:e>
                      <m:sub>
                        <m:r>
                          <w:rPr>
                            <w:rFonts w:ascii="DejaVu Math TeX Gyre" w:hAnsi="DejaVu Math TeX Gyre" w:hint="eastAsia"/>
                            <w:sz w:val="18"/>
                            <w:szCs w:val="18"/>
                          </w:rPr>
                          <m:t>i</m:t>
                        </m:r>
                      </m:sub>
                    </m:sSub>
                  </m:den>
                </m:f>
              </m:oMath>
            </m:oMathPara>
          </w:p>
          <w:p w14:paraId="28491F2F" w14:textId="77777777" w:rsidR="00FD2050" w:rsidRDefault="00FD2050" w:rsidP="00021E4B">
            <w:pPr>
              <w:jc w:val="center"/>
              <w:rPr>
                <w:rFonts w:hAnsi="DejaVu Math TeX Gyre"/>
                <w:sz w:val="18"/>
                <w:szCs w:val="18"/>
              </w:rPr>
            </w:pPr>
            <m:oMathPara>
              <m:oMath>
                <m:sSub>
                  <m:sSubPr>
                    <m:ctrlPr>
                      <w:rPr>
                        <w:rFonts w:ascii="DejaVu Math TeX Gyre" w:hAnsi="DejaVu Math TeX Gyre"/>
                        <w:i/>
                        <w:sz w:val="18"/>
                        <w:szCs w:val="18"/>
                      </w:rPr>
                    </m:ctrlPr>
                  </m:sSubPr>
                  <m:e>
                    <m:r>
                      <w:rPr>
                        <w:rFonts w:ascii="DejaVu Math TeX Gyre" w:hAnsi="DejaVu Math TeX Gyre" w:hint="eastAsia"/>
                        <w:sz w:val="18"/>
                        <w:szCs w:val="18"/>
                      </w:rPr>
                      <m:t>l</m:t>
                    </m:r>
                  </m:e>
                  <m:sub>
                    <m:r>
                      <w:rPr>
                        <w:rFonts w:ascii="DejaVu Math TeX Gyre" w:hAnsi="DejaVu Math TeX Gyre" w:hint="eastAsia"/>
                        <w:sz w:val="18"/>
                        <w:szCs w:val="18"/>
                      </w:rPr>
                      <m:t>i</m:t>
                    </m:r>
                  </m:sub>
                </m:sSub>
                <m:r>
                  <w:rPr>
                    <w:rFonts w:ascii="DejaVu Math TeX Gyre" w:hAnsi="DejaVu Math TeX Gyre"/>
                    <w:sz w:val="18"/>
                    <w:szCs w:val="18"/>
                  </w:rPr>
                  <m:t>=</m:t>
                </m:r>
                <m:f>
                  <m:fPr>
                    <m:ctrlPr>
                      <w:rPr>
                        <w:rFonts w:ascii="DejaVu Math TeX Gyre" w:hAnsi="DejaVu Math TeX Gyre"/>
                        <w:i/>
                        <w:sz w:val="18"/>
                        <w:szCs w:val="18"/>
                      </w:rPr>
                    </m:ctrlPr>
                  </m:fPr>
                  <m:num>
                    <m:r>
                      <w:rPr>
                        <w:rFonts w:ascii="DejaVu Math TeX Gyre" w:hAnsi="DejaVu Math TeX Gyre" w:hint="eastAsia"/>
                        <w:sz w:val="18"/>
                        <w:szCs w:val="18"/>
                      </w:rPr>
                      <m:t>1</m:t>
                    </m:r>
                  </m:num>
                  <m:den>
                    <m:r>
                      <w:rPr>
                        <w:rFonts w:ascii="DejaVu Math TeX Gyre" w:hAnsi="DejaVu Math TeX Gyre" w:hint="eastAsia"/>
                        <w:sz w:val="18"/>
                        <w:szCs w:val="18"/>
                      </w:rPr>
                      <m:t>2</m:t>
                    </m:r>
                  </m:den>
                </m:f>
                <m:rad>
                  <m:radPr>
                    <m:degHide m:val="1"/>
                    <m:ctrlPr>
                      <w:rPr>
                        <w:rFonts w:ascii="DejaVu Math TeX Gyre" w:hAnsi="DejaVu Math TeX Gyre"/>
                        <w:i/>
                        <w:sz w:val="18"/>
                        <w:szCs w:val="18"/>
                      </w:rPr>
                    </m:ctrlPr>
                  </m:radPr>
                  <m:deg/>
                  <m:e>
                    <m:f>
                      <m:fPr>
                        <m:ctrlPr>
                          <w:rPr>
                            <w:rFonts w:ascii="DejaVu Math TeX Gyre" w:hAnsi="DejaVu Math TeX Gyre"/>
                            <w:i/>
                            <w:sz w:val="18"/>
                            <w:szCs w:val="18"/>
                          </w:rPr>
                        </m:ctrlPr>
                      </m:fPr>
                      <m:num>
                        <m:sSub>
                          <m:sSubPr>
                            <m:ctrlPr>
                              <w:rPr>
                                <w:rFonts w:ascii="DejaVu Math TeX Gyre" w:hAnsi="DejaVu Math TeX Gyre"/>
                                <w:i/>
                                <w:sz w:val="18"/>
                                <w:szCs w:val="18"/>
                              </w:rPr>
                            </m:ctrlPr>
                          </m:sSubPr>
                          <m:e>
                            <m:r>
                              <w:rPr>
                                <w:rFonts w:ascii="DejaVu Math TeX Gyre" w:hAnsi="DejaVu Math TeX Gyre" w:hint="eastAsia"/>
                                <w:sz w:val="18"/>
                                <w:szCs w:val="18"/>
                              </w:rPr>
                              <m:t>n</m:t>
                            </m:r>
                          </m:e>
                          <m:sub>
                            <m:r>
                              <w:rPr>
                                <w:rFonts w:ascii="DejaVu Math TeX Gyre" w:hAnsi="DejaVu Math TeX Gyre" w:hint="eastAsia"/>
                                <w:sz w:val="18"/>
                                <w:szCs w:val="18"/>
                              </w:rPr>
                              <m:t>i</m:t>
                            </m:r>
                          </m:sub>
                        </m:sSub>
                      </m:num>
                      <m:den>
                        <m:r>
                          <w:rPr>
                            <w:rFonts w:ascii="DejaVu Math TeX Gyre" w:hAnsi="DejaVu Math TeX Gyre" w:hint="eastAsia"/>
                            <w:sz w:val="18"/>
                            <w:szCs w:val="18"/>
                          </w:rPr>
                          <m:t>A</m:t>
                        </m:r>
                      </m:den>
                    </m:f>
                  </m:e>
                </m:rad>
              </m:oMath>
            </m:oMathPara>
          </w:p>
        </w:tc>
        <w:tc>
          <w:tcPr>
            <w:tcW w:w="5444" w:type="dxa"/>
            <w:vMerge w:val="restart"/>
            <w:tcBorders>
              <w:top w:val="nil"/>
              <w:left w:val="nil"/>
              <w:bottom w:val="nil"/>
              <w:right w:val="nil"/>
            </w:tcBorders>
            <w:shd w:val="clear" w:color="auto" w:fill="auto"/>
            <w:noWrap/>
            <w:vAlign w:val="center"/>
          </w:tcPr>
          <w:p w14:paraId="183E260B" w14:textId="77777777" w:rsidR="00FD2050" w:rsidRDefault="00FD2050" w:rsidP="00021E4B">
            <w:pPr>
              <w:rPr>
                <w:rFonts w:ascii="Times New Roman" w:hAnsi="Times New Roman"/>
                <w:sz w:val="18"/>
                <w:szCs w:val="18"/>
              </w:rPr>
            </w:pPr>
            <w:r>
              <w:rPr>
                <w:rFonts w:ascii="Times New Roman" w:hAnsi="Times New Roman"/>
                <w:sz w:val="18"/>
                <w:szCs w:val="18"/>
              </w:rPr>
              <w:t>It refers to the degree of separation of individual distribution of different elements or patches in a landscape type. A greater degree of separation indicates a more geographically dispersed landscape, a more complex landscape distribution, and a higher degree of fragmentation. Where: is the distance index of landscape type; Is the total landscape area .</w:t>
            </w:r>
          </w:p>
        </w:tc>
      </w:tr>
      <w:tr w:rsidR="00FD2050" w14:paraId="39DE4A3D" w14:textId="77777777" w:rsidTr="00021E4B">
        <w:trPr>
          <w:trHeight w:val="383"/>
          <w:jc w:val="center"/>
        </w:trPr>
        <w:tc>
          <w:tcPr>
            <w:tcW w:w="867" w:type="dxa"/>
            <w:vMerge/>
            <w:tcBorders>
              <w:top w:val="nil"/>
              <w:left w:val="nil"/>
              <w:bottom w:val="nil"/>
              <w:right w:val="nil"/>
            </w:tcBorders>
            <w:vAlign w:val="center"/>
          </w:tcPr>
          <w:p w14:paraId="56CF4E55"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69FCFE19"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29AD0284"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6D4637F9" w14:textId="77777777" w:rsidR="00FD2050" w:rsidRDefault="00FD2050" w:rsidP="00021E4B">
            <w:pPr>
              <w:rPr>
                <w:rFonts w:ascii="Times New Roman" w:hAnsi="Times New Roman"/>
                <w:sz w:val="18"/>
                <w:szCs w:val="18"/>
              </w:rPr>
            </w:pPr>
          </w:p>
        </w:tc>
      </w:tr>
      <w:tr w:rsidR="00FD2050" w14:paraId="2602051D" w14:textId="77777777" w:rsidTr="00021E4B">
        <w:trPr>
          <w:trHeight w:val="383"/>
          <w:jc w:val="center"/>
        </w:trPr>
        <w:tc>
          <w:tcPr>
            <w:tcW w:w="867" w:type="dxa"/>
            <w:vMerge/>
            <w:tcBorders>
              <w:top w:val="nil"/>
              <w:left w:val="nil"/>
              <w:bottom w:val="nil"/>
              <w:right w:val="nil"/>
            </w:tcBorders>
            <w:vAlign w:val="center"/>
          </w:tcPr>
          <w:p w14:paraId="1FD2C687"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7416DDA4"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2C41CA0D"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72F116BB" w14:textId="77777777" w:rsidR="00FD2050" w:rsidRDefault="00FD2050" w:rsidP="00021E4B">
            <w:pPr>
              <w:rPr>
                <w:rFonts w:ascii="Times New Roman" w:hAnsi="Times New Roman"/>
                <w:sz w:val="18"/>
                <w:szCs w:val="18"/>
              </w:rPr>
            </w:pPr>
          </w:p>
        </w:tc>
      </w:tr>
      <w:tr w:rsidR="00FD2050" w14:paraId="4F9EA1AC" w14:textId="77777777" w:rsidTr="00021E4B">
        <w:trPr>
          <w:trHeight w:val="383"/>
          <w:jc w:val="center"/>
        </w:trPr>
        <w:tc>
          <w:tcPr>
            <w:tcW w:w="867" w:type="dxa"/>
            <w:vMerge w:val="restart"/>
            <w:tcBorders>
              <w:top w:val="nil"/>
              <w:left w:val="nil"/>
              <w:bottom w:val="nil"/>
              <w:right w:val="nil"/>
            </w:tcBorders>
            <w:shd w:val="clear" w:color="auto" w:fill="auto"/>
            <w:noWrap/>
            <w:vAlign w:val="center"/>
          </w:tcPr>
          <w:p w14:paraId="368AE2B5" w14:textId="77777777" w:rsidR="00FD2050" w:rsidRDefault="00FD2050" w:rsidP="00021E4B">
            <w:pPr>
              <w:jc w:val="center"/>
              <w:rPr>
                <w:rFonts w:ascii="Times New Roman" w:hAnsi="Times New Roman"/>
                <w:sz w:val="18"/>
                <w:szCs w:val="18"/>
              </w:rPr>
            </w:pPr>
            <w:r>
              <w:rPr>
                <w:rFonts w:ascii="Times New Roman" w:hAnsi="Times New Roman"/>
                <w:sz w:val="18"/>
                <w:szCs w:val="18"/>
              </w:rPr>
              <w:t>3</w:t>
            </w:r>
          </w:p>
        </w:tc>
        <w:tc>
          <w:tcPr>
            <w:tcW w:w="1677" w:type="dxa"/>
            <w:vMerge w:val="restart"/>
            <w:tcBorders>
              <w:top w:val="nil"/>
              <w:left w:val="nil"/>
              <w:bottom w:val="nil"/>
              <w:right w:val="nil"/>
            </w:tcBorders>
            <w:shd w:val="clear" w:color="auto" w:fill="auto"/>
            <w:noWrap/>
            <w:vAlign w:val="center"/>
          </w:tcPr>
          <w:p w14:paraId="092803F0" w14:textId="77777777" w:rsidR="00FD2050" w:rsidRDefault="00FD2050" w:rsidP="00021E4B">
            <w:pPr>
              <w:jc w:val="center"/>
              <w:rPr>
                <w:rFonts w:ascii="Times New Roman" w:hAnsi="Times New Roman"/>
                <w:sz w:val="18"/>
                <w:szCs w:val="18"/>
                <w:vertAlign w:val="subscript"/>
              </w:rPr>
            </w:pPr>
            <w:r>
              <w:rPr>
                <w:rFonts w:ascii="Times New Roman" w:hAnsi="Times New Roman" w:hint="eastAsia"/>
                <w:sz w:val="18"/>
                <w:szCs w:val="18"/>
              </w:rPr>
              <w:t>Landscape  fractal dimension(</w:t>
            </w:r>
            <w:r>
              <w:rPr>
                <w:rFonts w:ascii="Times New Roman" w:hAnsi="Times New Roman"/>
                <w:sz w:val="18"/>
                <w:szCs w:val="18"/>
              </w:rPr>
              <w:t>F</w:t>
            </w:r>
            <w:r>
              <w:rPr>
                <w:rFonts w:ascii="Times New Roman" w:hAnsi="Times New Roman"/>
                <w:sz w:val="18"/>
                <w:szCs w:val="18"/>
                <w:vertAlign w:val="subscript"/>
              </w:rPr>
              <w:t>i</w:t>
            </w:r>
            <w:r>
              <w:rPr>
                <w:rFonts w:ascii="Times New Roman" w:hAnsi="Times New Roman" w:hint="eastAsia"/>
                <w:sz w:val="18"/>
                <w:szCs w:val="18"/>
                <w:vertAlign w:val="subscript"/>
              </w:rPr>
              <w:t>)</w:t>
            </w:r>
          </w:p>
          <w:p w14:paraId="5F2BBAEB" w14:textId="77777777" w:rsidR="00FD2050" w:rsidRDefault="00FD2050" w:rsidP="00021E4B">
            <w:pPr>
              <w:jc w:val="center"/>
              <w:rPr>
                <w:rFonts w:ascii="Times New Roman" w:hAnsi="Times New Roman"/>
                <w:sz w:val="18"/>
                <w:szCs w:val="18"/>
              </w:rPr>
            </w:pPr>
          </w:p>
        </w:tc>
        <w:tc>
          <w:tcPr>
            <w:tcW w:w="2264" w:type="dxa"/>
            <w:vMerge w:val="restart"/>
            <w:tcBorders>
              <w:top w:val="nil"/>
              <w:left w:val="nil"/>
              <w:bottom w:val="nil"/>
              <w:right w:val="nil"/>
            </w:tcBorders>
            <w:shd w:val="clear" w:color="auto" w:fill="auto"/>
            <w:noWrap/>
            <w:vAlign w:val="center"/>
          </w:tcPr>
          <w:p w14:paraId="2BAEB412" w14:textId="77777777" w:rsidR="00FD2050" w:rsidRDefault="00FD2050" w:rsidP="00021E4B">
            <w:pPr>
              <w:jc w:val="center"/>
              <w:rPr>
                <w:rFonts w:ascii="Times New Roman" w:hAnsi="Times New Roman"/>
                <w:sz w:val="18"/>
                <w:szCs w:val="18"/>
              </w:rPr>
            </w:pPr>
            <m:oMathPara>
              <m:oMath>
                <m:sSub>
                  <m:sSubPr>
                    <m:ctrlPr>
                      <w:rPr>
                        <w:rFonts w:ascii="DejaVu Math TeX Gyre" w:hAnsi="DejaVu Math TeX Gyre"/>
                        <w:i/>
                        <w:sz w:val="18"/>
                        <w:szCs w:val="18"/>
                      </w:rPr>
                    </m:ctrlPr>
                  </m:sSubPr>
                  <m:e>
                    <m:r>
                      <w:rPr>
                        <w:rFonts w:ascii="DejaVu Math TeX Gyre" w:hAnsi="DejaVu Math TeX Gyre" w:hint="eastAsia"/>
                        <w:sz w:val="18"/>
                        <w:szCs w:val="18"/>
                      </w:rPr>
                      <m:t>F</m:t>
                    </m:r>
                  </m:e>
                  <m:sub>
                    <m:r>
                      <w:rPr>
                        <w:rFonts w:ascii="DejaVu Math TeX Gyre" w:hAnsi="DejaVu Math TeX Gyre" w:hint="eastAsia"/>
                        <w:sz w:val="18"/>
                        <w:szCs w:val="18"/>
                      </w:rPr>
                      <m:t>i</m:t>
                    </m:r>
                  </m:sub>
                </m:sSub>
                <m:r>
                  <w:rPr>
                    <w:rFonts w:ascii="DejaVu Math TeX Gyre" w:hAnsi="DejaVu Math TeX Gyre"/>
                    <w:sz w:val="18"/>
                    <w:szCs w:val="18"/>
                  </w:rPr>
                  <m:t>=</m:t>
                </m:r>
                <m:f>
                  <m:fPr>
                    <m:ctrlPr>
                      <w:rPr>
                        <w:rFonts w:ascii="DejaVu Math TeX Gyre" w:hAnsi="DejaVu Math TeX Gyre"/>
                        <w:i/>
                        <w:sz w:val="18"/>
                        <w:szCs w:val="18"/>
                      </w:rPr>
                    </m:ctrlPr>
                  </m:fPr>
                  <m:num>
                    <m:r>
                      <w:rPr>
                        <w:rFonts w:ascii="DejaVu Math TeX Gyre" w:hAnsi="DejaVu Math TeX Gyre" w:hint="eastAsia"/>
                        <w:sz w:val="18"/>
                        <w:szCs w:val="18"/>
                      </w:rPr>
                      <m:t>2</m:t>
                    </m:r>
                    <m:func>
                      <m:funcPr>
                        <m:ctrlPr>
                          <w:rPr>
                            <w:rFonts w:ascii="DejaVu Math TeX Gyre" w:hAnsi="DejaVu Math TeX Gyre" w:hint="eastAsia"/>
                            <w:sz w:val="18"/>
                            <w:szCs w:val="18"/>
                          </w:rPr>
                        </m:ctrlPr>
                      </m:funcPr>
                      <m:fName>
                        <m:r>
                          <m:rPr>
                            <m:sty m:val="p"/>
                          </m:rPr>
                          <w:rPr>
                            <w:rFonts w:ascii="DejaVu Math TeX Gyre" w:hAnsi="DejaVu Math TeX Gyre"/>
                            <w:sz w:val="18"/>
                            <w:szCs w:val="18"/>
                          </w:rPr>
                          <m:t>ln</m:t>
                        </m:r>
                        <m:ctrlPr>
                          <w:rPr>
                            <w:rFonts w:ascii="DejaVu Math TeX Gyre" w:hAnsi="DejaVu Math TeX Gyre" w:hint="eastAsia"/>
                            <w:i/>
                            <w:sz w:val="18"/>
                            <w:szCs w:val="18"/>
                          </w:rPr>
                        </m:ctrlPr>
                      </m:fName>
                      <m:e>
                        <m:f>
                          <m:fPr>
                            <m:type m:val="skw"/>
                            <m:ctrlPr>
                              <w:rPr>
                                <w:rFonts w:ascii="DejaVu Math TeX Gyre" w:hAnsi="DejaVu Math TeX Gyre" w:hint="eastAsia"/>
                                <w:i/>
                                <w:sz w:val="18"/>
                                <w:szCs w:val="18"/>
                              </w:rPr>
                            </m:ctrlPr>
                          </m:fPr>
                          <m:num>
                            <m:sSub>
                              <m:sSubPr>
                                <m:ctrlPr>
                                  <w:rPr>
                                    <w:rFonts w:ascii="DejaVu Math TeX Gyre" w:hAnsi="DejaVu Math TeX Gyre" w:hint="eastAsia"/>
                                    <w:i/>
                                    <w:sz w:val="18"/>
                                    <w:szCs w:val="18"/>
                                  </w:rPr>
                                </m:ctrlPr>
                              </m:sSubPr>
                              <m:e>
                                <m:r>
                                  <w:rPr>
                                    <w:rFonts w:ascii="DejaVu Math TeX Gyre" w:hAnsi="DejaVu Math TeX Gyre" w:hint="eastAsia"/>
                                    <w:sz w:val="18"/>
                                    <w:szCs w:val="18"/>
                                  </w:rPr>
                                  <m:t>P</m:t>
                                </m:r>
                              </m:e>
                              <m:sub>
                                <m:r>
                                  <w:rPr>
                                    <w:rFonts w:ascii="DejaVu Math TeX Gyre" w:hAnsi="DejaVu Math TeX Gyre" w:hint="eastAsia"/>
                                    <w:sz w:val="18"/>
                                    <w:szCs w:val="18"/>
                                  </w:rPr>
                                  <m:t>i</m:t>
                                </m:r>
                              </m:sub>
                            </m:sSub>
                          </m:num>
                          <m:den>
                            <m:r>
                              <w:rPr>
                                <w:rFonts w:ascii="DejaVu Math TeX Gyre" w:hAnsi="DejaVu Math TeX Gyre" w:hint="eastAsia"/>
                                <w:sz w:val="18"/>
                                <w:szCs w:val="18"/>
                              </w:rPr>
                              <m:t>4</m:t>
                            </m:r>
                          </m:den>
                        </m:f>
                        <m:ctrlPr>
                          <w:rPr>
                            <w:rFonts w:ascii="DejaVu Math TeX Gyre" w:hAnsi="DejaVu Math TeX Gyre" w:hint="eastAsia"/>
                            <w:i/>
                            <w:sz w:val="18"/>
                            <w:szCs w:val="18"/>
                          </w:rPr>
                        </m:ctrlPr>
                      </m:e>
                    </m:func>
                  </m:num>
                  <m:den>
                    <m:func>
                      <m:funcPr>
                        <m:ctrlPr>
                          <w:rPr>
                            <w:rFonts w:ascii="DejaVu Math TeX Gyre" w:hAnsi="DejaVu Math TeX Gyre"/>
                            <w:sz w:val="18"/>
                            <w:szCs w:val="18"/>
                          </w:rPr>
                        </m:ctrlPr>
                      </m:funcPr>
                      <m:fName>
                        <m:r>
                          <m:rPr>
                            <m:sty m:val="p"/>
                          </m:rPr>
                          <w:rPr>
                            <w:rFonts w:ascii="DejaVu Math TeX Gyre" w:hAnsi="DejaVu Math TeX Gyre"/>
                            <w:sz w:val="18"/>
                            <w:szCs w:val="18"/>
                          </w:rPr>
                          <m:t>ln</m:t>
                        </m:r>
                        <m:ctrlPr>
                          <w:rPr>
                            <w:rFonts w:ascii="DejaVu Math TeX Gyre" w:hAnsi="DejaVu Math TeX Gyre"/>
                            <w:i/>
                            <w:sz w:val="18"/>
                            <w:szCs w:val="18"/>
                          </w:rPr>
                        </m:ctrlPr>
                      </m:fName>
                      <m:e>
                        <m:sSub>
                          <m:sSubPr>
                            <m:ctrlPr>
                              <w:rPr>
                                <w:rFonts w:ascii="DejaVu Math TeX Gyre" w:hAnsi="DejaVu Math TeX Gyre"/>
                                <w:i/>
                                <w:sz w:val="18"/>
                                <w:szCs w:val="18"/>
                              </w:rPr>
                            </m:ctrlPr>
                          </m:sSubPr>
                          <m:e>
                            <m:r>
                              <w:rPr>
                                <w:rFonts w:ascii="DejaVu Math TeX Gyre" w:hAnsi="DejaVu Math TeX Gyre" w:hint="eastAsia"/>
                                <w:sz w:val="18"/>
                                <w:szCs w:val="18"/>
                              </w:rPr>
                              <m:t>A</m:t>
                            </m:r>
                          </m:e>
                          <m:sub>
                            <m:r>
                              <w:rPr>
                                <w:rFonts w:ascii="DejaVu Math TeX Gyre" w:hAnsi="DejaVu Math TeX Gyre" w:hint="eastAsia"/>
                                <w:sz w:val="18"/>
                                <w:szCs w:val="18"/>
                              </w:rPr>
                              <m:t>i</m:t>
                            </m:r>
                          </m:sub>
                        </m:sSub>
                        <m:ctrlPr>
                          <w:rPr>
                            <w:rFonts w:ascii="DejaVu Math TeX Gyre" w:hAnsi="DejaVu Math TeX Gyre"/>
                            <w:i/>
                            <w:sz w:val="18"/>
                            <w:szCs w:val="18"/>
                          </w:rPr>
                        </m:ctrlPr>
                      </m:e>
                    </m:func>
                  </m:den>
                </m:f>
              </m:oMath>
            </m:oMathPara>
          </w:p>
        </w:tc>
        <w:tc>
          <w:tcPr>
            <w:tcW w:w="5444" w:type="dxa"/>
            <w:vMerge w:val="restart"/>
            <w:tcBorders>
              <w:top w:val="nil"/>
              <w:left w:val="nil"/>
              <w:bottom w:val="nil"/>
              <w:right w:val="nil"/>
            </w:tcBorders>
            <w:shd w:val="clear" w:color="auto" w:fill="auto"/>
            <w:vAlign w:val="center"/>
          </w:tcPr>
          <w:p w14:paraId="683EE330" w14:textId="77777777" w:rsidR="00FD2050" w:rsidRDefault="00FD2050" w:rsidP="00021E4B">
            <w:pPr>
              <w:rPr>
                <w:rFonts w:ascii="Times New Roman" w:hAnsi="Times New Roman" w:cs="Times New Roman"/>
                <w:sz w:val="18"/>
                <w:szCs w:val="18"/>
              </w:rPr>
            </w:pPr>
            <w:r>
              <w:rPr>
                <w:rFonts w:ascii="Times New Roman" w:hAnsi="Times New Roman" w:cs="Times New Roman"/>
                <w:sz w:val="18"/>
                <w:szCs w:val="18"/>
              </w:rPr>
              <w:t>The theoretical range of fractal dimension is from 1 to 2. The larger the dimension is, the more complex the shape is. When the dimension is less than 1.5, the graph tends to be simple. When dimension =1.5, the graph is in Brownian random motion. The closer to this value, the worse stability. When the dimension &gt; 1.5, the graphics tend to be complex [35]. Where: is the perimeter of the landscape type</w:t>
            </w:r>
          </w:p>
        </w:tc>
      </w:tr>
      <w:tr w:rsidR="00FD2050" w14:paraId="0D6B1668" w14:textId="77777777" w:rsidTr="00021E4B">
        <w:trPr>
          <w:trHeight w:val="383"/>
          <w:jc w:val="center"/>
        </w:trPr>
        <w:tc>
          <w:tcPr>
            <w:tcW w:w="867" w:type="dxa"/>
            <w:vMerge/>
            <w:tcBorders>
              <w:top w:val="nil"/>
              <w:left w:val="nil"/>
              <w:bottom w:val="nil"/>
              <w:right w:val="nil"/>
            </w:tcBorders>
            <w:vAlign w:val="center"/>
          </w:tcPr>
          <w:p w14:paraId="13AD1948"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72AF91CE"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547983F2"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54C7BB59" w14:textId="77777777" w:rsidR="00FD2050" w:rsidRDefault="00FD2050" w:rsidP="00021E4B">
            <w:pPr>
              <w:rPr>
                <w:rFonts w:ascii="Times New Roman" w:hAnsi="Times New Roman"/>
                <w:sz w:val="18"/>
                <w:szCs w:val="18"/>
              </w:rPr>
            </w:pPr>
          </w:p>
        </w:tc>
      </w:tr>
      <w:tr w:rsidR="00FD2050" w14:paraId="39978CB0" w14:textId="77777777" w:rsidTr="00021E4B">
        <w:trPr>
          <w:trHeight w:val="383"/>
          <w:jc w:val="center"/>
        </w:trPr>
        <w:tc>
          <w:tcPr>
            <w:tcW w:w="867" w:type="dxa"/>
            <w:vMerge/>
            <w:tcBorders>
              <w:top w:val="nil"/>
              <w:left w:val="nil"/>
              <w:bottom w:val="nil"/>
              <w:right w:val="nil"/>
            </w:tcBorders>
            <w:vAlign w:val="center"/>
          </w:tcPr>
          <w:p w14:paraId="60475BC9"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2C991D37"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09028FBD"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42510773" w14:textId="77777777" w:rsidR="00FD2050" w:rsidRDefault="00FD2050" w:rsidP="00021E4B">
            <w:pPr>
              <w:rPr>
                <w:rFonts w:ascii="Times New Roman" w:hAnsi="Times New Roman"/>
                <w:sz w:val="18"/>
                <w:szCs w:val="18"/>
              </w:rPr>
            </w:pPr>
          </w:p>
        </w:tc>
      </w:tr>
      <w:tr w:rsidR="00FD2050" w14:paraId="17D22A2B" w14:textId="77777777" w:rsidTr="00021E4B">
        <w:trPr>
          <w:trHeight w:val="425"/>
          <w:jc w:val="center"/>
        </w:trPr>
        <w:tc>
          <w:tcPr>
            <w:tcW w:w="867" w:type="dxa"/>
            <w:tcBorders>
              <w:top w:val="nil"/>
              <w:left w:val="nil"/>
              <w:bottom w:val="nil"/>
              <w:right w:val="nil"/>
            </w:tcBorders>
            <w:shd w:val="clear" w:color="auto" w:fill="auto"/>
            <w:noWrap/>
            <w:vAlign w:val="center"/>
          </w:tcPr>
          <w:p w14:paraId="05FD017A" w14:textId="77777777" w:rsidR="00FD2050" w:rsidRDefault="00FD2050" w:rsidP="00021E4B">
            <w:pPr>
              <w:jc w:val="center"/>
              <w:rPr>
                <w:rFonts w:ascii="Times New Roman" w:hAnsi="Times New Roman"/>
                <w:sz w:val="18"/>
                <w:szCs w:val="18"/>
              </w:rPr>
            </w:pPr>
            <w:r>
              <w:rPr>
                <w:rFonts w:ascii="Times New Roman" w:hAnsi="Times New Roman"/>
                <w:sz w:val="18"/>
                <w:szCs w:val="18"/>
              </w:rPr>
              <w:t>4</w:t>
            </w:r>
          </w:p>
        </w:tc>
        <w:tc>
          <w:tcPr>
            <w:tcW w:w="1677" w:type="dxa"/>
            <w:tcBorders>
              <w:top w:val="nil"/>
              <w:left w:val="nil"/>
              <w:bottom w:val="nil"/>
              <w:right w:val="nil"/>
            </w:tcBorders>
            <w:shd w:val="clear" w:color="auto" w:fill="auto"/>
            <w:noWrap/>
            <w:vAlign w:val="center"/>
          </w:tcPr>
          <w:p w14:paraId="562E4803" w14:textId="77777777" w:rsidR="00FD2050" w:rsidRDefault="00FD2050" w:rsidP="00021E4B">
            <w:pPr>
              <w:jc w:val="center"/>
              <w:rPr>
                <w:rFonts w:ascii="Times New Roman" w:hAnsi="Times New Roman"/>
                <w:sz w:val="18"/>
                <w:szCs w:val="18"/>
                <w:vertAlign w:val="superscript"/>
              </w:rPr>
            </w:pPr>
            <w:r>
              <w:rPr>
                <w:rFonts w:ascii="Times New Roman" w:hAnsi="Times New Roman" w:hint="eastAsia"/>
                <w:sz w:val="18"/>
                <w:szCs w:val="18"/>
              </w:rPr>
              <w:t>Landscape obstruction index(</w:t>
            </w:r>
            <w:r>
              <w:rPr>
                <w:rFonts w:ascii="Times New Roman" w:hAnsi="Times New Roman"/>
                <w:sz w:val="18"/>
                <w:szCs w:val="18"/>
              </w:rPr>
              <w:t>S</w:t>
            </w:r>
            <w:r>
              <w:rPr>
                <w:rFonts w:ascii="Times New Roman" w:hAnsi="Times New Roman"/>
                <w:sz w:val="18"/>
                <w:szCs w:val="18"/>
                <w:vertAlign w:val="subscript"/>
              </w:rPr>
              <w:t>i</w:t>
            </w:r>
            <w:r>
              <w:rPr>
                <w:rFonts w:ascii="Times New Roman" w:hAnsi="Times New Roman"/>
                <w:sz w:val="18"/>
                <w:szCs w:val="18"/>
                <w:vertAlign w:val="superscript"/>
              </w:rPr>
              <w:t>[</w:t>
            </w:r>
            <w:r>
              <w:rPr>
                <w:rFonts w:ascii="Times New Roman" w:hAnsi="Times New Roman" w:hint="eastAsia"/>
                <w:sz w:val="18"/>
                <w:szCs w:val="18"/>
                <w:vertAlign w:val="superscript"/>
              </w:rPr>
              <w:t>36-37</w:t>
            </w:r>
            <w:r>
              <w:rPr>
                <w:rFonts w:ascii="Times New Roman" w:hAnsi="Times New Roman"/>
                <w:sz w:val="18"/>
                <w:szCs w:val="18"/>
                <w:vertAlign w:val="superscript"/>
              </w:rPr>
              <w:t>]</w:t>
            </w:r>
            <w:r>
              <w:rPr>
                <w:rFonts w:ascii="Times New Roman" w:hAnsi="Times New Roman" w:hint="eastAsia"/>
                <w:sz w:val="18"/>
                <w:szCs w:val="18"/>
              </w:rPr>
              <w:t>)</w:t>
            </w:r>
          </w:p>
        </w:tc>
        <w:tc>
          <w:tcPr>
            <w:tcW w:w="2264" w:type="dxa"/>
            <w:tcBorders>
              <w:top w:val="nil"/>
              <w:left w:val="nil"/>
              <w:bottom w:val="nil"/>
              <w:right w:val="nil"/>
            </w:tcBorders>
            <w:shd w:val="clear" w:color="auto" w:fill="auto"/>
            <w:noWrap/>
            <w:vAlign w:val="center"/>
          </w:tcPr>
          <w:p w14:paraId="488D78C0" w14:textId="77777777" w:rsidR="00FD2050" w:rsidRDefault="00FD2050" w:rsidP="00021E4B">
            <w:pPr>
              <w:jc w:val="center"/>
              <w:rPr>
                <w:rFonts w:ascii="Times New Roman" w:hAnsi="Times New Roman"/>
                <w:sz w:val="18"/>
                <w:szCs w:val="18"/>
              </w:rPr>
            </w:pPr>
            <m:oMathPara>
              <m:oMath>
                <m:sSub>
                  <m:sSubPr>
                    <m:ctrlPr>
                      <w:rPr>
                        <w:rFonts w:ascii="DejaVu Math TeX Gyre" w:hAnsi="DejaVu Math TeX Gyre"/>
                        <w:i/>
                        <w:sz w:val="18"/>
                        <w:szCs w:val="18"/>
                      </w:rPr>
                    </m:ctrlPr>
                  </m:sSubPr>
                  <m:e>
                    <m:r>
                      <w:rPr>
                        <w:rFonts w:ascii="DejaVu Math TeX Gyre" w:hAnsi="DejaVu Math TeX Gyre" w:hint="eastAsia"/>
                        <w:sz w:val="18"/>
                        <w:szCs w:val="18"/>
                      </w:rPr>
                      <m:t>S</m:t>
                    </m:r>
                  </m:e>
                  <m:sub>
                    <m:r>
                      <w:rPr>
                        <w:rFonts w:ascii="DejaVu Math TeX Gyre" w:hAnsi="DejaVu Math TeX Gyre" w:hint="eastAsia"/>
                        <w:sz w:val="18"/>
                        <w:szCs w:val="18"/>
                      </w:rPr>
                      <m:t>i</m:t>
                    </m:r>
                  </m:sub>
                </m:sSub>
                <m:r>
                  <w:rPr>
                    <w:rFonts w:ascii="DejaVu Math TeX Gyre" w:hAnsi="DejaVu Math TeX Gyre"/>
                    <w:sz w:val="18"/>
                    <w:szCs w:val="18"/>
                  </w:rPr>
                  <m:t>=</m:t>
                </m:r>
                <m:r>
                  <w:rPr>
                    <w:rFonts w:ascii="DejaVu Math TeX Gyre" w:hAnsi="DejaVu Math TeX Gyre" w:hint="eastAsia"/>
                    <w:sz w:val="18"/>
                    <w:szCs w:val="18"/>
                  </w:rPr>
                  <m:t>a</m:t>
                </m:r>
                <m:sSub>
                  <m:sSubPr>
                    <m:ctrlPr>
                      <w:rPr>
                        <w:rFonts w:ascii="DejaVu Math TeX Gyre" w:hAnsi="DejaVu Math TeX Gyre" w:hint="eastAsia"/>
                        <w:i/>
                        <w:sz w:val="18"/>
                        <w:szCs w:val="18"/>
                      </w:rPr>
                    </m:ctrlPr>
                  </m:sSubPr>
                  <m:e>
                    <m:r>
                      <w:rPr>
                        <w:rFonts w:ascii="DejaVu Math TeX Gyre" w:hAnsi="DejaVu Math TeX Gyre" w:hint="eastAsia"/>
                        <w:sz w:val="18"/>
                        <w:szCs w:val="18"/>
                      </w:rPr>
                      <m:t>C</m:t>
                    </m:r>
                  </m:e>
                  <m:sub>
                    <m:r>
                      <w:rPr>
                        <w:rFonts w:ascii="DejaVu Math TeX Gyre" w:hAnsi="DejaVu Math TeX Gyre" w:hint="eastAsia"/>
                        <w:sz w:val="18"/>
                        <w:szCs w:val="18"/>
                      </w:rPr>
                      <m:t>i</m:t>
                    </m:r>
                  </m:sub>
                </m:sSub>
                <m:r>
                  <w:rPr>
                    <w:rFonts w:ascii="DejaVu Math TeX Gyre" w:hAnsi="DejaVu Math TeX Gyre" w:hint="eastAsia"/>
                    <w:sz w:val="18"/>
                    <w:szCs w:val="18"/>
                  </w:rPr>
                  <m:t>+</m:t>
                </m:r>
                <m:sSub>
                  <m:sSubPr>
                    <m:ctrlPr>
                      <w:rPr>
                        <w:rFonts w:ascii="DejaVu Math TeX Gyre" w:hAnsi="DejaVu Math TeX Gyre" w:hint="eastAsia"/>
                        <w:i/>
                        <w:sz w:val="18"/>
                        <w:szCs w:val="18"/>
                      </w:rPr>
                    </m:ctrlPr>
                  </m:sSubPr>
                  <m:e>
                    <m:r>
                      <w:rPr>
                        <w:rFonts w:ascii="DejaVu Math TeX Gyre" w:hAnsi="DejaVu Math TeX Gyre" w:hint="eastAsia"/>
                        <w:sz w:val="18"/>
                        <w:szCs w:val="18"/>
                      </w:rPr>
                      <m:t>bN</m:t>
                    </m:r>
                  </m:e>
                  <m:sub>
                    <m:r>
                      <w:rPr>
                        <w:rFonts w:ascii="DejaVu Math TeX Gyre" w:hAnsi="DejaVu Math TeX Gyre" w:hint="eastAsia"/>
                        <w:sz w:val="18"/>
                        <w:szCs w:val="18"/>
                      </w:rPr>
                      <m:t>i</m:t>
                    </m:r>
                  </m:sub>
                </m:sSub>
                <m:r>
                  <w:rPr>
                    <w:rFonts w:ascii="DejaVu Math TeX Gyre" w:hAnsi="DejaVu Math TeX Gyre" w:hint="eastAsia"/>
                    <w:sz w:val="18"/>
                    <w:szCs w:val="18"/>
                  </w:rPr>
                  <m:t>+c</m:t>
                </m:r>
                <m:sSub>
                  <m:sSubPr>
                    <m:ctrlPr>
                      <w:rPr>
                        <w:rFonts w:ascii="DejaVu Math TeX Gyre" w:hAnsi="DejaVu Math TeX Gyre" w:hint="eastAsia"/>
                        <w:i/>
                        <w:sz w:val="18"/>
                        <w:szCs w:val="18"/>
                      </w:rPr>
                    </m:ctrlPr>
                  </m:sSubPr>
                  <m:e>
                    <m:r>
                      <w:rPr>
                        <w:rFonts w:ascii="DejaVu Math TeX Gyre" w:hAnsi="DejaVu Math TeX Gyre" w:hint="eastAsia"/>
                        <w:sz w:val="18"/>
                        <w:szCs w:val="18"/>
                      </w:rPr>
                      <m:t>F</m:t>
                    </m:r>
                  </m:e>
                  <m:sub>
                    <m:r>
                      <w:rPr>
                        <w:rFonts w:ascii="DejaVu Math TeX Gyre" w:hAnsi="DejaVu Math TeX Gyre" w:hint="eastAsia"/>
                        <w:sz w:val="18"/>
                        <w:szCs w:val="18"/>
                      </w:rPr>
                      <m:t>i</m:t>
                    </m:r>
                  </m:sub>
                </m:sSub>
              </m:oMath>
            </m:oMathPara>
          </w:p>
        </w:tc>
        <w:tc>
          <w:tcPr>
            <w:tcW w:w="5444" w:type="dxa"/>
            <w:tcBorders>
              <w:top w:val="nil"/>
              <w:left w:val="nil"/>
              <w:bottom w:val="nil"/>
              <w:right w:val="nil"/>
            </w:tcBorders>
            <w:shd w:val="clear" w:color="auto" w:fill="auto"/>
            <w:noWrap/>
            <w:vAlign w:val="center"/>
          </w:tcPr>
          <w:p w14:paraId="765E3989" w14:textId="77777777" w:rsidR="00FD2050" w:rsidRDefault="00FD2050" w:rsidP="00021E4B">
            <w:pPr>
              <w:rPr>
                <w:rFonts w:ascii="Times New Roman" w:hAnsi="Times New Roman"/>
                <w:sz w:val="18"/>
                <w:szCs w:val="18"/>
              </w:rPr>
            </w:pPr>
            <w:r>
              <w:rPr>
                <w:rFonts w:ascii="Times New Roman" w:hAnsi="Times New Roman"/>
                <w:sz w:val="18"/>
                <w:szCs w:val="18"/>
              </w:rPr>
              <w:t xml:space="preserve">Its value is used to reflect the loss degree of different areas after disturbance. Is the weight of each corresponding landscape index, and according to relevant studies and combined with the actual situation of the study area, the weights of landscape fragmentation index, separation index and fractal dimension 0.5, 0.3 and 0.2 are assigned respectively </w:t>
            </w:r>
          </w:p>
        </w:tc>
      </w:tr>
      <w:tr w:rsidR="00FD2050" w14:paraId="5A4F5DA9" w14:textId="77777777" w:rsidTr="00021E4B">
        <w:trPr>
          <w:trHeight w:val="383"/>
          <w:jc w:val="center"/>
        </w:trPr>
        <w:tc>
          <w:tcPr>
            <w:tcW w:w="867" w:type="dxa"/>
            <w:vMerge w:val="restart"/>
            <w:tcBorders>
              <w:top w:val="nil"/>
              <w:left w:val="nil"/>
              <w:bottom w:val="nil"/>
              <w:right w:val="nil"/>
            </w:tcBorders>
            <w:shd w:val="clear" w:color="auto" w:fill="auto"/>
            <w:noWrap/>
            <w:vAlign w:val="center"/>
          </w:tcPr>
          <w:p w14:paraId="74A86E96" w14:textId="77777777" w:rsidR="00FD2050" w:rsidRDefault="00FD2050" w:rsidP="00021E4B">
            <w:pPr>
              <w:jc w:val="center"/>
              <w:rPr>
                <w:rFonts w:ascii="Times New Roman" w:hAnsi="Times New Roman"/>
                <w:sz w:val="18"/>
                <w:szCs w:val="18"/>
              </w:rPr>
            </w:pPr>
            <w:r>
              <w:rPr>
                <w:rFonts w:ascii="Times New Roman" w:hAnsi="Times New Roman"/>
                <w:sz w:val="18"/>
                <w:szCs w:val="18"/>
              </w:rPr>
              <w:t>5</w:t>
            </w:r>
          </w:p>
        </w:tc>
        <w:tc>
          <w:tcPr>
            <w:tcW w:w="1677" w:type="dxa"/>
            <w:vMerge w:val="restart"/>
            <w:tcBorders>
              <w:top w:val="nil"/>
              <w:left w:val="nil"/>
              <w:bottom w:val="nil"/>
              <w:right w:val="nil"/>
            </w:tcBorders>
            <w:shd w:val="clear" w:color="auto" w:fill="auto"/>
            <w:noWrap/>
            <w:vAlign w:val="center"/>
          </w:tcPr>
          <w:p w14:paraId="7CA76ED1"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Landscape vulnerability indexV</w:t>
            </w:r>
            <w:r>
              <w:rPr>
                <w:rFonts w:ascii="Times New Roman" w:hAnsi="Times New Roman"/>
                <w:sz w:val="18"/>
                <w:szCs w:val="18"/>
                <w:vertAlign w:val="subscript"/>
              </w:rPr>
              <w:t>i</w:t>
            </w:r>
            <w:r>
              <w:rPr>
                <w:rFonts w:ascii="Times New Roman" w:hAnsi="Times New Roman"/>
                <w:sz w:val="18"/>
                <w:szCs w:val="18"/>
                <w:vertAlign w:val="superscript"/>
              </w:rPr>
              <w:t>[</w:t>
            </w:r>
            <w:r>
              <w:rPr>
                <w:rFonts w:ascii="Times New Roman" w:hAnsi="Times New Roman" w:hint="eastAsia"/>
                <w:sz w:val="18"/>
                <w:szCs w:val="18"/>
                <w:vertAlign w:val="superscript"/>
              </w:rPr>
              <w:t>10</w:t>
            </w:r>
            <w:r>
              <w:rPr>
                <w:rFonts w:ascii="Times New Roman" w:hAnsi="Times New Roman"/>
                <w:sz w:val="18"/>
                <w:szCs w:val="18"/>
                <w:vertAlign w:val="superscript"/>
              </w:rPr>
              <w:t>]</w:t>
            </w:r>
          </w:p>
        </w:tc>
        <w:tc>
          <w:tcPr>
            <w:tcW w:w="2264" w:type="dxa"/>
            <w:vMerge w:val="restart"/>
            <w:tcBorders>
              <w:top w:val="nil"/>
              <w:left w:val="nil"/>
              <w:bottom w:val="nil"/>
              <w:right w:val="nil"/>
            </w:tcBorders>
            <w:shd w:val="clear" w:color="auto" w:fill="auto"/>
            <w:vAlign w:val="center"/>
          </w:tcPr>
          <w:p w14:paraId="3E5351B8" w14:textId="77777777" w:rsidR="00FD2050" w:rsidRDefault="00FD2050" w:rsidP="00021E4B">
            <w:pPr>
              <w:jc w:val="center"/>
              <w:rPr>
                <w:rFonts w:ascii="Times New Roman" w:hAnsi="Times New Roman"/>
                <w:sz w:val="18"/>
                <w:szCs w:val="18"/>
              </w:rPr>
            </w:pPr>
            <w:r>
              <w:rPr>
                <w:rFonts w:ascii="Times New Roman" w:hAnsi="Times New Roman"/>
                <w:sz w:val="18"/>
                <w:szCs w:val="18"/>
              </w:rPr>
              <w:t>Obtained by expert consultation method and normalization</w:t>
            </w:r>
          </w:p>
        </w:tc>
        <w:tc>
          <w:tcPr>
            <w:tcW w:w="5444" w:type="dxa"/>
            <w:vMerge w:val="restart"/>
            <w:tcBorders>
              <w:top w:val="nil"/>
              <w:left w:val="nil"/>
              <w:bottom w:val="nil"/>
              <w:right w:val="nil"/>
            </w:tcBorders>
            <w:shd w:val="clear" w:color="auto" w:fill="auto"/>
            <w:vAlign w:val="center"/>
          </w:tcPr>
          <w:p w14:paraId="1D72DB2F" w14:textId="77777777" w:rsidR="00FD2050" w:rsidRDefault="00FD2050" w:rsidP="00021E4B">
            <w:pPr>
              <w:rPr>
                <w:rFonts w:ascii="Times New Roman" w:hAnsi="Times New Roman"/>
                <w:sz w:val="18"/>
                <w:szCs w:val="18"/>
              </w:rPr>
            </w:pPr>
            <w:r>
              <w:rPr>
                <w:rFonts w:ascii="Times New Roman" w:hAnsi="Times New Roman"/>
                <w:sz w:val="18"/>
                <w:szCs w:val="18"/>
              </w:rPr>
              <w:t xml:space="preserve">It indicates the vulnerability of different ecosystems, which is related to their stages in the natural succession of the landscape. The landscape types were assigned with the vulnerability index and normalized to obtain their respective vulnerability indices </w:t>
            </w:r>
          </w:p>
        </w:tc>
      </w:tr>
      <w:tr w:rsidR="00FD2050" w14:paraId="06727D6E" w14:textId="77777777" w:rsidTr="00021E4B">
        <w:trPr>
          <w:trHeight w:val="383"/>
          <w:jc w:val="center"/>
        </w:trPr>
        <w:tc>
          <w:tcPr>
            <w:tcW w:w="867" w:type="dxa"/>
            <w:vMerge/>
            <w:tcBorders>
              <w:top w:val="nil"/>
              <w:left w:val="nil"/>
              <w:bottom w:val="nil"/>
              <w:right w:val="nil"/>
            </w:tcBorders>
            <w:vAlign w:val="center"/>
          </w:tcPr>
          <w:p w14:paraId="31C8F017"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04AF7814"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5A9E42F3"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047B3A26" w14:textId="77777777" w:rsidR="00FD2050" w:rsidRDefault="00FD2050" w:rsidP="00021E4B">
            <w:pPr>
              <w:rPr>
                <w:rFonts w:ascii="Times New Roman" w:hAnsi="Times New Roman"/>
                <w:sz w:val="18"/>
                <w:szCs w:val="18"/>
              </w:rPr>
            </w:pPr>
          </w:p>
        </w:tc>
      </w:tr>
      <w:tr w:rsidR="00FD2050" w14:paraId="5EE51AE1" w14:textId="77777777" w:rsidTr="00021E4B">
        <w:trPr>
          <w:trHeight w:val="383"/>
          <w:jc w:val="center"/>
        </w:trPr>
        <w:tc>
          <w:tcPr>
            <w:tcW w:w="867" w:type="dxa"/>
            <w:vMerge/>
            <w:tcBorders>
              <w:top w:val="nil"/>
              <w:left w:val="nil"/>
              <w:bottom w:val="nil"/>
              <w:right w:val="nil"/>
            </w:tcBorders>
            <w:vAlign w:val="center"/>
          </w:tcPr>
          <w:p w14:paraId="71428C38" w14:textId="77777777" w:rsidR="00FD2050" w:rsidRDefault="00FD2050" w:rsidP="00021E4B">
            <w:pPr>
              <w:rPr>
                <w:rFonts w:ascii="Times New Roman" w:hAnsi="Times New Roman"/>
                <w:sz w:val="18"/>
                <w:szCs w:val="18"/>
              </w:rPr>
            </w:pPr>
          </w:p>
        </w:tc>
        <w:tc>
          <w:tcPr>
            <w:tcW w:w="1677" w:type="dxa"/>
            <w:vMerge/>
            <w:tcBorders>
              <w:top w:val="nil"/>
              <w:left w:val="nil"/>
              <w:bottom w:val="nil"/>
              <w:right w:val="nil"/>
            </w:tcBorders>
            <w:vAlign w:val="center"/>
          </w:tcPr>
          <w:p w14:paraId="210A4771" w14:textId="77777777" w:rsidR="00FD2050" w:rsidRDefault="00FD2050" w:rsidP="00021E4B">
            <w:pPr>
              <w:rPr>
                <w:rFonts w:ascii="Times New Roman" w:hAnsi="Times New Roman"/>
                <w:sz w:val="18"/>
                <w:szCs w:val="18"/>
              </w:rPr>
            </w:pPr>
          </w:p>
        </w:tc>
        <w:tc>
          <w:tcPr>
            <w:tcW w:w="2264" w:type="dxa"/>
            <w:vMerge/>
            <w:tcBorders>
              <w:top w:val="nil"/>
              <w:left w:val="nil"/>
              <w:bottom w:val="nil"/>
              <w:right w:val="nil"/>
            </w:tcBorders>
            <w:vAlign w:val="center"/>
          </w:tcPr>
          <w:p w14:paraId="226380B6" w14:textId="77777777" w:rsidR="00FD2050" w:rsidRDefault="00FD2050" w:rsidP="00021E4B">
            <w:pPr>
              <w:jc w:val="center"/>
              <w:rPr>
                <w:rFonts w:ascii="Times New Roman" w:hAnsi="Times New Roman"/>
                <w:sz w:val="18"/>
                <w:szCs w:val="18"/>
              </w:rPr>
            </w:pPr>
          </w:p>
        </w:tc>
        <w:tc>
          <w:tcPr>
            <w:tcW w:w="5444" w:type="dxa"/>
            <w:vMerge/>
            <w:tcBorders>
              <w:top w:val="nil"/>
              <w:left w:val="nil"/>
              <w:bottom w:val="nil"/>
              <w:right w:val="nil"/>
            </w:tcBorders>
            <w:vAlign w:val="center"/>
          </w:tcPr>
          <w:p w14:paraId="5E4D849B" w14:textId="77777777" w:rsidR="00FD2050" w:rsidRDefault="00FD2050" w:rsidP="00021E4B">
            <w:pPr>
              <w:rPr>
                <w:rFonts w:ascii="Times New Roman" w:hAnsi="Times New Roman"/>
                <w:sz w:val="18"/>
                <w:szCs w:val="18"/>
              </w:rPr>
            </w:pPr>
          </w:p>
        </w:tc>
      </w:tr>
      <w:tr w:rsidR="00FD2050" w14:paraId="4D177E89" w14:textId="77777777" w:rsidTr="00021E4B">
        <w:trPr>
          <w:trHeight w:val="383"/>
          <w:jc w:val="center"/>
        </w:trPr>
        <w:tc>
          <w:tcPr>
            <w:tcW w:w="867" w:type="dxa"/>
            <w:vMerge w:val="restart"/>
            <w:tcBorders>
              <w:top w:val="nil"/>
              <w:left w:val="nil"/>
              <w:bottom w:val="single" w:sz="8" w:space="0" w:color="000000"/>
              <w:right w:val="nil"/>
            </w:tcBorders>
            <w:shd w:val="clear" w:color="auto" w:fill="auto"/>
            <w:noWrap/>
            <w:vAlign w:val="center"/>
          </w:tcPr>
          <w:p w14:paraId="16450B26" w14:textId="77777777" w:rsidR="00FD2050" w:rsidRDefault="00FD2050" w:rsidP="00021E4B">
            <w:pPr>
              <w:jc w:val="center"/>
              <w:rPr>
                <w:rFonts w:ascii="Times New Roman" w:hAnsi="Times New Roman"/>
                <w:sz w:val="18"/>
                <w:szCs w:val="18"/>
              </w:rPr>
            </w:pPr>
            <w:r>
              <w:rPr>
                <w:rFonts w:ascii="Times New Roman" w:hAnsi="Times New Roman"/>
                <w:sz w:val="18"/>
                <w:szCs w:val="18"/>
              </w:rPr>
              <w:t>6</w:t>
            </w:r>
          </w:p>
        </w:tc>
        <w:tc>
          <w:tcPr>
            <w:tcW w:w="1677" w:type="dxa"/>
            <w:vMerge w:val="restart"/>
            <w:tcBorders>
              <w:top w:val="nil"/>
              <w:left w:val="nil"/>
              <w:bottom w:val="single" w:sz="8" w:space="0" w:color="000000"/>
              <w:right w:val="nil"/>
            </w:tcBorders>
            <w:shd w:val="clear" w:color="auto" w:fill="auto"/>
            <w:noWrap/>
            <w:vAlign w:val="center"/>
          </w:tcPr>
          <w:p w14:paraId="71C9695F" w14:textId="77777777" w:rsidR="00FD2050" w:rsidRDefault="00FD2050" w:rsidP="00021E4B">
            <w:pPr>
              <w:jc w:val="center"/>
              <w:rPr>
                <w:rFonts w:ascii="Times New Roman" w:hAnsi="Times New Roman"/>
                <w:sz w:val="18"/>
                <w:szCs w:val="18"/>
              </w:rPr>
            </w:pPr>
            <w:r>
              <w:rPr>
                <w:rFonts w:ascii="Times New Roman" w:hAnsi="Times New Roman" w:hint="eastAsia"/>
                <w:sz w:val="18"/>
                <w:szCs w:val="18"/>
              </w:rPr>
              <w:t>Landscape loss index</w:t>
            </w:r>
            <w:r>
              <w:rPr>
                <w:rFonts w:ascii="Times New Roman" w:hAnsi="Times New Roman"/>
                <w:sz w:val="18"/>
                <w:szCs w:val="18"/>
              </w:rPr>
              <w:t>R</w:t>
            </w:r>
            <w:r>
              <w:rPr>
                <w:rFonts w:ascii="Times New Roman" w:hAnsi="Times New Roman"/>
                <w:sz w:val="18"/>
                <w:szCs w:val="18"/>
                <w:vertAlign w:val="subscript"/>
              </w:rPr>
              <w:t>i</w:t>
            </w:r>
            <w:r>
              <w:rPr>
                <w:rFonts w:ascii="Times New Roman" w:hAnsi="Times New Roman"/>
                <w:sz w:val="18"/>
                <w:szCs w:val="18"/>
                <w:vertAlign w:val="superscript"/>
              </w:rPr>
              <w:t>[</w:t>
            </w:r>
            <w:r>
              <w:rPr>
                <w:rFonts w:ascii="Times New Roman" w:hAnsi="Times New Roman" w:hint="eastAsia"/>
                <w:sz w:val="18"/>
                <w:szCs w:val="18"/>
                <w:vertAlign w:val="superscript"/>
              </w:rPr>
              <w:t>36</w:t>
            </w:r>
            <w:r>
              <w:rPr>
                <w:rFonts w:ascii="Times New Roman" w:hAnsi="Times New Roman"/>
                <w:sz w:val="18"/>
                <w:szCs w:val="18"/>
                <w:vertAlign w:val="superscript"/>
              </w:rPr>
              <w:t>]</w:t>
            </w:r>
          </w:p>
        </w:tc>
        <w:tc>
          <w:tcPr>
            <w:tcW w:w="2264" w:type="dxa"/>
            <w:vMerge w:val="restart"/>
            <w:tcBorders>
              <w:top w:val="nil"/>
              <w:left w:val="nil"/>
              <w:bottom w:val="single" w:sz="8" w:space="0" w:color="000000"/>
              <w:right w:val="nil"/>
            </w:tcBorders>
            <w:shd w:val="clear" w:color="auto" w:fill="auto"/>
            <w:noWrap/>
            <w:vAlign w:val="center"/>
          </w:tcPr>
          <w:p w14:paraId="56DC6708" w14:textId="77777777" w:rsidR="00FD2050" w:rsidRDefault="00FD2050" w:rsidP="00021E4B">
            <w:pPr>
              <w:jc w:val="center"/>
              <w:rPr>
                <w:rFonts w:ascii="Times New Roman" w:hAnsi="Times New Roman"/>
                <w:sz w:val="18"/>
                <w:szCs w:val="18"/>
              </w:rPr>
            </w:pPr>
            <m:oMathPara>
              <m:oMath>
                <m:sSub>
                  <m:sSubPr>
                    <m:ctrlPr>
                      <w:rPr>
                        <w:rFonts w:ascii="DejaVu Math TeX Gyre" w:hAnsi="DejaVu Math TeX Gyre"/>
                        <w:i/>
                        <w:sz w:val="18"/>
                        <w:szCs w:val="18"/>
                      </w:rPr>
                    </m:ctrlPr>
                  </m:sSubPr>
                  <m:e>
                    <m:r>
                      <w:rPr>
                        <w:rFonts w:ascii="DejaVu Math TeX Gyre" w:hAnsi="DejaVu Math TeX Gyre" w:hint="eastAsia"/>
                        <w:sz w:val="18"/>
                        <w:szCs w:val="18"/>
                      </w:rPr>
                      <m:t>R</m:t>
                    </m:r>
                  </m:e>
                  <m:sub>
                    <m:r>
                      <w:rPr>
                        <w:rFonts w:ascii="DejaVu Math TeX Gyre" w:hAnsi="DejaVu Math TeX Gyre" w:hint="eastAsia"/>
                        <w:sz w:val="18"/>
                        <w:szCs w:val="18"/>
                      </w:rPr>
                      <m:t>i</m:t>
                    </m:r>
                  </m:sub>
                </m:sSub>
                <m:r>
                  <w:rPr>
                    <w:rFonts w:ascii="DejaVu Math TeX Gyre" w:hAnsi="DejaVu Math TeX Gyre"/>
                    <w:sz w:val="18"/>
                    <w:szCs w:val="18"/>
                  </w:rPr>
                  <m:t>=</m:t>
                </m:r>
                <m:sSub>
                  <m:sSubPr>
                    <m:ctrlPr>
                      <w:rPr>
                        <w:rFonts w:ascii="DejaVu Math TeX Gyre" w:hAnsi="DejaVu Math TeX Gyre"/>
                        <w:i/>
                        <w:sz w:val="18"/>
                        <w:szCs w:val="18"/>
                      </w:rPr>
                    </m:ctrlPr>
                  </m:sSubPr>
                  <m:e>
                    <m:r>
                      <w:rPr>
                        <w:rFonts w:ascii="DejaVu Math TeX Gyre" w:hAnsi="DejaVu Math TeX Gyre" w:hint="eastAsia"/>
                        <w:sz w:val="18"/>
                        <w:szCs w:val="18"/>
                      </w:rPr>
                      <m:t>S</m:t>
                    </m:r>
                  </m:e>
                  <m:sub>
                    <m:r>
                      <w:rPr>
                        <w:rFonts w:ascii="DejaVu Math TeX Gyre" w:hAnsi="DejaVu Math TeX Gyre" w:hint="eastAsia"/>
                        <w:sz w:val="18"/>
                        <w:szCs w:val="18"/>
                      </w:rPr>
                      <m:t>i</m:t>
                    </m:r>
                  </m:sub>
                </m:sSub>
                <m:r>
                  <w:rPr>
                    <w:rFonts w:ascii="DejaVu Math TeX Gyre" w:hAnsi="DejaVu Math TeX Gyre"/>
                    <w:sz w:val="18"/>
                    <w:szCs w:val="18"/>
                  </w:rPr>
                  <m:t>×</m:t>
                </m:r>
                <m:sSub>
                  <m:sSubPr>
                    <m:ctrlPr>
                      <w:rPr>
                        <w:rFonts w:ascii="DejaVu Math TeX Gyre" w:hAnsi="DejaVu Math TeX Gyre"/>
                        <w:i/>
                        <w:sz w:val="18"/>
                        <w:szCs w:val="18"/>
                      </w:rPr>
                    </m:ctrlPr>
                  </m:sSubPr>
                  <m:e>
                    <m:r>
                      <w:rPr>
                        <w:rFonts w:ascii="DejaVu Math TeX Gyre" w:hAnsi="DejaVu Math TeX Gyre" w:hint="eastAsia"/>
                        <w:sz w:val="18"/>
                        <w:szCs w:val="18"/>
                      </w:rPr>
                      <m:t>V</m:t>
                    </m:r>
                  </m:e>
                  <m:sub>
                    <m:r>
                      <w:rPr>
                        <w:rFonts w:ascii="DejaVu Math TeX Gyre" w:hAnsi="DejaVu Math TeX Gyre" w:hint="eastAsia"/>
                        <w:sz w:val="18"/>
                        <w:szCs w:val="18"/>
                      </w:rPr>
                      <m:t>i</m:t>
                    </m:r>
                  </m:sub>
                </m:sSub>
              </m:oMath>
            </m:oMathPara>
          </w:p>
        </w:tc>
        <w:tc>
          <w:tcPr>
            <w:tcW w:w="5444" w:type="dxa"/>
            <w:vMerge w:val="restart"/>
            <w:tcBorders>
              <w:top w:val="nil"/>
              <w:left w:val="nil"/>
              <w:bottom w:val="single" w:sz="8" w:space="0" w:color="000000"/>
              <w:right w:val="nil"/>
            </w:tcBorders>
            <w:shd w:val="clear" w:color="auto" w:fill="auto"/>
            <w:vAlign w:val="center"/>
          </w:tcPr>
          <w:p w14:paraId="6069921E" w14:textId="77777777" w:rsidR="00FD2050" w:rsidRDefault="00FD2050" w:rsidP="00021E4B">
            <w:pPr>
              <w:rPr>
                <w:rFonts w:ascii="Times New Roman" w:hAnsi="Times New Roman"/>
                <w:sz w:val="18"/>
                <w:szCs w:val="18"/>
              </w:rPr>
            </w:pPr>
            <w:r>
              <w:rPr>
                <w:rFonts w:ascii="Times New Roman" w:hAnsi="Times New Roman"/>
                <w:sz w:val="18"/>
                <w:szCs w:val="18"/>
              </w:rPr>
              <w:t xml:space="preserve">The landscape loss index indicates the difference in ecological loss of each type of landscape in the event of disturbance, that is, the degree of loss of its natural attributes. </w:t>
            </w:r>
          </w:p>
        </w:tc>
      </w:tr>
    </w:tbl>
    <w:p w14:paraId="4F796DE4" w14:textId="77777777" w:rsidR="001760E5" w:rsidRDefault="00FD2050"/>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Math TeX Gyre">
    <w:altName w:val="Calibri"/>
    <w:charset w:val="00"/>
    <w:family w:val="auto"/>
    <w:pitch w:val="default"/>
    <w:sig w:usb0="A10000EF" w:usb1="4201F9EE" w:usb2="02000000" w:usb3="00000000" w:csb0="60000193" w:csb1="0DD4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050"/>
    <w:rsid w:val="006E225C"/>
    <w:rsid w:val="008A3324"/>
    <w:rsid w:val="0096107C"/>
    <w:rsid w:val="00996CDB"/>
    <w:rsid w:val="009B6A41"/>
    <w:rsid w:val="00BA546E"/>
    <w:rsid w:val="00E17A31"/>
    <w:rsid w:val="00FD2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642DE"/>
  <w15:chartTrackingRefBased/>
  <w15:docId w15:val="{25CE0248-8393-4595-B4BE-14DDDCBA5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050"/>
    <w:rPr>
      <w:rFonts w:eastAsiaTheme="minorEastAsia"/>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415</Words>
  <Characters>2371</Characters>
  <Application>Microsoft Office Word</Application>
  <DocSecurity>0</DocSecurity>
  <Lines>19</Lines>
  <Paragraphs>5</Paragraphs>
  <ScaleCrop>false</ScaleCrop>
  <Company>Springer Nature</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2023-01-18T08:32:00Z</dcterms:created>
  <dcterms:modified xsi:type="dcterms:W3CDTF">2023-01-18T08:32:00Z</dcterms:modified>
</cp:coreProperties>
</file>