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Additional file 2</w:t>
      </w:r>
    </w:p>
    <w:p>
      <w:pPr>
        <w:spacing w:line="360" w:lineRule="auto"/>
        <w:jc w:val="center"/>
      </w:pPr>
      <w:r>
        <w:rPr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S</w:t>
      </w:r>
      <w:r>
        <w:rPr>
          <w:b/>
          <w:bCs/>
        </w:rPr>
        <w:t>1.</w:t>
      </w:r>
      <w:r>
        <w:t xml:space="preserve"> Datasets of </w:t>
      </w:r>
      <w:r>
        <w:rPr>
          <w:rFonts w:hint="eastAsia"/>
          <w:lang w:eastAsia="zh-CN"/>
        </w:rPr>
        <w:t>colorectal</w:t>
      </w:r>
      <w:r>
        <w:t xml:space="preserve"> cancer used in this study.</w:t>
      </w:r>
    </w:p>
    <w:tbl>
      <w:tblPr>
        <w:tblStyle w:val="8"/>
        <w:tblW w:w="0" w:type="auto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841"/>
        <w:gridCol w:w="1134"/>
        <w:gridCol w:w="1418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tcBorders>
              <w:bottom w:val="single" w:color="000000" w:themeColor="text1" w:sz="4" w:space="0"/>
              <w:right w:val="nil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b w:val="0"/>
                <w:bCs w:val="0"/>
                <w:color w:val="auto"/>
                <w:kern w:val="0"/>
                <w:sz w:val="21"/>
                <w:szCs w:val="21"/>
              </w:rPr>
              <w:t>Platform</w:t>
            </w:r>
          </w:p>
        </w:tc>
        <w:tc>
          <w:tcPr>
            <w:tcW w:w="1841" w:type="dxa"/>
            <w:tcBorders>
              <w:left w:val="nil"/>
              <w:bottom w:val="single" w:color="000000" w:themeColor="text1" w:sz="4" w:space="0"/>
              <w:right w:val="nil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b w:val="0"/>
                <w:bCs w:val="0"/>
                <w:color w:val="auto"/>
                <w:kern w:val="0"/>
                <w:sz w:val="21"/>
                <w:szCs w:val="21"/>
              </w:rPr>
              <w:t>Datasets</w:t>
            </w:r>
          </w:p>
        </w:tc>
        <w:tc>
          <w:tcPr>
            <w:tcW w:w="1134" w:type="dxa"/>
            <w:tcBorders>
              <w:left w:val="nil"/>
              <w:bottom w:val="single" w:color="000000" w:themeColor="text1" w:sz="4" w:space="0"/>
              <w:right w:val="nil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b w:val="0"/>
                <w:bCs w:val="0"/>
                <w:color w:val="auto"/>
                <w:kern w:val="0"/>
                <w:sz w:val="21"/>
                <w:szCs w:val="21"/>
              </w:rPr>
              <w:t>Control</w:t>
            </w:r>
          </w:p>
        </w:tc>
        <w:tc>
          <w:tcPr>
            <w:tcW w:w="1418" w:type="dxa"/>
            <w:tcBorders>
              <w:left w:val="nil"/>
              <w:bottom w:val="single" w:color="000000" w:themeColor="text1" w:sz="4" w:space="0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b w:val="0"/>
                <w:bCs w:val="0"/>
                <w:color w:val="auto"/>
                <w:kern w:val="0"/>
                <w:sz w:val="21"/>
                <w:szCs w:val="21"/>
              </w:rPr>
              <w:t>Case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136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50K</w:t>
            </w:r>
          </w:p>
        </w:tc>
        <w:tc>
          <w:tcPr>
            <w:tcW w:w="4393" w:type="dxa"/>
            <w:gridSpan w:val="3"/>
            <w:tcBorders>
              <w:top w:val="single" w:color="auto" w:sz="4" w:space="0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auto"/>
                <w:kern w:val="0"/>
                <w:sz w:val="21"/>
                <w:szCs w:val="21"/>
              </w:rPr>
              <w:t>Normal background set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auto"/>
                <w:kern w:val="0"/>
                <w:sz w:val="21"/>
                <w:szCs w:val="21"/>
              </w:rPr>
              <w:t>GSE88821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auto"/>
                <w:kern w:val="0"/>
                <w:sz w:val="21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auto"/>
                <w:kern w:val="0"/>
                <w:sz w:val="21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GSE113904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232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GSE79740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GSE77965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GSE77954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13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GSE131013</w:t>
            </w:r>
            <w:r>
              <w:rPr>
                <w:color w:val="auto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96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GSE77718</w:t>
            </w:r>
            <w:r>
              <w:rPr>
                <w:color w:val="auto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96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3" w:type="dxa"/>
            <w:gridSpan w:val="3"/>
            <w:tcBorders>
              <w:top w:val="single" w:color="auto" w:sz="4" w:space="0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FF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ndependent set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GSE48684</w:t>
            </w:r>
            <w:r>
              <w:rPr>
                <w:color w:val="auto"/>
                <w:kern w:val="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64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  <w:highlight w:val="yellow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GSE42752</w:t>
            </w:r>
            <w:r>
              <w:rPr>
                <w:color w:val="auto"/>
                <w:kern w:val="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 xml:space="preserve">22 </w:t>
            </w: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22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6" w:type="dxa"/>
            <w:vMerge w:val="restart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color w:val="auto"/>
                <w:kern w:val="0"/>
                <w:sz w:val="21"/>
                <w:szCs w:val="21"/>
              </w:rPr>
              <w:t>E</w:t>
            </w:r>
            <w:r>
              <w:rPr>
                <w:b w:val="0"/>
                <w:bCs w:val="0"/>
                <w:color w:val="auto"/>
                <w:kern w:val="0"/>
                <w:sz w:val="21"/>
                <w:szCs w:val="21"/>
              </w:rPr>
              <w:t>PIC</w:t>
            </w:r>
          </w:p>
        </w:tc>
        <w:tc>
          <w:tcPr>
            <w:tcW w:w="4393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B050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Normal background set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GSE199057</w:t>
            </w:r>
            <w:r>
              <w:rPr>
                <w:color w:val="auto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77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GSE166212</w:t>
            </w:r>
            <w:r>
              <w:rPr>
                <w:color w:val="auto"/>
                <w:kern w:val="0"/>
                <w:sz w:val="21"/>
                <w:szCs w:val="21"/>
                <w:vertAlign w:val="superscript"/>
              </w:rPr>
              <w:t>a,b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32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3" w:type="dxa"/>
            <w:gridSpan w:val="3"/>
            <w:tcBorders>
              <w:top w:val="single" w:color="auto" w:sz="4" w:space="0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B050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I</w:t>
            </w:r>
            <w:r>
              <w:rPr>
                <w:color w:val="auto"/>
                <w:kern w:val="0"/>
                <w:sz w:val="21"/>
                <w:szCs w:val="21"/>
              </w:rPr>
              <w:t>ndependent set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GSE149282</w:t>
            </w:r>
            <w:r>
              <w:rPr>
                <w:color w:val="auto"/>
                <w:kern w:val="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 xml:space="preserve">12 </w:t>
            </w: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12</w:t>
            </w:r>
          </w:p>
        </w:tc>
      </w:tr>
    </w:tbl>
    <w:p>
      <w:r>
        <w:t xml:space="preserve">Note: </w:t>
      </w:r>
      <w:r>
        <w:rPr>
          <w:vertAlign w:val="superscript"/>
        </w:rPr>
        <w:t>a</w:t>
      </w:r>
      <w:r>
        <w:t xml:space="preserve"> represented the datasets used to identify reference genes. </w:t>
      </w:r>
      <w:r>
        <w:rPr>
          <w:vertAlign w:val="superscript"/>
        </w:rPr>
        <w:t>b</w:t>
      </w:r>
      <w:r>
        <w:t xml:space="preserve"> represented the datasets used to perform simulation experiment for the estimation of the top n% threshold. </w:t>
      </w:r>
      <w:r>
        <w:rPr>
          <w:vertAlign w:val="superscript"/>
        </w:rPr>
        <w:t>c</w:t>
      </w:r>
      <w:r>
        <w:t xml:space="preserve"> represented the datasets used to evaluate the performance of RankDMG in identifying individualized DMGs.</w:t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  <w:rPr>
          <w:b/>
          <w:bCs/>
        </w:rPr>
      </w:pPr>
    </w:p>
    <w:p>
      <w:pPr>
        <w:spacing w:line="360" w:lineRule="auto"/>
        <w:jc w:val="center"/>
      </w:pPr>
      <w:bookmarkStart w:id="0" w:name="_GoBack"/>
      <w:bookmarkEnd w:id="0"/>
      <w:r>
        <w:rPr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S</w:t>
      </w:r>
      <w:r>
        <w:rPr>
          <w:b/>
          <w:bCs/>
        </w:rPr>
        <w:t>2.</w:t>
      </w:r>
      <w:r>
        <w:t xml:space="preserve"> Datasets of glioma used in this study</w:t>
      </w:r>
      <w:r>
        <w:rPr>
          <w:rFonts w:hint="eastAsia"/>
        </w:rPr>
        <w:t>.</w:t>
      </w:r>
    </w:p>
    <w:tbl>
      <w:tblPr>
        <w:tblStyle w:val="8"/>
        <w:tblW w:w="0" w:type="auto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841"/>
        <w:gridCol w:w="1134"/>
        <w:gridCol w:w="1843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tcBorders>
              <w:bottom w:val="single" w:color="000000" w:themeColor="text1" w:sz="4" w:space="0"/>
              <w:right w:val="nil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</w:rPr>
            </w:pPr>
            <w:r>
              <w:rPr>
                <w:b w:val="0"/>
                <w:bCs w:val="0"/>
                <w:color w:val="auto"/>
                <w:kern w:val="0"/>
              </w:rPr>
              <w:t>Platform</w:t>
            </w:r>
          </w:p>
        </w:tc>
        <w:tc>
          <w:tcPr>
            <w:tcW w:w="1841" w:type="dxa"/>
            <w:tcBorders>
              <w:left w:val="nil"/>
              <w:bottom w:val="single" w:color="000000" w:themeColor="text1" w:sz="4" w:space="0"/>
              <w:right w:val="nil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</w:rPr>
            </w:pPr>
            <w:r>
              <w:rPr>
                <w:b w:val="0"/>
                <w:bCs w:val="0"/>
                <w:color w:val="auto"/>
                <w:kern w:val="0"/>
              </w:rPr>
              <w:t>Datasets</w:t>
            </w:r>
          </w:p>
        </w:tc>
        <w:tc>
          <w:tcPr>
            <w:tcW w:w="1134" w:type="dxa"/>
            <w:tcBorders>
              <w:left w:val="nil"/>
              <w:bottom w:val="single" w:color="000000" w:themeColor="text1" w:sz="4" w:space="0"/>
              <w:right w:val="nil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</w:rPr>
            </w:pPr>
            <w:r>
              <w:rPr>
                <w:b w:val="0"/>
                <w:bCs w:val="0"/>
                <w:color w:val="auto"/>
                <w:kern w:val="0"/>
              </w:rPr>
              <w:t>Control</w:t>
            </w:r>
          </w:p>
        </w:tc>
        <w:tc>
          <w:tcPr>
            <w:tcW w:w="1843" w:type="dxa"/>
            <w:tcBorders>
              <w:left w:val="nil"/>
              <w:bottom w:val="single" w:color="000000" w:themeColor="text1" w:sz="4" w:space="0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</w:rPr>
            </w:pPr>
            <w:r>
              <w:rPr>
                <w:b w:val="0"/>
                <w:bCs w:val="0"/>
                <w:color w:val="auto"/>
                <w:kern w:val="0"/>
              </w:rPr>
              <w:t>Case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1136" w:type="dxa"/>
            <w:vMerge w:val="restart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</w:rPr>
            </w:pPr>
            <w:r>
              <w:rPr>
                <w:rFonts w:hint="eastAsia"/>
                <w:b w:val="0"/>
                <w:bCs w:val="0"/>
                <w:color w:val="auto"/>
                <w:kern w:val="0"/>
              </w:rPr>
              <w:t>4</w:t>
            </w:r>
            <w:r>
              <w:rPr>
                <w:b w:val="0"/>
                <w:bCs w:val="0"/>
                <w:color w:val="auto"/>
                <w:kern w:val="0"/>
              </w:rPr>
              <w:t>50K</w:t>
            </w:r>
          </w:p>
        </w:tc>
        <w:tc>
          <w:tcPr>
            <w:tcW w:w="4818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Normal background set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GSE72778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GSE134379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auto"/>
                <w:kern w:val="0"/>
              </w:rPr>
              <w:t>GSE44684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auto"/>
                <w:kern w:val="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auto"/>
                <w:kern w:val="0"/>
              </w:rPr>
              <w:t>61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GSE123678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GSE75704</w:t>
            </w:r>
            <w:r>
              <w:rPr>
                <w:color w:val="auto"/>
                <w:kern w:val="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GSE128601</w:t>
            </w:r>
            <w:r>
              <w:rPr>
                <w:color w:val="auto"/>
                <w:kern w:val="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GSE195684</w:t>
            </w:r>
            <w:r>
              <w:rPr>
                <w:color w:val="auto"/>
                <w:kern w:val="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116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8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I</w:t>
            </w:r>
            <w:r>
              <w:rPr>
                <w:color w:val="auto"/>
                <w:kern w:val="0"/>
              </w:rPr>
              <w:t>ndependent set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GSE131706</w:t>
            </w:r>
            <w:r>
              <w:rPr>
                <w:color w:val="auto"/>
                <w:kern w:val="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 xml:space="preserve">17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GSE148021</w:t>
            </w:r>
            <w:r>
              <w:rPr>
                <w:color w:val="auto"/>
                <w:kern w:val="0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136" w:type="dxa"/>
            <w:vMerge w:val="continue"/>
            <w:tcBorders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GSE79122</w:t>
            </w:r>
            <w:r>
              <w:rPr>
                <w:color w:val="auto"/>
                <w:kern w:val="0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themeColor="text1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36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136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b w:val="0"/>
                <w:bCs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PIC</w:t>
            </w:r>
          </w:p>
        </w:tc>
        <w:tc>
          <w:tcPr>
            <w:tcW w:w="4818" w:type="dxa"/>
            <w:gridSpan w:val="3"/>
            <w:tcBorders>
              <w:top w:val="single" w:color="000000" w:themeColor="text1" w:sz="4" w:space="0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Normal</w:t>
            </w: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background set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GSE191200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GSE164822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GSE143157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GSE129428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GSE195834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GSE128401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GSE156984</w:t>
            </w:r>
            <w:r>
              <w:rPr>
                <w:color w:val="auto"/>
                <w:kern w:val="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117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GSE196490</w:t>
            </w:r>
            <w:r>
              <w:rPr>
                <w:color w:val="auto"/>
                <w:kern w:val="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50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GSE188547</w:t>
            </w:r>
            <w:r>
              <w:rPr>
                <w:color w:val="auto"/>
                <w:kern w:val="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111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</w:rPr>
            </w:pPr>
          </w:p>
        </w:tc>
        <w:tc>
          <w:tcPr>
            <w:tcW w:w="4818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I</w:t>
            </w:r>
            <w:r>
              <w:rPr>
                <w:color w:val="auto"/>
                <w:kern w:val="0"/>
              </w:rPr>
              <w:t>ndependent set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GSE168916</w:t>
            </w:r>
            <w:r>
              <w:rPr>
                <w:color w:val="auto"/>
                <w:kern w:val="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136" w:type="dxa"/>
            <w:vMerge w:val="continue"/>
            <w:tcBorders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GSE144910</w:t>
            </w:r>
            <w:r>
              <w:rPr>
                <w:color w:val="auto"/>
                <w:kern w:val="0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</w:tr>
    </w:tbl>
    <w:p>
      <w:r>
        <w:t xml:space="preserve">Note: </w:t>
      </w:r>
      <w:r>
        <w:rPr>
          <w:vertAlign w:val="superscript"/>
        </w:rPr>
        <w:t>a</w:t>
      </w:r>
      <w:r>
        <w:t xml:space="preserve"> represented the datasets used to identify reference genes. </w:t>
      </w:r>
      <w:r>
        <w:rPr>
          <w:vertAlign w:val="superscript"/>
        </w:rPr>
        <w:t>b</w:t>
      </w:r>
      <w:r>
        <w:t xml:space="preserve"> represented the datasets used to perform simulation experiment for the estimation of the top n% threshold. </w:t>
      </w:r>
      <w:r>
        <w:rPr>
          <w:vertAlign w:val="superscript"/>
        </w:rPr>
        <w:t>c</w:t>
      </w:r>
      <w:r>
        <w:t xml:space="preserve"> represented the datasets used to evaluate the performance of RankDMG in identifying individualized DMGs. </w:t>
      </w:r>
      <w:r>
        <w:rPr>
          <w:vertAlign w:val="superscript"/>
        </w:rPr>
        <w:t xml:space="preserve">d </w:t>
      </w:r>
      <w:r>
        <w:t>represented the datasets used to evaluate the performance of RankDMG in one-phenotype data.</w:t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  <w:r>
        <w:rPr>
          <w:rFonts w:hint="eastAsia"/>
          <w:b/>
          <w:bCs/>
          <w:lang w:val="en-US" w:eastAsia="zh-CN"/>
        </w:rPr>
        <w:t>T</w:t>
      </w:r>
      <w:r>
        <w:rPr>
          <w:b/>
          <w:bCs/>
        </w:rPr>
        <w:t xml:space="preserve">able </w:t>
      </w:r>
      <w:r>
        <w:rPr>
          <w:rFonts w:hint="eastAsia"/>
          <w:b/>
          <w:bCs/>
          <w:lang w:val="en-US" w:eastAsia="zh-CN"/>
        </w:rPr>
        <w:t>S</w:t>
      </w:r>
      <w:r>
        <w:rPr>
          <w:b/>
          <w:bCs/>
        </w:rPr>
        <w:t xml:space="preserve">3. </w:t>
      </w:r>
      <w:r>
        <w:t>Datasets of medulloblastoma used in this study</w:t>
      </w:r>
      <w:r>
        <w:rPr>
          <w:rFonts w:hint="eastAsia"/>
        </w:rPr>
        <w:t>.</w:t>
      </w:r>
    </w:p>
    <w:tbl>
      <w:tblPr>
        <w:tblStyle w:val="8"/>
        <w:tblW w:w="0" w:type="auto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841"/>
        <w:gridCol w:w="1134"/>
        <w:gridCol w:w="1843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tcBorders>
              <w:bottom w:val="single" w:color="000000" w:themeColor="text1" w:sz="4" w:space="0"/>
              <w:right w:val="nil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</w:rPr>
            </w:pPr>
            <w:r>
              <w:rPr>
                <w:b w:val="0"/>
                <w:bCs w:val="0"/>
                <w:color w:val="auto"/>
                <w:kern w:val="0"/>
              </w:rPr>
              <w:t>Platform</w:t>
            </w:r>
          </w:p>
        </w:tc>
        <w:tc>
          <w:tcPr>
            <w:tcW w:w="1841" w:type="dxa"/>
            <w:tcBorders>
              <w:left w:val="nil"/>
              <w:bottom w:val="single" w:color="000000" w:themeColor="text1" w:sz="4" w:space="0"/>
              <w:right w:val="nil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</w:rPr>
            </w:pPr>
            <w:r>
              <w:rPr>
                <w:b w:val="0"/>
                <w:bCs w:val="0"/>
                <w:color w:val="auto"/>
                <w:kern w:val="0"/>
              </w:rPr>
              <w:t>Datasets</w:t>
            </w:r>
          </w:p>
        </w:tc>
        <w:tc>
          <w:tcPr>
            <w:tcW w:w="1134" w:type="dxa"/>
            <w:tcBorders>
              <w:left w:val="nil"/>
              <w:bottom w:val="single" w:color="000000" w:themeColor="text1" w:sz="4" w:space="0"/>
              <w:right w:val="nil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</w:rPr>
            </w:pPr>
            <w:r>
              <w:rPr>
                <w:b w:val="0"/>
                <w:bCs w:val="0"/>
                <w:color w:val="auto"/>
                <w:kern w:val="0"/>
              </w:rPr>
              <w:t>Control</w:t>
            </w:r>
          </w:p>
        </w:tc>
        <w:tc>
          <w:tcPr>
            <w:tcW w:w="1843" w:type="dxa"/>
            <w:tcBorders>
              <w:left w:val="nil"/>
              <w:bottom w:val="single" w:color="000000" w:themeColor="text1" w:sz="4" w:space="0"/>
              <w:insideH w:val="single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auto"/>
                <w:kern w:val="0"/>
              </w:rPr>
            </w:pPr>
            <w:r>
              <w:rPr>
                <w:b w:val="0"/>
                <w:bCs w:val="0"/>
                <w:color w:val="auto"/>
                <w:kern w:val="0"/>
              </w:rPr>
              <w:t>Case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136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b w:val="0"/>
                <w:bCs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PIC</w:t>
            </w:r>
          </w:p>
        </w:tc>
        <w:tc>
          <w:tcPr>
            <w:tcW w:w="4818" w:type="dxa"/>
            <w:gridSpan w:val="3"/>
            <w:tcBorders>
              <w:top w:val="single" w:color="auto" w:sz="4" w:space="0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Normal</w:t>
            </w: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 background set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GSE191200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GSE164822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GSE143157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GSE129428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GSE195834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GSE128401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GSE156984</w:t>
            </w:r>
            <w:r>
              <w:rPr>
                <w:color w:val="auto"/>
                <w:kern w:val="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117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GSE156012</w:t>
            </w:r>
            <w:r>
              <w:rPr>
                <w:color w:val="auto"/>
                <w:kern w:val="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 xml:space="preserve">29 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GSE142627</w:t>
            </w:r>
            <w:r>
              <w:rPr>
                <w:color w:val="auto"/>
                <w:kern w:val="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39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</w:rPr>
            </w:pPr>
          </w:p>
        </w:tc>
        <w:tc>
          <w:tcPr>
            <w:tcW w:w="4818" w:type="dxa"/>
            <w:gridSpan w:val="3"/>
            <w:tcBorders>
              <w:left w:val="nil"/>
              <w:bottom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I</w:t>
            </w:r>
            <w:r>
              <w:rPr>
                <w:color w:val="auto"/>
                <w:kern w:val="0"/>
              </w:rPr>
              <w:t>ndependent set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Merge w:val="continue"/>
            <w:tcBorders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b/>
                <w:bCs/>
                <w:color w:val="auto"/>
                <w:kern w:val="0"/>
              </w:rPr>
            </w:pP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B0F0"/>
                <w:kern w:val="0"/>
              </w:rPr>
            </w:pPr>
            <w:r>
              <w:rPr>
                <w:color w:val="auto"/>
                <w:kern w:val="0"/>
              </w:rPr>
              <w:t>GSE109402</w:t>
            </w:r>
            <w:r>
              <w:rPr>
                <w:color w:val="auto"/>
                <w:kern w:val="0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00B0F0"/>
                <w:kern w:val="0"/>
              </w:rPr>
            </w:pPr>
            <w:r>
              <w:rPr>
                <w:color w:val="auto"/>
                <w:kern w:val="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33</w:t>
            </w:r>
          </w:p>
        </w:tc>
      </w:tr>
    </w:tbl>
    <w:p>
      <w:r>
        <w:t xml:space="preserve">Note: </w:t>
      </w:r>
      <w:r>
        <w:rPr>
          <w:vertAlign w:val="superscript"/>
        </w:rPr>
        <w:t>a</w:t>
      </w:r>
      <w:r>
        <w:t xml:space="preserve"> represented the datasets used to identify reference genes. </w:t>
      </w:r>
      <w:r>
        <w:rPr>
          <w:vertAlign w:val="superscript"/>
        </w:rPr>
        <w:t xml:space="preserve">d </w:t>
      </w:r>
      <w:r>
        <w:t>represented the datasets used to evaluate the performance of RankDMG in one-phenotype data.</w:t>
      </w:r>
    </w:p>
    <w:p/>
    <w:p/>
    <w:p/>
    <w:p/>
    <w:p/>
    <w:p/>
    <w:p/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PSSAB-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9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2YWU3Yzg0ZDg4ZTI3ZmUzNDQ5NDdiODY4ZWY4MWMifQ=="/>
  </w:docVars>
  <w:rsids>
    <w:rsidRoot w:val="00F56B63"/>
    <w:rsid w:val="00093BAA"/>
    <w:rsid w:val="00097E9F"/>
    <w:rsid w:val="000C262B"/>
    <w:rsid w:val="00105614"/>
    <w:rsid w:val="00201C0B"/>
    <w:rsid w:val="00255974"/>
    <w:rsid w:val="00334F19"/>
    <w:rsid w:val="00482DFE"/>
    <w:rsid w:val="00487364"/>
    <w:rsid w:val="00595BAA"/>
    <w:rsid w:val="00640706"/>
    <w:rsid w:val="007B3C91"/>
    <w:rsid w:val="007F414A"/>
    <w:rsid w:val="007F7FC4"/>
    <w:rsid w:val="00844C6D"/>
    <w:rsid w:val="008B5EBC"/>
    <w:rsid w:val="008F77D0"/>
    <w:rsid w:val="009E01D9"/>
    <w:rsid w:val="00A73EDB"/>
    <w:rsid w:val="00AB7281"/>
    <w:rsid w:val="00AF3220"/>
    <w:rsid w:val="00AF3976"/>
    <w:rsid w:val="00B648A1"/>
    <w:rsid w:val="00BE2BE4"/>
    <w:rsid w:val="00BE49F3"/>
    <w:rsid w:val="00C757B0"/>
    <w:rsid w:val="00CA597F"/>
    <w:rsid w:val="00D221BD"/>
    <w:rsid w:val="00DA1DE7"/>
    <w:rsid w:val="00DD52D1"/>
    <w:rsid w:val="00EF5ACF"/>
    <w:rsid w:val="00F40388"/>
    <w:rsid w:val="00F43A7B"/>
    <w:rsid w:val="00F56B63"/>
    <w:rsid w:val="00F749C8"/>
    <w:rsid w:val="00FB09DC"/>
    <w:rsid w:val="018362EB"/>
    <w:rsid w:val="02F4405D"/>
    <w:rsid w:val="072639A0"/>
    <w:rsid w:val="08202AE5"/>
    <w:rsid w:val="08966904"/>
    <w:rsid w:val="0A1C72DC"/>
    <w:rsid w:val="0ADB7197"/>
    <w:rsid w:val="0B1D50BA"/>
    <w:rsid w:val="0BED2CDE"/>
    <w:rsid w:val="0C8F3D96"/>
    <w:rsid w:val="0DDD6CA4"/>
    <w:rsid w:val="0FC85F3C"/>
    <w:rsid w:val="10E02E12"/>
    <w:rsid w:val="124D3CCD"/>
    <w:rsid w:val="15804BC3"/>
    <w:rsid w:val="16DC051F"/>
    <w:rsid w:val="16E82C3B"/>
    <w:rsid w:val="1796247C"/>
    <w:rsid w:val="17CE60BA"/>
    <w:rsid w:val="18640274"/>
    <w:rsid w:val="1AA650CC"/>
    <w:rsid w:val="1B826CAD"/>
    <w:rsid w:val="1B965141"/>
    <w:rsid w:val="21186FB1"/>
    <w:rsid w:val="213F1DD6"/>
    <w:rsid w:val="234B5230"/>
    <w:rsid w:val="23E567E4"/>
    <w:rsid w:val="27003DB6"/>
    <w:rsid w:val="29581C87"/>
    <w:rsid w:val="2A92248A"/>
    <w:rsid w:val="2B17770F"/>
    <w:rsid w:val="2BB811E9"/>
    <w:rsid w:val="2BD55811"/>
    <w:rsid w:val="2BDD0222"/>
    <w:rsid w:val="2D6A3D37"/>
    <w:rsid w:val="2DF83A39"/>
    <w:rsid w:val="30093CDB"/>
    <w:rsid w:val="31F2254D"/>
    <w:rsid w:val="323D7C6C"/>
    <w:rsid w:val="329B4993"/>
    <w:rsid w:val="34034EE6"/>
    <w:rsid w:val="373F4487"/>
    <w:rsid w:val="37C23A39"/>
    <w:rsid w:val="38A81BB8"/>
    <w:rsid w:val="38D50DA2"/>
    <w:rsid w:val="3DE511B8"/>
    <w:rsid w:val="3E46616E"/>
    <w:rsid w:val="3FB54769"/>
    <w:rsid w:val="40307062"/>
    <w:rsid w:val="416765B7"/>
    <w:rsid w:val="430913D5"/>
    <w:rsid w:val="46EC4E76"/>
    <w:rsid w:val="488C32A4"/>
    <w:rsid w:val="4A266DE0"/>
    <w:rsid w:val="4C44459A"/>
    <w:rsid w:val="4D3C7046"/>
    <w:rsid w:val="4FE85264"/>
    <w:rsid w:val="50A76ECD"/>
    <w:rsid w:val="512D11C4"/>
    <w:rsid w:val="519B2098"/>
    <w:rsid w:val="52181025"/>
    <w:rsid w:val="58354DBE"/>
    <w:rsid w:val="5A5C0D28"/>
    <w:rsid w:val="5B525C87"/>
    <w:rsid w:val="5E2558D5"/>
    <w:rsid w:val="61AF3E33"/>
    <w:rsid w:val="62166DC4"/>
    <w:rsid w:val="622814F0"/>
    <w:rsid w:val="64A70DF2"/>
    <w:rsid w:val="67B850C4"/>
    <w:rsid w:val="685A7B3E"/>
    <w:rsid w:val="69DD324F"/>
    <w:rsid w:val="6B2220C2"/>
    <w:rsid w:val="6C172D01"/>
    <w:rsid w:val="6C81461E"/>
    <w:rsid w:val="6CC91B21"/>
    <w:rsid w:val="6D166E9C"/>
    <w:rsid w:val="6DA326CC"/>
    <w:rsid w:val="71586291"/>
    <w:rsid w:val="72810D31"/>
    <w:rsid w:val="754134EB"/>
    <w:rsid w:val="75ED062E"/>
    <w:rsid w:val="79DF336A"/>
    <w:rsid w:val="7DE20C95"/>
    <w:rsid w:val="7F741DC0"/>
    <w:rsid w:val="7F8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8">
    <w:name w:val="清单表 6 彩色1"/>
    <w:basedOn w:val="4"/>
    <w:qFormat/>
    <w:uiPriority w:val="51"/>
    <w:rPr>
      <w:rFonts w:ascii="Times New Roman" w:hAnsi="Times New Roman" w:cs="Times New Roman"/>
      <w:color w:val="000000" w:themeColor="text1"/>
      <w:kern w:val="0"/>
      <w:sz w:val="20"/>
      <w:szCs w:val="20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9">
    <w:name w:val="fontstyle01"/>
    <w:basedOn w:val="5"/>
    <w:qFormat/>
    <w:uiPriority w:val="0"/>
    <w:rPr>
      <w:rFonts w:hint="default" w:ascii="AdvPSSAB-R" w:hAnsi="AdvPSSAB-R"/>
      <w:color w:val="000000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535</Words>
  <Characters>2872</Characters>
  <Lines>22</Lines>
  <Paragraphs>6</Paragraphs>
  <TotalTime>16</TotalTime>
  <ScaleCrop>false</ScaleCrop>
  <LinksUpToDate>false</LinksUpToDate>
  <CharactersWithSpaces>3243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2022-10-18T04:39:00Z</dcterms:created>
  <dc:creator>Bioinformatics</dc:creator>
  <cp:lastModifiedBy>Administrator</cp:lastModifiedBy>
  <dcterms:modified xsi:type="dcterms:W3CDTF">2023-01-11T14:38:55Z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2D6FA1FB50AA486799AB98FEFA6933A2</vt:lpwstr>
  </property>
</Properties>
</file>