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7B1" w:rsidRPr="00C16475" w:rsidRDefault="00A01445" w:rsidP="00DE17B1">
      <w:pPr>
        <w:pStyle w:val="Titre1"/>
        <w:numPr>
          <w:ilvl w:val="0"/>
          <w:numId w:val="0"/>
        </w:numPr>
        <w:ind w:left="432" w:hanging="432"/>
        <w:jc w:val="center"/>
        <w:rPr>
          <w:color w:val="auto"/>
          <w:sz w:val="32"/>
        </w:rPr>
      </w:pPr>
      <w:bookmarkStart w:id="0" w:name="_Toc97216383"/>
      <w:r w:rsidRPr="00C16475">
        <w:rPr>
          <w:color w:val="auto"/>
          <w:sz w:val="32"/>
        </w:rPr>
        <w:t>Supplementary Materials</w:t>
      </w:r>
      <w:bookmarkEnd w:id="0"/>
    </w:p>
    <w:p w:rsidR="00A01445" w:rsidRDefault="00A01445" w:rsidP="00DE17B1">
      <w:pPr>
        <w:pStyle w:val="Titre1"/>
        <w:numPr>
          <w:ilvl w:val="0"/>
          <w:numId w:val="0"/>
        </w:numPr>
        <w:jc w:val="center"/>
        <w:rPr>
          <w:lang w:val="en-US"/>
        </w:rPr>
      </w:pPr>
      <w:r>
        <w:rPr>
          <w:lang w:val="en-US"/>
        </w:rPr>
        <w:t xml:space="preserve">Improved </w:t>
      </w:r>
      <w:proofErr w:type="spellStart"/>
      <w:r>
        <w:rPr>
          <w:lang w:val="en-US"/>
        </w:rPr>
        <w:t>metamodels</w:t>
      </w:r>
      <w:proofErr w:type="spellEnd"/>
      <w:r>
        <w:rPr>
          <w:lang w:val="en-US"/>
        </w:rPr>
        <w:t xml:space="preserve"> for predicting</w:t>
      </w:r>
      <w:r w:rsidRPr="00FB4F81">
        <w:rPr>
          <w:lang w:val="en-US"/>
        </w:rPr>
        <w:t xml:space="preserve"> high-dimensional outputs</w:t>
      </w:r>
      <w:r>
        <w:rPr>
          <w:lang w:val="en-US"/>
        </w:rPr>
        <w:t xml:space="preserve"> by accounting for the dependence structure of the latent variables: application to marine flooding</w:t>
      </w:r>
    </w:p>
    <w:p w:rsidR="00A01445" w:rsidRPr="00CD23B0" w:rsidRDefault="00A01445" w:rsidP="00A01445">
      <w:pPr>
        <w:jc w:val="center"/>
        <w:rPr>
          <w:lang w:val="en-US"/>
        </w:rPr>
      </w:pPr>
      <w:r w:rsidRPr="00CD23B0">
        <w:rPr>
          <w:lang w:val="en-US"/>
        </w:rPr>
        <w:t>Jeremy Rohmer</w:t>
      </w:r>
      <w:r w:rsidRPr="00CD23B0">
        <w:rPr>
          <w:vertAlign w:val="superscript"/>
          <w:lang w:val="en-US"/>
        </w:rPr>
        <w:t>1</w:t>
      </w:r>
      <w:r w:rsidRPr="00CD23B0">
        <w:rPr>
          <w:lang w:val="en-US"/>
        </w:rPr>
        <w:t xml:space="preserve">, </w:t>
      </w:r>
      <w:r>
        <w:rPr>
          <w:lang w:val="en-US"/>
        </w:rPr>
        <w:t>Charlie Sire</w:t>
      </w:r>
      <w:r>
        <w:rPr>
          <w:vertAlign w:val="superscript"/>
          <w:lang w:val="en-US"/>
        </w:rPr>
        <w:t>1</w:t>
      </w:r>
      <w:proofErr w:type="gramStart"/>
      <w:r>
        <w:rPr>
          <w:vertAlign w:val="superscript"/>
          <w:lang w:val="en-US"/>
        </w:rPr>
        <w:t>,2,3</w:t>
      </w:r>
      <w:proofErr w:type="gramEnd"/>
      <w:r>
        <w:rPr>
          <w:lang w:val="en-US"/>
        </w:rPr>
        <w:t xml:space="preserve">, </w:t>
      </w:r>
      <w:r w:rsidRPr="00CD23B0">
        <w:rPr>
          <w:lang w:val="en-US"/>
        </w:rPr>
        <w:t>Sophie Lecacheux</w:t>
      </w:r>
      <w:r w:rsidRPr="00CD23B0">
        <w:rPr>
          <w:vertAlign w:val="superscript"/>
          <w:lang w:val="en-US"/>
        </w:rPr>
        <w:t>1</w:t>
      </w:r>
      <w:r w:rsidRPr="00CD23B0">
        <w:rPr>
          <w:lang w:val="en-US"/>
        </w:rPr>
        <w:t>, Deborah Idier</w:t>
      </w:r>
      <w:r w:rsidRPr="00CD23B0">
        <w:rPr>
          <w:vertAlign w:val="superscript"/>
          <w:lang w:val="en-US"/>
        </w:rPr>
        <w:t>1</w:t>
      </w:r>
      <w:r w:rsidRPr="00CD23B0">
        <w:rPr>
          <w:lang w:val="en-US"/>
        </w:rPr>
        <w:t>, Rodrigo Pedreros</w:t>
      </w:r>
      <w:r w:rsidRPr="58886ADB">
        <w:rPr>
          <w:vertAlign w:val="superscript"/>
        </w:rPr>
        <w:t>1</w:t>
      </w:r>
    </w:p>
    <w:p w:rsidR="00A01445" w:rsidRPr="00EB0AC1" w:rsidRDefault="00A01445" w:rsidP="00A01445">
      <w:pPr>
        <w:rPr>
          <w:szCs w:val="24"/>
          <w:lang w:val="fr-FR"/>
        </w:rPr>
      </w:pPr>
      <w:r w:rsidRPr="00CD23B0">
        <w:rPr>
          <w:szCs w:val="24"/>
          <w:lang w:val="en-US"/>
        </w:rPr>
        <w:t xml:space="preserve">[1]{BRGM, 3 av. </w:t>
      </w:r>
      <w:r w:rsidRPr="00EB0AC1">
        <w:rPr>
          <w:szCs w:val="24"/>
          <w:lang w:val="fr-FR"/>
        </w:rPr>
        <w:t>C. Guillemin - 45060 Orléans Cedex 2 - France}</w:t>
      </w:r>
    </w:p>
    <w:p w:rsidR="00A01445" w:rsidRPr="00EB0AC1" w:rsidRDefault="00A01445" w:rsidP="00A01445">
      <w:pPr>
        <w:rPr>
          <w:szCs w:val="24"/>
          <w:lang w:val="fr-FR"/>
        </w:rPr>
      </w:pPr>
      <w:r w:rsidRPr="00EB0AC1">
        <w:rPr>
          <w:szCs w:val="24"/>
          <w:lang w:val="fr-FR"/>
        </w:rPr>
        <w:t>[</w:t>
      </w:r>
      <w:proofErr w:type="gramStart"/>
      <w:r w:rsidRPr="00EB0AC1">
        <w:rPr>
          <w:szCs w:val="24"/>
          <w:lang w:val="fr-FR"/>
        </w:rPr>
        <w:t>2]{</w:t>
      </w:r>
      <w:proofErr w:type="gramEnd"/>
      <w:r w:rsidRPr="00EB0AC1">
        <w:rPr>
          <w:szCs w:val="24"/>
          <w:lang w:val="fr-FR"/>
        </w:rPr>
        <w:t>LIMOS - Laboratoire d'Informatique, de Modélisation et d'Optimisation des Systèmes}</w:t>
      </w:r>
    </w:p>
    <w:p w:rsidR="00A01445" w:rsidRPr="00EB0AC1" w:rsidRDefault="00A01445" w:rsidP="00A01445">
      <w:pPr>
        <w:jc w:val="left"/>
        <w:rPr>
          <w:szCs w:val="24"/>
          <w:lang w:val="fr-FR"/>
        </w:rPr>
      </w:pPr>
      <w:r w:rsidRPr="00EB0AC1">
        <w:rPr>
          <w:szCs w:val="24"/>
          <w:lang w:val="fr-FR"/>
        </w:rPr>
        <w:t>[</w:t>
      </w:r>
      <w:proofErr w:type="gramStart"/>
      <w:r w:rsidRPr="00EB0AC1">
        <w:rPr>
          <w:szCs w:val="24"/>
          <w:lang w:val="fr-FR"/>
        </w:rPr>
        <w:t>3]{</w:t>
      </w:r>
      <w:proofErr w:type="gramEnd"/>
      <w:r w:rsidRPr="00EB0AC1">
        <w:rPr>
          <w:szCs w:val="24"/>
          <w:lang w:val="fr-FR"/>
        </w:rPr>
        <w:t>IRSN/PSE-ENV/SCAN/BEHRIG - Bureau d'expertise en hydrogéologie, risques Inondation, météorologiques et géotechniques</w:t>
      </w:r>
      <w:r>
        <w:rPr>
          <w:szCs w:val="24"/>
          <w:lang w:val="fr-FR"/>
        </w:rPr>
        <w:t xml:space="preserve"> </w:t>
      </w:r>
      <w:r w:rsidRPr="00EB0AC1">
        <w:rPr>
          <w:szCs w:val="24"/>
          <w:lang w:val="fr-FR"/>
        </w:rPr>
        <w:t>IRSN/PSE-ENV/SCAN - Service de caractérisation des sites et des aléas naturels}</w:t>
      </w:r>
    </w:p>
    <w:p w:rsidR="00A01445" w:rsidRDefault="00A01445" w:rsidP="00A01445">
      <w:pPr>
        <w:pStyle w:val="Correspondence"/>
      </w:pPr>
      <w:r w:rsidRPr="002D326D">
        <w:rPr>
          <w:i/>
        </w:rPr>
        <w:t>Correspondence to</w:t>
      </w:r>
      <w:r w:rsidRPr="002D326D">
        <w:t>: Jeremy Rohmer (</w:t>
      </w:r>
      <w:hyperlink r:id="rId5" w:history="1">
        <w:r w:rsidRPr="002D326D">
          <w:rPr>
            <w:rStyle w:val="Lienhypertexte"/>
          </w:rPr>
          <w:t>j.rohmer@brgm.fr</w:t>
        </w:r>
      </w:hyperlink>
      <w:r w:rsidRPr="002D326D">
        <w:t>)</w:t>
      </w:r>
    </w:p>
    <w:p w:rsidR="00DE17B1" w:rsidRPr="00DE17B1" w:rsidRDefault="00DE17B1" w:rsidP="00A01445">
      <w:pPr>
        <w:pStyle w:val="Correspondence"/>
        <w:rPr>
          <w:sz w:val="22"/>
        </w:rPr>
      </w:pPr>
    </w:p>
    <w:p w:rsidR="00A01445" w:rsidRPr="00DE17B1" w:rsidRDefault="00A01445" w:rsidP="00A01445">
      <w:pPr>
        <w:pStyle w:val="Paragraphedeliste"/>
        <w:numPr>
          <w:ilvl w:val="0"/>
          <w:numId w:val="4"/>
        </w:numPr>
        <w:suppressAutoHyphens/>
        <w:spacing w:before="0" w:line="240" w:lineRule="auto"/>
        <w:contextualSpacing w:val="0"/>
        <w:rPr>
          <w:b/>
          <w:sz w:val="28"/>
          <w:lang w:val="en-US"/>
        </w:rPr>
      </w:pPr>
      <w:r w:rsidRPr="00DE17B1">
        <w:rPr>
          <w:b/>
          <w:sz w:val="28"/>
          <w:lang w:val="en-US"/>
        </w:rPr>
        <w:t xml:space="preserve">Supplementary Materials A </w:t>
      </w:r>
      <w:r w:rsidRPr="00DE17B1">
        <w:rPr>
          <w:sz w:val="28"/>
        </w:rPr>
        <w:t>Design of experiments</w:t>
      </w:r>
    </w:p>
    <w:p w:rsidR="00A01445" w:rsidRPr="00DE17B1" w:rsidRDefault="00A01445" w:rsidP="00A01445">
      <w:pPr>
        <w:pStyle w:val="Paragraphedeliste"/>
        <w:numPr>
          <w:ilvl w:val="0"/>
          <w:numId w:val="4"/>
        </w:numPr>
        <w:suppressAutoHyphens/>
        <w:spacing w:before="0" w:line="240" w:lineRule="auto"/>
        <w:contextualSpacing w:val="0"/>
        <w:rPr>
          <w:b/>
          <w:sz w:val="28"/>
          <w:lang w:val="en-US"/>
        </w:rPr>
      </w:pPr>
      <w:r w:rsidRPr="00DE17B1">
        <w:rPr>
          <w:b/>
          <w:sz w:val="28"/>
          <w:lang w:val="en-US"/>
        </w:rPr>
        <w:t xml:space="preserve">Supplementary Material B </w:t>
      </w:r>
      <w:r w:rsidRPr="00DE17B1">
        <w:rPr>
          <w:sz w:val="28"/>
        </w:rPr>
        <w:t>Analysis for real case 2</w:t>
      </w:r>
    </w:p>
    <w:p w:rsidR="00A01445" w:rsidRDefault="00A01445">
      <w:pPr>
        <w:spacing w:before="0" w:after="160" w:line="259" w:lineRule="auto"/>
        <w:jc w:val="left"/>
        <w:rPr>
          <w:rFonts w:ascii="Arial" w:hAnsi="Arial"/>
          <w:b/>
          <w:bCs/>
          <w:kern w:val="32"/>
          <w:szCs w:val="32"/>
        </w:rPr>
      </w:pPr>
      <w:r>
        <w:br w:type="page"/>
      </w:r>
    </w:p>
    <w:p w:rsidR="00C73515" w:rsidRDefault="00DE17B1" w:rsidP="00C73515">
      <w:pPr>
        <w:pStyle w:val="Titre1"/>
        <w:numPr>
          <w:ilvl w:val="0"/>
          <w:numId w:val="0"/>
        </w:numPr>
        <w:ind w:left="432" w:hanging="432"/>
      </w:pPr>
      <w:r>
        <w:lastRenderedPageBreak/>
        <w:t>Supplementary Material</w:t>
      </w:r>
      <w:r w:rsidR="00C73515">
        <w:t xml:space="preserve"> </w:t>
      </w:r>
      <w:proofErr w:type="gramStart"/>
      <w:r w:rsidR="00C73515">
        <w:t>A</w:t>
      </w:r>
      <w:proofErr w:type="gramEnd"/>
      <w:r w:rsidR="00C73515">
        <w:t xml:space="preserve"> Design of experiments</w:t>
      </w:r>
    </w:p>
    <w:p w:rsidR="00C73515" w:rsidRDefault="00C73515" w:rsidP="00C73515">
      <w:pPr>
        <w:pStyle w:val="Titre2"/>
        <w:numPr>
          <w:ilvl w:val="0"/>
          <w:numId w:val="0"/>
        </w:numPr>
        <w:ind w:left="578" w:hanging="578"/>
      </w:pPr>
      <w:r>
        <w:t>A.1 Real case 1</w:t>
      </w:r>
    </w:p>
    <w:p w:rsidR="00C73515" w:rsidRDefault="00C73515" w:rsidP="00C73515">
      <w:r w:rsidRPr="001A7299">
        <w:rPr>
          <w:noProof/>
          <w:lang w:val="fr-FR" w:eastAsia="fr-FR"/>
        </w:rPr>
        <w:drawing>
          <wp:inline distT="0" distB="0" distL="0" distR="0" wp14:anchorId="74307D7A" wp14:editId="034AA22B">
            <wp:extent cx="5759450" cy="5753394"/>
            <wp:effectExtent l="0" t="0" r="0" b="0"/>
            <wp:docPr id="2" name="Image 2" descr="D:\Documents\rohmer\OneDrive - BRGM\Articles\oracles\do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rohmer\OneDrive - BRGM\Articles\oracles\do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9450" cy="5753394"/>
                    </a:xfrm>
                    <a:prstGeom prst="rect">
                      <a:avLst/>
                    </a:prstGeom>
                    <a:noFill/>
                    <a:ln>
                      <a:noFill/>
                    </a:ln>
                  </pic:spPr>
                </pic:pic>
              </a:graphicData>
            </a:graphic>
          </wp:inline>
        </w:drawing>
      </w:r>
    </w:p>
    <w:p w:rsidR="00C73515" w:rsidRPr="009E177A" w:rsidRDefault="00C73515" w:rsidP="00C73515">
      <w:r>
        <w:t xml:space="preserve">Figure A1. Design of experiments for real case 1. Only the 243 cases that have led to flooding </w:t>
      </w:r>
      <w:proofErr w:type="gramStart"/>
      <w:r>
        <w:t xml:space="preserve">are </w:t>
      </w:r>
      <w:r w:rsidR="00406DC0">
        <w:t>displayed</w:t>
      </w:r>
      <w:proofErr w:type="gramEnd"/>
      <w:r>
        <w:t xml:space="preserve">. All variables are normalised between </w:t>
      </w:r>
      <w:proofErr w:type="gramStart"/>
      <w:r>
        <w:t>0</w:t>
      </w:r>
      <w:proofErr w:type="gramEnd"/>
      <w:r>
        <w:t xml:space="preserve"> and 1.</w:t>
      </w:r>
    </w:p>
    <w:p w:rsidR="00C73515" w:rsidRDefault="00C73515" w:rsidP="00C73515">
      <w:pPr>
        <w:pStyle w:val="Titre2"/>
        <w:numPr>
          <w:ilvl w:val="0"/>
          <w:numId w:val="0"/>
        </w:numPr>
        <w:ind w:left="578" w:hanging="578"/>
      </w:pPr>
      <w:r>
        <w:lastRenderedPageBreak/>
        <w:t>A.2 Real case 2</w:t>
      </w:r>
    </w:p>
    <w:p w:rsidR="00C73515" w:rsidRPr="00B07382" w:rsidRDefault="00C73515" w:rsidP="00C73515">
      <w:r w:rsidRPr="00B07382">
        <w:rPr>
          <w:noProof/>
          <w:lang w:val="fr-FR" w:eastAsia="fr-FR"/>
        </w:rPr>
        <w:drawing>
          <wp:inline distT="0" distB="0" distL="0" distR="0" wp14:anchorId="613BEE03" wp14:editId="5326D13E">
            <wp:extent cx="5759450" cy="4839077"/>
            <wp:effectExtent l="0" t="0" r="0" b="0"/>
            <wp:docPr id="5" name="Image 5" descr="D:\Documents\rohmer\OneDrive - BRGM\Articles\oracles\SainteSuzanne\do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rohmer\OneDrive - BRGM\Articles\oracles\SainteSuzanne\do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4839077"/>
                    </a:xfrm>
                    <a:prstGeom prst="rect">
                      <a:avLst/>
                    </a:prstGeom>
                    <a:noFill/>
                    <a:ln>
                      <a:noFill/>
                    </a:ln>
                  </pic:spPr>
                </pic:pic>
              </a:graphicData>
            </a:graphic>
          </wp:inline>
        </w:drawing>
      </w:r>
    </w:p>
    <w:p w:rsidR="00C73515" w:rsidRPr="009E177A" w:rsidRDefault="00C73515" w:rsidP="00C73515">
      <w:r>
        <w:t xml:space="preserve">Figure A2. Design of experiments for real case 2. Only the 136 cases that have led to flooding </w:t>
      </w:r>
      <w:proofErr w:type="gramStart"/>
      <w:r>
        <w:t xml:space="preserve">are </w:t>
      </w:r>
      <w:r w:rsidR="00406DC0">
        <w:t>displayed</w:t>
      </w:r>
      <w:proofErr w:type="gramEnd"/>
      <w:r>
        <w:t xml:space="preserve">. All variables are normalised between </w:t>
      </w:r>
      <w:proofErr w:type="gramStart"/>
      <w:r>
        <w:t>0</w:t>
      </w:r>
      <w:proofErr w:type="gramEnd"/>
      <w:r>
        <w:t xml:space="preserve"> and 1.</w:t>
      </w:r>
    </w:p>
    <w:p w:rsidR="00C73515" w:rsidRDefault="00C73515" w:rsidP="00C73515">
      <w:pPr>
        <w:spacing w:before="0" w:line="240" w:lineRule="auto"/>
        <w:jc w:val="left"/>
      </w:pPr>
      <w:r>
        <w:br w:type="page"/>
      </w:r>
    </w:p>
    <w:p w:rsidR="00C73515" w:rsidRDefault="00C73515" w:rsidP="00C73515">
      <w:pPr>
        <w:pStyle w:val="Titre1"/>
        <w:numPr>
          <w:ilvl w:val="0"/>
          <w:numId w:val="0"/>
        </w:numPr>
        <w:ind w:left="432" w:hanging="432"/>
      </w:pPr>
      <w:r>
        <w:lastRenderedPageBreak/>
        <w:t>Appendix B: Analysis for real case 2</w:t>
      </w:r>
    </w:p>
    <w:p w:rsidR="00C73515" w:rsidRDefault="00C73515" w:rsidP="00C73515">
      <w:r>
        <w:rPr>
          <w:color w:val="auto"/>
        </w:rPr>
        <w:t>Figure B</w:t>
      </w:r>
      <w:r w:rsidR="0069412F">
        <w:rPr>
          <w:color w:val="auto"/>
        </w:rPr>
        <w:t>1</w:t>
      </w:r>
      <w:r>
        <w:rPr>
          <w:color w:val="auto"/>
        </w:rPr>
        <w:t xml:space="preserve"> depicts the eigenvectors </w:t>
      </w:r>
      <w:r w:rsidR="0069412F">
        <w:rPr>
          <w:color w:val="auto"/>
        </w:rPr>
        <w:t>derived from the PCA</w:t>
      </w:r>
      <w:r>
        <w:rPr>
          <w:color w:val="auto"/>
        </w:rPr>
        <w:t xml:space="preserve">. Like for real case 1, the first eigenvector has positive values over the whole territory, which means that this first mode of spatial variability induces </w:t>
      </w:r>
      <w:r w:rsidR="00406DC0">
        <w:rPr>
          <w:color w:val="auto"/>
        </w:rPr>
        <w:t xml:space="preserve">maximum </w:t>
      </w:r>
      <w:r>
        <w:rPr>
          <w:color w:val="auto"/>
        </w:rPr>
        <w:t xml:space="preserve">water depths that </w:t>
      </w:r>
      <w:proofErr w:type="gramStart"/>
      <w:r>
        <w:rPr>
          <w:color w:val="auto"/>
        </w:rPr>
        <w:t>are shifted</w:t>
      </w:r>
      <w:proofErr w:type="gramEnd"/>
      <w:r>
        <w:rPr>
          <w:color w:val="auto"/>
        </w:rPr>
        <w:t xml:space="preserve"> above the spatial mean over the whole domain. The magnitude of the positive deviation is heterogeneous over space (as marked by</w:t>
      </w:r>
      <w:r w:rsidR="00DE17B1">
        <w:rPr>
          <w:color w:val="auto"/>
        </w:rPr>
        <w:t xml:space="preserve"> the colour brightness in Fig. B</w:t>
      </w:r>
      <w:r w:rsidR="0069412F">
        <w:rPr>
          <w:color w:val="auto"/>
        </w:rPr>
        <w:t>1</w:t>
      </w:r>
      <w:r>
        <w:rPr>
          <w:color w:val="auto"/>
        </w:rPr>
        <w:t>)</w:t>
      </w:r>
      <w:proofErr w:type="gramStart"/>
      <w:r>
        <w:rPr>
          <w:color w:val="auto"/>
        </w:rPr>
        <w:t>;</w:t>
      </w:r>
      <w:proofErr w:type="gramEnd"/>
      <w:r>
        <w:rPr>
          <w:color w:val="auto"/>
        </w:rPr>
        <w:t xml:space="preserve"> in particular with a higher intensification in the </w:t>
      </w:r>
      <w:proofErr w:type="spellStart"/>
      <w:r w:rsidR="0069412F">
        <w:rPr>
          <w:color w:val="auto"/>
        </w:rPr>
        <w:t>southeastern</w:t>
      </w:r>
      <w:proofErr w:type="spellEnd"/>
      <w:r>
        <w:rPr>
          <w:color w:val="auto"/>
        </w:rPr>
        <w:t xml:space="preserve"> part of the territory. Figure </w:t>
      </w:r>
      <w:r w:rsidR="00DE17B1">
        <w:rPr>
          <w:color w:val="auto"/>
        </w:rPr>
        <w:t>B</w:t>
      </w:r>
      <w:r w:rsidR="0069412F">
        <w:rPr>
          <w:color w:val="auto"/>
        </w:rPr>
        <w:t>1</w:t>
      </w:r>
      <w:r>
        <w:rPr>
          <w:color w:val="auto"/>
        </w:rPr>
        <w:t xml:space="preserve">(a, b) show distinct modes of spatial variability with some regions exhibiting positive (negative) changes, outlined with warm colours (respectively negative values outlined with cold colours) leading to water levels shifted above (or below) the spatial mean. The second mode induces strong water levels in the central regions where the main urban area is located and where the water depths are the highest (see Fig. 5(a)), whereas the third mode induces strong water depths mostly </w:t>
      </w:r>
      <w:proofErr w:type="gramStart"/>
      <w:r>
        <w:rPr>
          <w:color w:val="auto"/>
        </w:rPr>
        <w:t>in</w:t>
      </w:r>
      <w:proofErr w:type="gramEnd"/>
      <w:r>
        <w:rPr>
          <w:color w:val="auto"/>
        </w:rPr>
        <w:t xml:space="preserve"> the </w:t>
      </w:r>
      <w:proofErr w:type="spellStart"/>
      <w:r>
        <w:rPr>
          <w:color w:val="auto"/>
        </w:rPr>
        <w:t>southeastern</w:t>
      </w:r>
      <w:proofErr w:type="spellEnd"/>
      <w:r>
        <w:rPr>
          <w:color w:val="auto"/>
        </w:rPr>
        <w:t xml:space="preserve"> part of the territory. </w:t>
      </w:r>
    </w:p>
    <w:p w:rsidR="00C73515" w:rsidRDefault="00C73515" w:rsidP="00C73515">
      <w:pPr>
        <w:jc w:val="center"/>
      </w:pPr>
      <w:r w:rsidRPr="006E0B58">
        <w:rPr>
          <w:noProof/>
          <w:lang w:val="fr-FR" w:eastAsia="fr-FR"/>
        </w:rPr>
        <w:lastRenderedPageBreak/>
        <w:drawing>
          <wp:inline distT="0" distB="0" distL="0" distR="0" wp14:anchorId="44C3CD69" wp14:editId="26AC12BB">
            <wp:extent cx="4467839" cy="5890846"/>
            <wp:effectExtent l="0" t="0" r="9525" b="0"/>
            <wp:docPr id="7" name="Image 7" descr="D:\Documents\rohmer\OneDrive - BRGM\Articles\oracles\SainteSuzanne\Figure_PCba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rohmer\OneDrive - BRGM\Articles\oracles\SainteSuzanne\Figure_PCbasi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1343" cy="5895467"/>
                    </a:xfrm>
                    <a:prstGeom prst="rect">
                      <a:avLst/>
                    </a:prstGeom>
                    <a:noFill/>
                    <a:ln>
                      <a:noFill/>
                    </a:ln>
                  </pic:spPr>
                </pic:pic>
              </a:graphicData>
            </a:graphic>
          </wp:inline>
        </w:drawing>
      </w:r>
    </w:p>
    <w:p w:rsidR="00C73515" w:rsidRDefault="00C73515" w:rsidP="00C73515">
      <w:pPr>
        <w:jc w:val="center"/>
      </w:pPr>
      <w:r w:rsidRPr="000B4986">
        <w:rPr>
          <w:color w:val="auto"/>
        </w:rPr>
        <w:t xml:space="preserve">Figure </w:t>
      </w:r>
      <w:r w:rsidR="00DE17B1">
        <w:rPr>
          <w:color w:val="auto"/>
        </w:rPr>
        <w:t>B</w:t>
      </w:r>
      <w:r w:rsidR="0069412F">
        <w:rPr>
          <w:color w:val="auto"/>
        </w:rPr>
        <w:t>1</w:t>
      </w:r>
      <w:r w:rsidRPr="000B4986">
        <w:rPr>
          <w:color w:val="auto"/>
        </w:rPr>
        <w:t>.</w:t>
      </w:r>
      <w:r>
        <w:rPr>
          <w:color w:val="auto"/>
        </w:rPr>
        <w:t xml:space="preserve"> Map related to the first three eigenvectors (a - c) derived from PCA (with mean pre-</w:t>
      </w:r>
      <w:proofErr w:type="spellStart"/>
      <w:r>
        <w:rPr>
          <w:color w:val="auto"/>
        </w:rPr>
        <w:t>centering</w:t>
      </w:r>
      <w:proofErr w:type="spellEnd"/>
      <w:r>
        <w:rPr>
          <w:color w:val="auto"/>
        </w:rPr>
        <w:t xml:space="preserve">) for the set of flood maps of the real case application. </w:t>
      </w:r>
      <w:r>
        <w:t xml:space="preserve">Backgrounds of the maps </w:t>
      </w:r>
      <w:proofErr w:type="gramStart"/>
      <w:r>
        <w:t>are extracted</w:t>
      </w:r>
      <w:proofErr w:type="gramEnd"/>
      <w:r>
        <w:t xml:space="preserve"> from Bing map dataset via</w:t>
      </w:r>
      <w:r w:rsidRPr="00DC40BF">
        <w:t xml:space="preserve"> </w:t>
      </w:r>
      <w:proofErr w:type="spellStart"/>
      <w:r w:rsidRPr="00DC40BF">
        <w:t>OpenStreetMap</w:t>
      </w:r>
      <w:proofErr w:type="spellEnd"/>
      <w:r>
        <w:t>.</w:t>
      </w:r>
    </w:p>
    <w:p w:rsidR="00C73515" w:rsidRDefault="00C73515" w:rsidP="00C73515">
      <w:pPr>
        <w:jc w:val="center"/>
        <w:rPr>
          <w:color w:val="auto"/>
        </w:rPr>
      </w:pPr>
    </w:p>
    <w:p w:rsidR="00C73515" w:rsidRPr="00FE7745" w:rsidRDefault="00C73515" w:rsidP="00C73515">
      <w:pPr>
        <w:rPr>
          <w:color w:val="auto"/>
        </w:rPr>
      </w:pPr>
      <w:r>
        <w:rPr>
          <w:color w:val="auto"/>
        </w:rPr>
        <w:t xml:space="preserve">The application of the k-means clustering algorithm with </w:t>
      </w:r>
      <w:proofErr w:type="gramStart"/>
      <w:r>
        <w:rPr>
          <w:color w:val="auto"/>
        </w:rPr>
        <w:t>3</w:t>
      </w:r>
      <w:proofErr w:type="gramEnd"/>
      <w:r>
        <w:rPr>
          <w:color w:val="auto"/>
        </w:rPr>
        <w:t xml:space="preserve"> clusters allows to identify subspaces of simplified structure (coloured dots in Fig. </w:t>
      </w:r>
      <w:r w:rsidR="00DE17B1">
        <w:rPr>
          <w:color w:val="auto"/>
        </w:rPr>
        <w:t>B</w:t>
      </w:r>
      <w:r w:rsidR="0069412F">
        <w:rPr>
          <w:color w:val="auto"/>
        </w:rPr>
        <w:t>2</w:t>
      </w:r>
      <w:r>
        <w:rPr>
          <w:color w:val="auto"/>
        </w:rPr>
        <w:t xml:space="preserve">, left). For instance, the grey cluster is here associated to a quasi-linear relation between the latent variables. The spatial distributions of water depth (measured with respect to the spatial mean) that are the closest to the k-means-derived centroids of each cluster </w:t>
      </w:r>
      <w:proofErr w:type="gramStart"/>
      <w:r>
        <w:rPr>
          <w:color w:val="auto"/>
        </w:rPr>
        <w:t>are plotted</w:t>
      </w:r>
      <w:proofErr w:type="gramEnd"/>
      <w:r>
        <w:rPr>
          <w:color w:val="auto"/>
        </w:rPr>
        <w:t xml:space="preserve"> in Fig. </w:t>
      </w:r>
      <w:r w:rsidR="00DE17B1">
        <w:rPr>
          <w:color w:val="auto"/>
        </w:rPr>
        <w:t>B</w:t>
      </w:r>
      <w:r w:rsidR="0069412F">
        <w:rPr>
          <w:color w:val="auto"/>
        </w:rPr>
        <w:t>2</w:t>
      </w:r>
      <w:r w:rsidR="00DE17B1">
        <w:rPr>
          <w:color w:val="auto"/>
        </w:rPr>
        <w:t>,</w:t>
      </w:r>
      <w:r>
        <w:rPr>
          <w:color w:val="auto"/>
        </w:rPr>
        <w:t xml:space="preserve"> right. This shows that Case (a) is related to a flood that is mainly located in the </w:t>
      </w:r>
      <w:proofErr w:type="spellStart"/>
      <w:r w:rsidR="000D5934">
        <w:rPr>
          <w:color w:val="auto"/>
        </w:rPr>
        <w:t>northwestern</w:t>
      </w:r>
      <w:proofErr w:type="spellEnd"/>
      <w:r>
        <w:rPr>
          <w:color w:val="auto"/>
        </w:rPr>
        <w:t xml:space="preserve"> part of the territory i.e. related to the second </w:t>
      </w:r>
      <w:r>
        <w:rPr>
          <w:color w:val="auto"/>
        </w:rPr>
        <w:lastRenderedPageBreak/>
        <w:t xml:space="preserve">mode of spatial </w:t>
      </w:r>
      <w:proofErr w:type="gramStart"/>
      <w:r>
        <w:rPr>
          <w:color w:val="auto"/>
        </w:rPr>
        <w:t>variability which</w:t>
      </w:r>
      <w:proofErr w:type="gramEnd"/>
      <w:r>
        <w:rPr>
          <w:color w:val="auto"/>
        </w:rPr>
        <w:t xml:space="preserve"> is in agreement with a high </w:t>
      </w:r>
      <w:r w:rsidRPr="00FE4EFA">
        <w:rPr>
          <w:i/>
          <w:color w:val="auto"/>
        </w:rPr>
        <w:t>z</w:t>
      </w:r>
      <w:r w:rsidRPr="00FE4EFA">
        <w:rPr>
          <w:color w:val="auto"/>
          <w:vertAlign w:val="subscript"/>
        </w:rPr>
        <w:t>2</w:t>
      </w:r>
      <w:r>
        <w:rPr>
          <w:color w:val="auto"/>
        </w:rPr>
        <w:t xml:space="preserve"> value. Case (b) presents a large spatial extension, which reflects a high contribution of the first mode of variability (i.e. high </w:t>
      </w:r>
      <w:r w:rsidRPr="005153D3">
        <w:rPr>
          <w:i/>
          <w:color w:val="auto"/>
        </w:rPr>
        <w:t>z</w:t>
      </w:r>
      <w:r w:rsidRPr="005153D3">
        <w:rPr>
          <w:color w:val="auto"/>
          <w:vertAlign w:val="subscript"/>
        </w:rPr>
        <w:t>1</w:t>
      </w:r>
      <w:r>
        <w:rPr>
          <w:color w:val="auto"/>
          <w:vertAlign w:val="subscript"/>
        </w:rPr>
        <w:t xml:space="preserve"> </w:t>
      </w:r>
      <w:r>
        <w:rPr>
          <w:color w:val="auto"/>
        </w:rPr>
        <w:t xml:space="preserve">value) together with quasi-nil </w:t>
      </w:r>
      <w:r w:rsidRPr="005153D3">
        <w:rPr>
          <w:i/>
          <w:color w:val="auto"/>
        </w:rPr>
        <w:t>z</w:t>
      </w:r>
      <w:r>
        <w:rPr>
          <w:color w:val="auto"/>
          <w:vertAlign w:val="subscript"/>
        </w:rPr>
        <w:t xml:space="preserve">2 </w:t>
      </w:r>
      <w:r>
        <w:rPr>
          <w:color w:val="auto"/>
        </w:rPr>
        <w:t xml:space="preserve">and </w:t>
      </w:r>
      <w:r w:rsidRPr="005153D3">
        <w:rPr>
          <w:i/>
          <w:color w:val="auto"/>
        </w:rPr>
        <w:t>z</w:t>
      </w:r>
      <w:r>
        <w:rPr>
          <w:color w:val="auto"/>
          <w:vertAlign w:val="subscript"/>
        </w:rPr>
        <w:t xml:space="preserve">3 </w:t>
      </w:r>
      <w:r>
        <w:rPr>
          <w:color w:val="auto"/>
        </w:rPr>
        <w:t xml:space="preserve">value. Case (c) </w:t>
      </w:r>
      <w:proofErr w:type="gramStart"/>
      <w:r>
        <w:rPr>
          <w:color w:val="auto"/>
        </w:rPr>
        <w:t>is related</w:t>
      </w:r>
      <w:proofErr w:type="gramEnd"/>
      <w:r>
        <w:rPr>
          <w:color w:val="auto"/>
        </w:rPr>
        <w:t xml:space="preserve"> to a flood that has small spatial extent, which is in agreement with its position in the </w:t>
      </w:r>
      <w:r w:rsidRPr="00811FB1">
        <w:rPr>
          <w:i/>
          <w:color w:val="auto"/>
        </w:rPr>
        <w:t>z</w:t>
      </w:r>
      <w:r>
        <w:rPr>
          <w:color w:val="auto"/>
        </w:rPr>
        <w:t xml:space="preserve"> domain of variation.</w:t>
      </w:r>
    </w:p>
    <w:p w:rsidR="00C73515" w:rsidRDefault="00C73515" w:rsidP="00C73515">
      <w:pPr>
        <w:rPr>
          <w:color w:val="auto"/>
        </w:rPr>
      </w:pPr>
    </w:p>
    <w:p w:rsidR="00C73515" w:rsidRDefault="00C73515" w:rsidP="00C73515">
      <w:pPr>
        <w:jc w:val="center"/>
        <w:rPr>
          <w:color w:val="auto"/>
        </w:rPr>
      </w:pPr>
      <w:r w:rsidRPr="006D0EA9">
        <w:rPr>
          <w:noProof/>
          <w:color w:val="auto"/>
          <w:lang w:val="fr-FR" w:eastAsia="fr-FR"/>
        </w:rPr>
        <w:drawing>
          <wp:inline distT="0" distB="0" distL="0" distR="0" wp14:anchorId="325764C1" wp14:editId="5DC10B44">
            <wp:extent cx="5759450" cy="4813257"/>
            <wp:effectExtent l="0" t="0" r="0" b="6985"/>
            <wp:docPr id="8" name="Image 8" descr="D:\Documents\rohmer\OneDrive - BRGM\Articles\oracles\SainteSuzanne\Figure_3clust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ocuments\rohmer\OneDrive - BRGM\Articles\oracles\SainteSuzanne\Figure_3clusterin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4813257"/>
                    </a:xfrm>
                    <a:prstGeom prst="rect">
                      <a:avLst/>
                    </a:prstGeom>
                    <a:noFill/>
                    <a:ln>
                      <a:noFill/>
                    </a:ln>
                  </pic:spPr>
                </pic:pic>
              </a:graphicData>
            </a:graphic>
          </wp:inline>
        </w:drawing>
      </w:r>
    </w:p>
    <w:p w:rsidR="00C73515" w:rsidRDefault="00C73515" w:rsidP="00C73515">
      <w:pPr>
        <w:jc w:val="center"/>
      </w:pPr>
      <w:r w:rsidRPr="000B4986">
        <w:rPr>
          <w:color w:val="auto"/>
        </w:rPr>
        <w:t xml:space="preserve">Figure </w:t>
      </w:r>
      <w:r w:rsidR="00DE17B1">
        <w:rPr>
          <w:color w:val="auto"/>
        </w:rPr>
        <w:t>B</w:t>
      </w:r>
      <w:r w:rsidR="0069412F">
        <w:rPr>
          <w:color w:val="auto"/>
        </w:rPr>
        <w:t>2</w:t>
      </w:r>
      <w:r w:rsidRPr="000B4986">
        <w:rPr>
          <w:color w:val="auto"/>
        </w:rPr>
        <w:t>.</w:t>
      </w:r>
      <w:r>
        <w:rPr>
          <w:color w:val="auto"/>
        </w:rPr>
        <w:t xml:space="preserve"> Map of water depth (measured with respect to the spatial mean in meters) for the cases close to the centroid of each cluster (</w:t>
      </w:r>
      <w:proofErr w:type="gramStart"/>
      <w:r>
        <w:rPr>
          <w:color w:val="auto"/>
        </w:rPr>
        <w:t>a to</w:t>
      </w:r>
      <w:proofErr w:type="gramEnd"/>
      <w:r>
        <w:rPr>
          <w:color w:val="auto"/>
        </w:rPr>
        <w:t xml:space="preserve"> c) defined in the latent variables’ space (left panels). </w:t>
      </w:r>
      <w:r>
        <w:t xml:space="preserve">Backgrounds of the maps </w:t>
      </w:r>
      <w:proofErr w:type="gramStart"/>
      <w:r>
        <w:t>are extracted</w:t>
      </w:r>
      <w:proofErr w:type="gramEnd"/>
      <w:r>
        <w:t xml:space="preserve"> from Bing map dataset via</w:t>
      </w:r>
      <w:r w:rsidRPr="00DC40BF">
        <w:t xml:space="preserve"> </w:t>
      </w:r>
      <w:proofErr w:type="spellStart"/>
      <w:r w:rsidRPr="00DC40BF">
        <w:t>OpenStreetMap</w:t>
      </w:r>
      <w:proofErr w:type="spellEnd"/>
      <w:r>
        <w:t xml:space="preserve">. </w:t>
      </w:r>
      <w:r w:rsidRPr="000D4B15">
        <w:rPr>
          <w:i/>
        </w:rPr>
        <w:t>NA</w:t>
      </w:r>
      <w:r>
        <w:rPr>
          <w:i/>
        </w:rPr>
        <w:t xml:space="preserve"> </w:t>
      </w:r>
      <w:r>
        <w:t>indicates nil values.</w:t>
      </w:r>
    </w:p>
    <w:p w:rsidR="00406DC0" w:rsidRDefault="00406DC0" w:rsidP="0069412F"/>
    <w:p w:rsidR="0069412F" w:rsidRDefault="0069412F" w:rsidP="0069412F">
      <w:r>
        <w:t xml:space="preserve">The analysis of the performance </w:t>
      </w:r>
      <w:r w:rsidRPr="00BC5E09">
        <w:rPr>
          <w:i/>
        </w:rPr>
        <w:t>Q</w:t>
      </w:r>
      <w:r>
        <w:t xml:space="preserve">² indicator (Fig. B3) shows strong similarities with the one for case 1: </w:t>
      </w:r>
    </w:p>
    <w:p w:rsidR="0069412F" w:rsidRDefault="0069412F" w:rsidP="0069412F">
      <w:pPr>
        <w:pStyle w:val="Paragraphedeliste"/>
        <w:numPr>
          <w:ilvl w:val="0"/>
          <w:numId w:val="2"/>
        </w:numPr>
      </w:pPr>
      <w:r w:rsidRPr="00FF2A5A">
        <w:rPr>
          <w:i/>
        </w:rPr>
        <w:t>z</w:t>
      </w:r>
      <w:r w:rsidRPr="009844C1">
        <w:rPr>
          <w:vertAlign w:val="subscript"/>
        </w:rPr>
        <w:t>2</w:t>
      </w:r>
      <w:r>
        <w:t xml:space="preserve"> and </w:t>
      </w:r>
      <w:r w:rsidRPr="00FF2A5A">
        <w:rPr>
          <w:i/>
        </w:rPr>
        <w:t>z</w:t>
      </w:r>
      <w:r w:rsidRPr="009844C1">
        <w:rPr>
          <w:vertAlign w:val="subscript"/>
        </w:rPr>
        <w:t>3</w:t>
      </w:r>
      <w:r>
        <w:t xml:space="preserve"> are the more difficult to predict;</w:t>
      </w:r>
    </w:p>
    <w:p w:rsidR="0069412F" w:rsidRDefault="0069412F" w:rsidP="0069412F">
      <w:pPr>
        <w:pStyle w:val="Paragraphedeliste"/>
        <w:numPr>
          <w:ilvl w:val="0"/>
          <w:numId w:val="2"/>
        </w:numPr>
      </w:pPr>
      <w:r>
        <w:lastRenderedPageBreak/>
        <w:t xml:space="preserve">Combining any </w:t>
      </w:r>
      <w:proofErr w:type="spellStart"/>
      <w:r>
        <w:t>metamodel</w:t>
      </w:r>
      <w:r w:rsidR="00406DC0">
        <w:t>l</w:t>
      </w:r>
      <w:r>
        <w:t>ing</w:t>
      </w:r>
      <w:proofErr w:type="spellEnd"/>
      <w:r>
        <w:t xml:space="preserve"> approach described in Table 1 with clustering improves the predictive performance;</w:t>
      </w:r>
    </w:p>
    <w:p w:rsidR="0069412F" w:rsidRDefault="0069412F" w:rsidP="0069412F">
      <w:pPr>
        <w:pStyle w:val="Paragraphedeliste"/>
        <w:numPr>
          <w:ilvl w:val="0"/>
          <w:numId w:val="2"/>
        </w:numPr>
      </w:pPr>
      <w:r>
        <w:t xml:space="preserve">Co-kriging </w:t>
      </w:r>
      <w:proofErr w:type="spellStart"/>
      <w:r>
        <w:t>metamode</w:t>
      </w:r>
      <w:r w:rsidR="00406DC0">
        <w:t>l</w:t>
      </w:r>
      <w:r>
        <w:t>ling</w:t>
      </w:r>
      <w:proofErr w:type="spellEnd"/>
      <w:r>
        <w:t xml:space="preserve"> approaches allows a clear predictive improvement for </w:t>
      </w:r>
      <w:r w:rsidRPr="00FF2A5A">
        <w:rPr>
          <w:i/>
        </w:rPr>
        <w:t>z</w:t>
      </w:r>
      <w:r w:rsidRPr="009844C1">
        <w:rPr>
          <w:vertAlign w:val="subscript"/>
        </w:rPr>
        <w:t>2</w:t>
      </w:r>
      <w:r>
        <w:t xml:space="preserve">, but the </w:t>
      </w:r>
      <w:r w:rsidRPr="005616D9">
        <w:rPr>
          <w:i/>
        </w:rPr>
        <w:t>Q</w:t>
      </w:r>
      <w:r>
        <w:t xml:space="preserve">² results remain highly disperse for </w:t>
      </w:r>
      <w:r w:rsidRPr="00FF2A5A">
        <w:rPr>
          <w:i/>
        </w:rPr>
        <w:t>z</w:t>
      </w:r>
      <w:r w:rsidRPr="009844C1">
        <w:rPr>
          <w:vertAlign w:val="subscript"/>
        </w:rPr>
        <w:t>2</w:t>
      </w:r>
      <w:r>
        <w:t xml:space="preserve"> and even more for </w:t>
      </w:r>
      <w:r w:rsidRPr="00FF2A5A">
        <w:rPr>
          <w:i/>
        </w:rPr>
        <w:t>z</w:t>
      </w:r>
      <w:r>
        <w:rPr>
          <w:vertAlign w:val="subscript"/>
        </w:rPr>
        <w:t>3</w:t>
      </w:r>
      <w:r>
        <w:t>;</w:t>
      </w:r>
    </w:p>
    <w:p w:rsidR="0069412F" w:rsidRDefault="0069412F" w:rsidP="0069412F">
      <w:pPr>
        <w:pStyle w:val="Paragraphedeliste"/>
        <w:numPr>
          <w:ilvl w:val="0"/>
          <w:numId w:val="2"/>
        </w:numPr>
      </w:pPr>
      <w:proofErr w:type="spellStart"/>
      <w:r w:rsidRPr="002E4568">
        <w:rPr>
          <w:i/>
        </w:rPr>
        <w:t>Ind</w:t>
      </w:r>
      <w:proofErr w:type="spellEnd"/>
      <w:r w:rsidRPr="002E4568">
        <w:rPr>
          <w:i/>
        </w:rPr>
        <w:t>-C</w:t>
      </w:r>
      <w:r>
        <w:t xml:space="preserve"> and </w:t>
      </w:r>
      <w:proofErr w:type="spellStart"/>
      <w:r w:rsidRPr="002E4568">
        <w:rPr>
          <w:i/>
        </w:rPr>
        <w:t>MoP</w:t>
      </w:r>
      <w:proofErr w:type="spellEnd"/>
      <w:r w:rsidRPr="002E4568">
        <w:rPr>
          <w:i/>
        </w:rPr>
        <w:t xml:space="preserve">-C </w:t>
      </w:r>
      <w:r>
        <w:t xml:space="preserve">appear to be the best performing approaches with a slight higher performance for </w:t>
      </w:r>
      <w:proofErr w:type="spellStart"/>
      <w:r w:rsidRPr="002E4568">
        <w:rPr>
          <w:i/>
        </w:rPr>
        <w:t>Ind</w:t>
      </w:r>
      <w:proofErr w:type="spellEnd"/>
      <w:r w:rsidRPr="002E4568">
        <w:rPr>
          <w:i/>
        </w:rPr>
        <w:t>-C</w:t>
      </w:r>
      <w:r>
        <w:t xml:space="preserve"> in this case.</w:t>
      </w:r>
    </w:p>
    <w:p w:rsidR="0069412F" w:rsidRDefault="0069412F" w:rsidP="00122C11">
      <w:pPr>
        <w:jc w:val="center"/>
      </w:pPr>
      <w:r w:rsidRPr="00ED1CFF">
        <w:rPr>
          <w:noProof/>
          <w:lang w:val="fr-FR" w:eastAsia="fr-FR"/>
        </w:rPr>
        <w:drawing>
          <wp:inline distT="0" distB="0" distL="0" distR="0" wp14:anchorId="6A7F29BB" wp14:editId="2B70DDCD">
            <wp:extent cx="5339861" cy="2593448"/>
            <wp:effectExtent l="0" t="0" r="0" b="0"/>
            <wp:docPr id="19" name="Image 19" descr="D:\Documents\rohmer\OneDrive - BRGM\ORACLES\run\5cv_repeated\FIGURE\SainteSuzanne_BETA_Q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rohmer\OneDrive - BRGM\ORACLES\run\5cv_repeated\FIGURE\SainteSuzanne_BETA_Q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40860" cy="2593933"/>
                    </a:xfrm>
                    <a:prstGeom prst="rect">
                      <a:avLst/>
                    </a:prstGeom>
                    <a:noFill/>
                    <a:ln>
                      <a:noFill/>
                    </a:ln>
                  </pic:spPr>
                </pic:pic>
              </a:graphicData>
            </a:graphic>
          </wp:inline>
        </w:drawing>
      </w:r>
    </w:p>
    <w:p w:rsidR="0069412F" w:rsidRDefault="0069412F" w:rsidP="0069412F">
      <w:pPr>
        <w:rPr>
          <w:color w:val="auto"/>
        </w:rPr>
      </w:pPr>
      <w:r w:rsidRPr="000B4986">
        <w:rPr>
          <w:color w:val="auto"/>
        </w:rPr>
        <w:t xml:space="preserve">Figure </w:t>
      </w:r>
      <w:r>
        <w:rPr>
          <w:color w:val="auto"/>
        </w:rPr>
        <w:t>B3</w:t>
      </w:r>
      <w:r w:rsidRPr="000B4986">
        <w:rPr>
          <w:color w:val="auto"/>
        </w:rPr>
        <w:t>.</w:t>
      </w:r>
      <w:r>
        <w:rPr>
          <w:color w:val="auto"/>
        </w:rPr>
        <w:t xml:space="preserve"> Boxplots of the </w:t>
      </w:r>
      <w:r w:rsidRPr="00130608">
        <w:rPr>
          <w:i/>
          <w:color w:val="auto"/>
        </w:rPr>
        <w:t>Q</w:t>
      </w:r>
      <w:r w:rsidRPr="00130608">
        <w:rPr>
          <w:color w:val="auto"/>
          <w:vertAlign w:val="superscript"/>
        </w:rPr>
        <w:t>2</w:t>
      </w:r>
      <w:r>
        <w:rPr>
          <w:color w:val="auto"/>
        </w:rPr>
        <w:t xml:space="preserve"> performance indicator (computed by repeating 25 times the 10</w:t>
      </w:r>
      <w:r w:rsidR="00406DC0">
        <w:rPr>
          <w:color w:val="auto"/>
        </w:rPr>
        <w:t>-fold cross-</w:t>
      </w:r>
      <w:r>
        <w:rPr>
          <w:color w:val="auto"/>
        </w:rPr>
        <w:t xml:space="preserve">validation procedure) for the prediction of the first three latent outputs, namely </w:t>
      </w:r>
      <w:r w:rsidRPr="009F3A1B">
        <w:rPr>
          <w:i/>
          <w:color w:val="auto"/>
        </w:rPr>
        <w:t>z</w:t>
      </w:r>
      <w:r w:rsidRPr="009F3A1B">
        <w:rPr>
          <w:color w:val="auto"/>
          <w:vertAlign w:val="subscript"/>
        </w:rPr>
        <w:t>1</w:t>
      </w:r>
      <w:r>
        <w:rPr>
          <w:color w:val="auto"/>
        </w:rPr>
        <w:t xml:space="preserve"> (a), </w:t>
      </w:r>
      <w:r w:rsidRPr="009F3A1B">
        <w:rPr>
          <w:i/>
          <w:color w:val="auto"/>
        </w:rPr>
        <w:t>z</w:t>
      </w:r>
      <w:r w:rsidRPr="009F3A1B">
        <w:rPr>
          <w:color w:val="auto"/>
          <w:vertAlign w:val="subscript"/>
        </w:rPr>
        <w:t>2</w:t>
      </w:r>
      <w:r>
        <w:rPr>
          <w:color w:val="auto"/>
        </w:rPr>
        <w:t xml:space="preserve"> (b), and </w:t>
      </w:r>
      <w:r w:rsidRPr="009F3A1B">
        <w:rPr>
          <w:i/>
          <w:color w:val="auto"/>
        </w:rPr>
        <w:t>z</w:t>
      </w:r>
      <w:r w:rsidRPr="009F3A1B">
        <w:rPr>
          <w:color w:val="auto"/>
          <w:vertAlign w:val="subscript"/>
        </w:rPr>
        <w:t>3</w:t>
      </w:r>
      <w:r>
        <w:rPr>
          <w:color w:val="auto"/>
        </w:rPr>
        <w:t xml:space="preserve"> (c), for real case </w:t>
      </w:r>
      <w:r w:rsidR="00122C11">
        <w:rPr>
          <w:color w:val="auto"/>
        </w:rPr>
        <w:t>2</w:t>
      </w:r>
      <w:r>
        <w:rPr>
          <w:color w:val="auto"/>
        </w:rPr>
        <w:t xml:space="preserve"> considering different PCA- kriging </w:t>
      </w:r>
      <w:proofErr w:type="spellStart"/>
      <w:r>
        <w:rPr>
          <w:color w:val="auto"/>
        </w:rPr>
        <w:t>metamodel</w:t>
      </w:r>
      <w:proofErr w:type="spellEnd"/>
      <w:r>
        <w:rPr>
          <w:color w:val="auto"/>
        </w:rPr>
        <w:t xml:space="preserve"> procedures described in Table 1. </w:t>
      </w:r>
      <w:r w:rsidRPr="00044A2F">
        <w:rPr>
          <w:color w:val="auto"/>
        </w:rPr>
        <w:t>The blue, green and red colours indicate the reference solution (</w:t>
      </w:r>
      <w:proofErr w:type="spellStart"/>
      <w:r w:rsidRPr="00044A2F">
        <w:rPr>
          <w:i/>
          <w:color w:val="auto"/>
        </w:rPr>
        <w:t>Ind</w:t>
      </w:r>
      <w:proofErr w:type="spellEnd"/>
      <w:r w:rsidRPr="00044A2F">
        <w:rPr>
          <w:color w:val="auto"/>
        </w:rPr>
        <w:t xml:space="preserve"> approach), the solutions without and with clustering</w:t>
      </w:r>
      <w:r>
        <w:rPr>
          <w:color w:val="auto"/>
        </w:rPr>
        <w:t xml:space="preserve"> (using </w:t>
      </w:r>
      <w:proofErr w:type="gramStart"/>
      <w:r>
        <w:rPr>
          <w:color w:val="auto"/>
        </w:rPr>
        <w:t>3</w:t>
      </w:r>
      <w:proofErr w:type="gramEnd"/>
      <w:r>
        <w:rPr>
          <w:color w:val="auto"/>
        </w:rPr>
        <w:t xml:space="preserve"> clusters)</w:t>
      </w:r>
      <w:r w:rsidRPr="00044A2F">
        <w:rPr>
          <w:color w:val="auto"/>
        </w:rPr>
        <w:t xml:space="preserve"> respectively.</w:t>
      </w:r>
    </w:p>
    <w:p w:rsidR="00406DC0" w:rsidRDefault="00406DC0" w:rsidP="00C73515"/>
    <w:p w:rsidR="00406DC0" w:rsidRDefault="00406DC0">
      <w:pPr>
        <w:spacing w:before="0" w:after="160" w:line="259" w:lineRule="auto"/>
        <w:jc w:val="left"/>
      </w:pPr>
      <w:r>
        <w:br w:type="page"/>
      </w:r>
    </w:p>
    <w:p w:rsidR="0069412F" w:rsidRPr="006638CB" w:rsidRDefault="0069412F" w:rsidP="00C73515">
      <w:r>
        <w:lastRenderedPageBreak/>
        <w:t xml:space="preserve">Finally, the analysis of </w:t>
      </w:r>
      <w:r w:rsidRPr="000D5934">
        <w:rPr>
          <w:i/>
        </w:rPr>
        <w:t xml:space="preserve">MRAE </w:t>
      </w:r>
      <w:r>
        <w:t xml:space="preserve">over space </w:t>
      </w:r>
      <w:r w:rsidR="00406DC0">
        <w:t>(</w:t>
      </w:r>
      <w:r w:rsidR="00122C11">
        <w:t>Fig. B4</w:t>
      </w:r>
      <w:r w:rsidR="00406DC0">
        <w:t>)</w:t>
      </w:r>
      <w:r w:rsidR="00122C11">
        <w:t xml:space="preserve"> </w:t>
      </w:r>
      <w:r>
        <w:t xml:space="preserve">confirms the higher performance of </w:t>
      </w:r>
      <w:proofErr w:type="spellStart"/>
      <w:r w:rsidRPr="0069412F">
        <w:rPr>
          <w:i/>
        </w:rPr>
        <w:t>MoP</w:t>
      </w:r>
      <w:proofErr w:type="spellEnd"/>
      <w:r w:rsidRPr="0069412F">
        <w:rPr>
          <w:i/>
        </w:rPr>
        <w:t>-C</w:t>
      </w:r>
      <w:r>
        <w:t xml:space="preserve"> and </w:t>
      </w:r>
      <w:proofErr w:type="spellStart"/>
      <w:r w:rsidRPr="0069412F">
        <w:rPr>
          <w:i/>
        </w:rPr>
        <w:t>Ind</w:t>
      </w:r>
      <w:proofErr w:type="spellEnd"/>
      <w:r w:rsidRPr="0069412F">
        <w:rPr>
          <w:i/>
        </w:rPr>
        <w:t>-C</w:t>
      </w:r>
      <w:r w:rsidR="00122C11">
        <w:t>.</w:t>
      </w:r>
    </w:p>
    <w:p w:rsidR="00C73515" w:rsidRDefault="00C73515" w:rsidP="00C73515">
      <w:r w:rsidRPr="0069514A">
        <w:rPr>
          <w:noProof/>
          <w:lang w:val="fr-FR" w:eastAsia="fr-FR"/>
        </w:rPr>
        <w:drawing>
          <wp:inline distT="0" distB="0" distL="0" distR="0" wp14:anchorId="54E7F59F" wp14:editId="61C6C693">
            <wp:extent cx="6042702" cy="2032000"/>
            <wp:effectExtent l="0" t="0" r="0" b="6350"/>
            <wp:docPr id="22" name="Image 22" descr="D:\Documents\rohmer\OneDrive - BRGM\Articles\oracles\SainteSuzanne\perf1_maps_MRAE_3clust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ocuments\rohmer\OneDrive - BRGM\Articles\oracles\SainteSuzanne\perf1_maps_MRAE_3clusters.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45390" cy="2032904"/>
                    </a:xfrm>
                    <a:prstGeom prst="rect">
                      <a:avLst/>
                    </a:prstGeom>
                    <a:noFill/>
                    <a:ln>
                      <a:noFill/>
                    </a:ln>
                  </pic:spPr>
                </pic:pic>
              </a:graphicData>
            </a:graphic>
          </wp:inline>
        </w:drawing>
      </w:r>
    </w:p>
    <w:p w:rsidR="00FE59A9" w:rsidRDefault="00C73515">
      <w:r>
        <w:t>Figure B</w:t>
      </w:r>
      <w:r w:rsidR="0069412F">
        <w:t>4</w:t>
      </w:r>
      <w:r>
        <w:t xml:space="preserve">. </w:t>
      </w:r>
      <w:r>
        <w:rPr>
          <w:color w:val="auto"/>
        </w:rPr>
        <w:t xml:space="preserve">Map of </w:t>
      </w:r>
      <w:r w:rsidRPr="006B4F9D">
        <w:rPr>
          <w:i/>
          <w:color w:val="auto"/>
        </w:rPr>
        <w:t>MRAE</w:t>
      </w:r>
      <w:r>
        <w:rPr>
          <w:color w:val="auto"/>
        </w:rPr>
        <w:t xml:space="preserve"> (average value across 25 repetitions of the cross-validation procedure) for </w:t>
      </w:r>
      <w:proofErr w:type="gramStart"/>
      <w:r>
        <w:rPr>
          <w:color w:val="auto"/>
        </w:rPr>
        <w:t>6</w:t>
      </w:r>
      <w:proofErr w:type="gramEnd"/>
      <w:r>
        <w:rPr>
          <w:color w:val="auto"/>
        </w:rPr>
        <w:t xml:space="preserve"> </w:t>
      </w:r>
      <w:proofErr w:type="spellStart"/>
      <w:r w:rsidR="00406DC0">
        <w:rPr>
          <w:color w:val="auto"/>
        </w:rPr>
        <w:t>metamodelling</w:t>
      </w:r>
      <w:proofErr w:type="spellEnd"/>
      <w:r>
        <w:rPr>
          <w:color w:val="auto"/>
        </w:rPr>
        <w:t xml:space="preserve"> approaches</w:t>
      </w:r>
      <w:r w:rsidR="007749BC">
        <w:rPr>
          <w:color w:val="auto"/>
        </w:rPr>
        <w:t xml:space="preserve"> (described in T</w:t>
      </w:r>
      <w:bookmarkStart w:id="1" w:name="_GoBack"/>
      <w:bookmarkEnd w:id="1"/>
      <w:r w:rsidR="007749BC">
        <w:rPr>
          <w:color w:val="auto"/>
        </w:rPr>
        <w:t>able 1)</w:t>
      </w:r>
      <w:r>
        <w:rPr>
          <w:color w:val="auto"/>
        </w:rPr>
        <w:t xml:space="preserve"> applied to real case 2. </w:t>
      </w:r>
      <w:r>
        <w:t xml:space="preserve">Backgrounds of the maps </w:t>
      </w:r>
      <w:proofErr w:type="gramStart"/>
      <w:r>
        <w:t>are extracted</w:t>
      </w:r>
      <w:proofErr w:type="gramEnd"/>
      <w:r>
        <w:t xml:space="preserve"> from Bing map dataset via</w:t>
      </w:r>
      <w:r w:rsidRPr="00DC40BF">
        <w:t xml:space="preserve"> </w:t>
      </w:r>
      <w:proofErr w:type="spellStart"/>
      <w:r w:rsidRPr="00DC40BF">
        <w:t>OpenStreetMap</w:t>
      </w:r>
      <w:proofErr w:type="spellEnd"/>
      <w:r>
        <w:t>.</w:t>
      </w:r>
    </w:p>
    <w:sectPr w:rsidR="00FE59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F57"/>
    <w:multiLevelType w:val="hybridMultilevel"/>
    <w:tmpl w:val="E918ECCC"/>
    <w:lvl w:ilvl="0" w:tplc="A440DC7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6FA7DB9"/>
    <w:multiLevelType w:val="hybridMultilevel"/>
    <w:tmpl w:val="C958F3DE"/>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C4F4856"/>
    <w:multiLevelType w:val="multilevel"/>
    <w:tmpl w:val="7A6E71DC"/>
    <w:lvl w:ilvl="0">
      <w:start w:val="1"/>
      <w:numFmt w:val="decimal"/>
      <w:pStyle w:val="Titre1"/>
      <w:lvlText w:val="%1"/>
      <w:lvlJc w:val="left"/>
      <w:pPr>
        <w:tabs>
          <w:tab w:val="num" w:pos="432"/>
        </w:tabs>
        <w:ind w:left="432" w:hanging="432"/>
      </w:pPr>
      <w:rPr>
        <w:rFonts w:hint="default"/>
        <w:lang w:val="en-US"/>
      </w:rPr>
    </w:lvl>
    <w:lvl w:ilvl="1">
      <w:start w:val="1"/>
      <w:numFmt w:val="decimal"/>
      <w:pStyle w:val="Titre2"/>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3.%4"/>
      <w:lvlJc w:val="left"/>
      <w:pPr>
        <w:tabs>
          <w:tab w:val="num" w:pos="864"/>
        </w:tabs>
        <w:ind w:left="864" w:hanging="864"/>
      </w:pPr>
      <w:rPr>
        <w:rFonts w:hint="default"/>
      </w:rPr>
    </w:lvl>
    <w:lvl w:ilvl="4">
      <w:start w:val="1"/>
      <w:numFmt w:val="decimal"/>
      <w:pStyle w:val="Titre5"/>
      <w:lvlText w:val="%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3" w15:restartNumberingAfterBreak="0">
    <w:nsid w:val="744E1EB8"/>
    <w:multiLevelType w:val="hybridMultilevel"/>
    <w:tmpl w:val="D1B2362E"/>
    <w:lvl w:ilvl="0" w:tplc="F9609DEC">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515"/>
    <w:rsid w:val="000D5934"/>
    <w:rsid w:val="00122C11"/>
    <w:rsid w:val="00406DC0"/>
    <w:rsid w:val="00602188"/>
    <w:rsid w:val="0069412F"/>
    <w:rsid w:val="007749BC"/>
    <w:rsid w:val="00A01445"/>
    <w:rsid w:val="00C16475"/>
    <w:rsid w:val="00C73515"/>
    <w:rsid w:val="00DE17B1"/>
    <w:rsid w:val="00FE59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9315B"/>
  <w15:chartTrackingRefBased/>
  <w15:docId w15:val="{6A362ADD-38C1-4D53-99AB-900D5D203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515"/>
    <w:pPr>
      <w:spacing w:before="120" w:after="0" w:line="360" w:lineRule="auto"/>
      <w:jc w:val="both"/>
    </w:pPr>
    <w:rPr>
      <w:rFonts w:ascii="Times New Roman" w:eastAsia="Times New Roman" w:hAnsi="Times New Roman" w:cs="Times New Roman"/>
      <w:color w:val="000000"/>
      <w:sz w:val="24"/>
      <w:szCs w:val="20"/>
      <w:lang w:val="en-GB" w:eastAsia="de-DE"/>
    </w:rPr>
  </w:style>
  <w:style w:type="paragraph" w:styleId="Titre1">
    <w:name w:val="heading 1"/>
    <w:basedOn w:val="Normal"/>
    <w:next w:val="Normal"/>
    <w:link w:val="Titre1Car"/>
    <w:qFormat/>
    <w:rsid w:val="00C73515"/>
    <w:pPr>
      <w:keepNext/>
      <w:numPr>
        <w:numId w:val="1"/>
      </w:numPr>
      <w:outlineLvl w:val="0"/>
    </w:pPr>
    <w:rPr>
      <w:rFonts w:ascii="Arial" w:hAnsi="Arial"/>
      <w:b/>
      <w:bCs/>
      <w:kern w:val="32"/>
      <w:szCs w:val="32"/>
    </w:rPr>
  </w:style>
  <w:style w:type="paragraph" w:styleId="Titre2">
    <w:name w:val="heading 2"/>
    <w:basedOn w:val="Normal"/>
    <w:next w:val="Normal"/>
    <w:link w:val="Titre2Car"/>
    <w:qFormat/>
    <w:rsid w:val="00C73515"/>
    <w:pPr>
      <w:keepNext/>
      <w:numPr>
        <w:ilvl w:val="1"/>
        <w:numId w:val="1"/>
      </w:numPr>
      <w:spacing w:before="360" w:after="120"/>
      <w:ind w:left="578" w:hanging="578"/>
      <w:outlineLvl w:val="1"/>
    </w:pPr>
    <w:rPr>
      <w:rFonts w:ascii="Arial" w:hAnsi="Arial" w:cs="Arial"/>
      <w:b/>
      <w:bCs/>
      <w:iCs/>
      <w:szCs w:val="28"/>
    </w:rPr>
  </w:style>
  <w:style w:type="paragraph" w:styleId="Titre3">
    <w:name w:val="heading 3"/>
    <w:basedOn w:val="Normal"/>
    <w:next w:val="Normal"/>
    <w:link w:val="Titre3Car"/>
    <w:qFormat/>
    <w:rsid w:val="00C73515"/>
    <w:pPr>
      <w:keepNext/>
      <w:numPr>
        <w:ilvl w:val="2"/>
        <w:numId w:val="1"/>
      </w:numPr>
      <w:spacing w:before="240" w:after="120"/>
      <w:outlineLvl w:val="2"/>
    </w:pPr>
    <w:rPr>
      <w:rFonts w:ascii="Arial" w:hAnsi="Arial"/>
      <w:bCs/>
      <w:sz w:val="26"/>
      <w:szCs w:val="26"/>
    </w:rPr>
  </w:style>
  <w:style w:type="paragraph" w:styleId="Titre4">
    <w:name w:val="heading 4"/>
    <w:basedOn w:val="Normal"/>
    <w:next w:val="Normal"/>
    <w:link w:val="Titre4Car"/>
    <w:qFormat/>
    <w:rsid w:val="00C73515"/>
    <w:pPr>
      <w:keepNext/>
      <w:numPr>
        <w:ilvl w:val="3"/>
        <w:numId w:val="1"/>
      </w:numPr>
      <w:spacing w:before="240" w:after="60"/>
      <w:outlineLvl w:val="3"/>
    </w:pPr>
    <w:rPr>
      <w:b/>
      <w:bCs/>
      <w:sz w:val="28"/>
      <w:szCs w:val="28"/>
    </w:rPr>
  </w:style>
  <w:style w:type="paragraph" w:styleId="Titre5">
    <w:name w:val="heading 5"/>
    <w:basedOn w:val="Normal"/>
    <w:next w:val="Normal"/>
    <w:link w:val="Titre5Car"/>
    <w:qFormat/>
    <w:rsid w:val="00C73515"/>
    <w:pPr>
      <w:numPr>
        <w:ilvl w:val="4"/>
        <w:numId w:val="1"/>
      </w:numPr>
      <w:spacing w:before="240" w:after="60"/>
      <w:outlineLvl w:val="4"/>
    </w:pPr>
    <w:rPr>
      <w:b/>
      <w:bCs/>
      <w:i/>
      <w:iCs/>
      <w:sz w:val="26"/>
      <w:szCs w:val="26"/>
    </w:rPr>
  </w:style>
  <w:style w:type="paragraph" w:styleId="Titre6">
    <w:name w:val="heading 6"/>
    <w:basedOn w:val="Normal"/>
    <w:next w:val="Normal"/>
    <w:link w:val="Titre6Car"/>
    <w:qFormat/>
    <w:rsid w:val="00C73515"/>
    <w:pPr>
      <w:numPr>
        <w:ilvl w:val="5"/>
        <w:numId w:val="1"/>
      </w:numPr>
      <w:spacing w:before="240" w:after="60"/>
      <w:outlineLvl w:val="5"/>
    </w:pPr>
    <w:rPr>
      <w:b/>
      <w:bCs/>
      <w:sz w:val="22"/>
      <w:szCs w:val="22"/>
    </w:rPr>
  </w:style>
  <w:style w:type="paragraph" w:styleId="Titre7">
    <w:name w:val="heading 7"/>
    <w:basedOn w:val="Normal"/>
    <w:next w:val="Normal"/>
    <w:link w:val="Titre7Car"/>
    <w:qFormat/>
    <w:rsid w:val="00C73515"/>
    <w:pPr>
      <w:numPr>
        <w:ilvl w:val="6"/>
        <w:numId w:val="1"/>
      </w:numPr>
      <w:spacing w:before="240" w:after="60"/>
      <w:outlineLvl w:val="6"/>
    </w:pPr>
    <w:rPr>
      <w:szCs w:val="24"/>
    </w:rPr>
  </w:style>
  <w:style w:type="paragraph" w:styleId="Titre8">
    <w:name w:val="heading 8"/>
    <w:basedOn w:val="Normal"/>
    <w:next w:val="Normal"/>
    <w:link w:val="Titre8Car"/>
    <w:qFormat/>
    <w:rsid w:val="00C73515"/>
    <w:pPr>
      <w:numPr>
        <w:ilvl w:val="7"/>
        <w:numId w:val="1"/>
      </w:numPr>
      <w:spacing w:before="240" w:after="60"/>
      <w:outlineLvl w:val="7"/>
    </w:pPr>
    <w:rPr>
      <w:i/>
      <w:iCs/>
      <w:szCs w:val="24"/>
    </w:rPr>
  </w:style>
  <w:style w:type="paragraph" w:styleId="Titre9">
    <w:name w:val="heading 9"/>
    <w:basedOn w:val="Normal"/>
    <w:next w:val="Normal"/>
    <w:link w:val="Titre9Car"/>
    <w:qFormat/>
    <w:rsid w:val="00C73515"/>
    <w:pPr>
      <w:numPr>
        <w:ilvl w:val="8"/>
        <w:numId w:val="1"/>
      </w:num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73515"/>
    <w:rPr>
      <w:rFonts w:ascii="Arial" w:eastAsia="Times New Roman" w:hAnsi="Arial" w:cs="Times New Roman"/>
      <w:b/>
      <w:bCs/>
      <w:color w:val="000000"/>
      <w:kern w:val="32"/>
      <w:sz w:val="24"/>
      <w:szCs w:val="32"/>
      <w:lang w:val="en-GB" w:eastAsia="de-DE"/>
    </w:rPr>
  </w:style>
  <w:style w:type="character" w:customStyle="1" w:styleId="Titre2Car">
    <w:name w:val="Titre 2 Car"/>
    <w:basedOn w:val="Policepardfaut"/>
    <w:link w:val="Titre2"/>
    <w:rsid w:val="00C73515"/>
    <w:rPr>
      <w:rFonts w:ascii="Arial" w:eastAsia="Times New Roman" w:hAnsi="Arial" w:cs="Arial"/>
      <w:b/>
      <w:bCs/>
      <w:iCs/>
      <w:color w:val="000000"/>
      <w:sz w:val="24"/>
      <w:szCs w:val="28"/>
      <w:lang w:val="en-GB" w:eastAsia="de-DE"/>
    </w:rPr>
  </w:style>
  <w:style w:type="character" w:customStyle="1" w:styleId="Titre3Car">
    <w:name w:val="Titre 3 Car"/>
    <w:basedOn w:val="Policepardfaut"/>
    <w:link w:val="Titre3"/>
    <w:rsid w:val="00C73515"/>
    <w:rPr>
      <w:rFonts w:ascii="Arial" w:eastAsia="Times New Roman" w:hAnsi="Arial" w:cs="Times New Roman"/>
      <w:bCs/>
      <w:color w:val="000000"/>
      <w:sz w:val="26"/>
      <w:szCs w:val="26"/>
      <w:lang w:val="en-GB" w:eastAsia="de-DE"/>
    </w:rPr>
  </w:style>
  <w:style w:type="character" w:customStyle="1" w:styleId="Titre4Car">
    <w:name w:val="Titre 4 Car"/>
    <w:basedOn w:val="Policepardfaut"/>
    <w:link w:val="Titre4"/>
    <w:rsid w:val="00C73515"/>
    <w:rPr>
      <w:rFonts w:ascii="Times New Roman" w:eastAsia="Times New Roman" w:hAnsi="Times New Roman" w:cs="Times New Roman"/>
      <w:b/>
      <w:bCs/>
      <w:color w:val="000000"/>
      <w:sz w:val="28"/>
      <w:szCs w:val="28"/>
      <w:lang w:val="en-GB" w:eastAsia="de-DE"/>
    </w:rPr>
  </w:style>
  <w:style w:type="character" w:customStyle="1" w:styleId="Titre5Car">
    <w:name w:val="Titre 5 Car"/>
    <w:basedOn w:val="Policepardfaut"/>
    <w:link w:val="Titre5"/>
    <w:rsid w:val="00C73515"/>
    <w:rPr>
      <w:rFonts w:ascii="Times New Roman" w:eastAsia="Times New Roman" w:hAnsi="Times New Roman" w:cs="Times New Roman"/>
      <w:b/>
      <w:bCs/>
      <w:i/>
      <w:iCs/>
      <w:color w:val="000000"/>
      <w:sz w:val="26"/>
      <w:szCs w:val="26"/>
      <w:lang w:val="en-GB" w:eastAsia="de-DE"/>
    </w:rPr>
  </w:style>
  <w:style w:type="character" w:customStyle="1" w:styleId="Titre6Car">
    <w:name w:val="Titre 6 Car"/>
    <w:basedOn w:val="Policepardfaut"/>
    <w:link w:val="Titre6"/>
    <w:rsid w:val="00C73515"/>
    <w:rPr>
      <w:rFonts w:ascii="Times New Roman" w:eastAsia="Times New Roman" w:hAnsi="Times New Roman" w:cs="Times New Roman"/>
      <w:b/>
      <w:bCs/>
      <w:color w:val="000000"/>
      <w:lang w:val="en-GB" w:eastAsia="de-DE"/>
    </w:rPr>
  </w:style>
  <w:style w:type="character" w:customStyle="1" w:styleId="Titre7Car">
    <w:name w:val="Titre 7 Car"/>
    <w:basedOn w:val="Policepardfaut"/>
    <w:link w:val="Titre7"/>
    <w:rsid w:val="00C73515"/>
    <w:rPr>
      <w:rFonts w:ascii="Times New Roman" w:eastAsia="Times New Roman" w:hAnsi="Times New Roman" w:cs="Times New Roman"/>
      <w:color w:val="000000"/>
      <w:sz w:val="24"/>
      <w:szCs w:val="24"/>
      <w:lang w:val="en-GB" w:eastAsia="de-DE"/>
    </w:rPr>
  </w:style>
  <w:style w:type="character" w:customStyle="1" w:styleId="Titre8Car">
    <w:name w:val="Titre 8 Car"/>
    <w:basedOn w:val="Policepardfaut"/>
    <w:link w:val="Titre8"/>
    <w:rsid w:val="00C73515"/>
    <w:rPr>
      <w:rFonts w:ascii="Times New Roman" w:eastAsia="Times New Roman" w:hAnsi="Times New Roman" w:cs="Times New Roman"/>
      <w:i/>
      <w:iCs/>
      <w:color w:val="000000"/>
      <w:sz w:val="24"/>
      <w:szCs w:val="24"/>
      <w:lang w:val="en-GB" w:eastAsia="de-DE"/>
    </w:rPr>
  </w:style>
  <w:style w:type="character" w:customStyle="1" w:styleId="Titre9Car">
    <w:name w:val="Titre 9 Car"/>
    <w:basedOn w:val="Policepardfaut"/>
    <w:link w:val="Titre9"/>
    <w:rsid w:val="00C73515"/>
    <w:rPr>
      <w:rFonts w:ascii="Arial" w:eastAsia="Times New Roman" w:hAnsi="Arial" w:cs="Arial"/>
      <w:color w:val="000000"/>
      <w:lang w:val="en-GB" w:eastAsia="de-DE"/>
    </w:rPr>
  </w:style>
  <w:style w:type="paragraph" w:styleId="Paragraphedeliste">
    <w:name w:val="List Paragraph"/>
    <w:basedOn w:val="Normal"/>
    <w:uiPriority w:val="34"/>
    <w:qFormat/>
    <w:rsid w:val="00C73515"/>
    <w:pPr>
      <w:ind w:left="720"/>
      <w:contextualSpacing/>
    </w:pPr>
  </w:style>
  <w:style w:type="paragraph" w:customStyle="1" w:styleId="Affiliation">
    <w:name w:val="Affiliation"/>
    <w:basedOn w:val="Normal"/>
    <w:link w:val="AffiliationChar"/>
    <w:qFormat/>
    <w:rsid w:val="00A01445"/>
    <w:pPr>
      <w:spacing w:line="240" w:lineRule="auto"/>
      <w:contextualSpacing/>
    </w:pPr>
    <w:rPr>
      <w:color w:val="auto"/>
      <w:sz w:val="20"/>
      <w:szCs w:val="24"/>
    </w:rPr>
  </w:style>
  <w:style w:type="character" w:customStyle="1" w:styleId="AffiliationChar">
    <w:name w:val="Affiliation Char"/>
    <w:basedOn w:val="Policepardfaut"/>
    <w:link w:val="Affiliation"/>
    <w:rsid w:val="00A01445"/>
    <w:rPr>
      <w:rFonts w:ascii="Times New Roman" w:eastAsia="Times New Roman" w:hAnsi="Times New Roman" w:cs="Times New Roman"/>
      <w:sz w:val="20"/>
      <w:szCs w:val="24"/>
      <w:lang w:val="en-GB" w:eastAsia="de-DE"/>
    </w:rPr>
  </w:style>
  <w:style w:type="paragraph" w:customStyle="1" w:styleId="Correspondence">
    <w:name w:val="Correspondence"/>
    <w:basedOn w:val="Normal"/>
    <w:link w:val="CorrespondenceChar"/>
    <w:qFormat/>
    <w:rsid w:val="00A01445"/>
    <w:pPr>
      <w:spacing w:after="360" w:line="240" w:lineRule="auto"/>
    </w:pPr>
    <w:rPr>
      <w:color w:val="auto"/>
      <w:sz w:val="20"/>
      <w:szCs w:val="24"/>
    </w:rPr>
  </w:style>
  <w:style w:type="character" w:customStyle="1" w:styleId="CorrespondenceChar">
    <w:name w:val="Correspondence Char"/>
    <w:basedOn w:val="Policepardfaut"/>
    <w:link w:val="Correspondence"/>
    <w:rsid w:val="00A01445"/>
    <w:rPr>
      <w:rFonts w:ascii="Times New Roman" w:eastAsia="Times New Roman" w:hAnsi="Times New Roman" w:cs="Times New Roman"/>
      <w:sz w:val="20"/>
      <w:szCs w:val="24"/>
      <w:lang w:val="en-GB" w:eastAsia="de-DE"/>
    </w:rPr>
  </w:style>
  <w:style w:type="paragraph" w:customStyle="1" w:styleId="Authors">
    <w:name w:val="Authors"/>
    <w:basedOn w:val="Normal"/>
    <w:link w:val="AuthorsChar"/>
    <w:qFormat/>
    <w:rsid w:val="00A01445"/>
    <w:pPr>
      <w:spacing w:before="180" w:line="240" w:lineRule="auto"/>
      <w:contextualSpacing/>
    </w:pPr>
    <w:rPr>
      <w:color w:val="auto"/>
      <w:szCs w:val="24"/>
    </w:rPr>
  </w:style>
  <w:style w:type="character" w:customStyle="1" w:styleId="AuthorsChar">
    <w:name w:val="Authors Char"/>
    <w:basedOn w:val="Policepardfaut"/>
    <w:link w:val="Authors"/>
    <w:rsid w:val="00A01445"/>
    <w:rPr>
      <w:rFonts w:ascii="Times New Roman" w:eastAsia="Times New Roman" w:hAnsi="Times New Roman" w:cs="Times New Roman"/>
      <w:sz w:val="24"/>
      <w:szCs w:val="24"/>
      <w:lang w:val="en-GB" w:eastAsia="de-DE"/>
    </w:rPr>
  </w:style>
  <w:style w:type="character" w:styleId="Lienhypertexte">
    <w:name w:val="Hyperlink"/>
    <w:basedOn w:val="Policepardfaut"/>
    <w:uiPriority w:val="99"/>
    <w:unhideWhenUsed/>
    <w:rsid w:val="00A014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j.rohmer@brgm.fr"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8</Pages>
  <Words>793</Words>
  <Characters>4365</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BRGM</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Rohmer Jeremy</dc:creator>
  <cp:keywords/>
  <dc:description/>
  <cp:lastModifiedBy>Rohmer Jeremy</cp:lastModifiedBy>
  <cp:revision>9</cp:revision>
  <dcterms:created xsi:type="dcterms:W3CDTF">2022-12-16T11:14:00Z</dcterms:created>
  <dcterms:modified xsi:type="dcterms:W3CDTF">2023-01-06T15:55:00Z</dcterms:modified>
</cp:coreProperties>
</file>