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cs="Times New Roman"/>
          <w:b/>
          <w:bCs/>
          <w:sz w:val="24"/>
          <w:szCs w:val="24"/>
        </w:rPr>
      </w:pPr>
      <w:r>
        <w:rPr>
          <w:rFonts w:ascii="Times New Roman" w:hAnsi="Times New Roman" w:cs="Times New Roman"/>
          <w:b/>
          <w:bCs/>
          <w:sz w:val="24"/>
          <w:szCs w:val="24"/>
        </w:rPr>
        <w:t>Supplemental Materials</w:t>
      </w:r>
    </w:p>
    <w:p>
      <w:pPr>
        <w:spacing w:line="240" w:lineRule="auto"/>
        <w:rPr>
          <w:rFonts w:ascii="Times New Roman" w:hAnsi="Times New Roman" w:cs="Times New Roman"/>
          <w:b/>
          <w:bCs/>
          <w:sz w:val="20"/>
          <w:szCs w:val="20"/>
        </w:rPr>
      </w:pPr>
      <w:r>
        <w:rPr>
          <w:rFonts w:ascii="Times New Roman" w:hAnsi="Times New Roman" w:cs="Times New Roman"/>
          <w:b/>
          <w:bCs/>
          <w:sz w:val="20"/>
          <w:szCs w:val="20"/>
        </w:rPr>
        <w:t>Appendix E1 Methods</w:t>
      </w:r>
    </w:p>
    <w:p>
      <w:pPr>
        <w:pStyle w:val="32"/>
        <w:numPr>
          <w:ilvl w:val="1"/>
          <w:numId w:val="1"/>
        </w:numPr>
        <w:spacing w:line="240" w:lineRule="auto"/>
        <w:ind w:firstLineChars="0"/>
        <w:rPr>
          <w:rFonts w:ascii="Times New Roman" w:hAnsi="Times New Roman" w:eastAsia="微软雅黑" w:cs="Times New Roman"/>
          <w:b/>
          <w:sz w:val="20"/>
          <w:szCs w:val="20"/>
        </w:rPr>
      </w:pPr>
      <w:r>
        <w:rPr>
          <w:rFonts w:ascii="Times New Roman" w:hAnsi="Times New Roman" w:eastAsia="微软雅黑" w:cs="Times New Roman"/>
          <w:b/>
          <w:sz w:val="20"/>
          <w:szCs w:val="20"/>
        </w:rPr>
        <w:t xml:space="preserve">Routine clinical data and the detailed definitions of well-established clinical fibrotic scores </w:t>
      </w:r>
    </w:p>
    <w:p>
      <w:pPr>
        <w:pStyle w:val="8"/>
        <w:spacing w:beforeAutospacing="0" w:afterAutospacing="0" w:line="240" w:lineRule="auto"/>
        <w:jc w:val="both"/>
        <w:rPr>
          <w:rFonts w:ascii="Times New Roman" w:hAnsi="Times New Roman" w:cs="Times New Roman"/>
          <w:color w:val="000000" w:themeColor="text1"/>
          <w:kern w:val="2"/>
          <w:sz w:val="20"/>
          <w:szCs w:val="20"/>
          <w14:textFill>
            <w14:solidFill>
              <w14:schemeClr w14:val="tx1"/>
            </w14:solidFill>
          </w14:textFill>
        </w:rPr>
      </w:pPr>
      <w:r>
        <w:rPr>
          <w:rFonts w:ascii="Times New Roman" w:hAnsi="Times New Roman" w:cs="Times New Roman"/>
          <w:color w:val="000000" w:themeColor="text1"/>
          <w:kern w:val="2"/>
          <w:sz w:val="20"/>
          <w:szCs w:val="20"/>
          <w14:textFill>
            <w14:solidFill>
              <w14:schemeClr w14:val="tx1"/>
            </w14:solidFill>
          </w14:textFill>
        </w:rPr>
        <w:t xml:space="preserve">The following demographic, and routine clinical data were collected: age, sex, etiology, BMI, liver function, platelet count (PLT), white blood cell (WBC), red blood cell (RBC), and hemoglobin (Hb). Liver function tests included albumin (ALB), alkaline phosphatase (ALP), alanine aminotransferase (ALT), aspartate aminotransferase (AST), direct bilirubin (DBIL), γ-glutamyl transferase (GGT), globulin (GLB), total biliary acid (TBA), total bilirubin (TBIL). </w:t>
      </w:r>
    </w:p>
    <w:p>
      <w:pPr>
        <w:spacing w:line="24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FIB-4 was calculated as (age [years] × AST [international units/liter]) / (PLT [×10</w:t>
      </w:r>
      <w:r>
        <w:rPr>
          <w:rFonts w:ascii="Times New Roman" w:hAnsi="Times New Roman" w:cs="Times New Roman"/>
          <w:color w:val="000000" w:themeColor="text1"/>
          <w:sz w:val="20"/>
          <w:szCs w:val="20"/>
          <w:vertAlign w:val="superscript"/>
          <w14:textFill>
            <w14:solidFill>
              <w14:schemeClr w14:val="tx1"/>
            </w14:solidFill>
          </w14:textFill>
        </w:rPr>
        <w:t>9</w:t>
      </w:r>
      <w:r>
        <w:rPr>
          <w:rFonts w:ascii="Times New Roman" w:hAnsi="Times New Roman" w:cs="Times New Roman"/>
          <w:color w:val="000000" w:themeColor="text1"/>
          <w:sz w:val="20"/>
          <w:szCs w:val="20"/>
          <w14:textFill>
            <w14:solidFill>
              <w14:schemeClr w14:val="tx1"/>
            </w14:solidFill>
          </w14:textFill>
        </w:rPr>
        <w:t>/liter] × ALT [international units/liter]</w:t>
      </w:r>
      <w:r>
        <w:rPr>
          <w:rFonts w:ascii="Times New Roman" w:hAnsi="Times New Roman" w:cs="Times New Roman"/>
          <w:color w:val="000000" w:themeColor="text1"/>
          <w:sz w:val="20"/>
          <w:szCs w:val="20"/>
          <w:vertAlign w:val="superscript"/>
          <w14:textFill>
            <w14:solidFill>
              <w14:schemeClr w14:val="tx1"/>
            </w14:solidFill>
          </w14:textFill>
        </w:rPr>
        <w:t>1/2</w:t>
      </w:r>
      <w:r>
        <w:rPr>
          <w:rFonts w:ascii="Times New Roman" w:hAnsi="Times New Roman" w:cs="Times New Roman"/>
          <w:color w:val="000000" w:themeColor="text1"/>
          <w:sz w:val="20"/>
          <w:szCs w:val="20"/>
          <w14:textFill>
            <w14:solidFill>
              <w14:schemeClr w14:val="tx1"/>
            </w14:solidFill>
          </w14:textFill>
        </w:rPr>
        <w:t xml:space="preserve">). </w:t>
      </w:r>
    </w:p>
    <w:p>
      <w:pPr>
        <w:spacing w:line="24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APRI was calculated as (AST [international units/liter]/upper normal limit × 100/PLT [×10</w:t>
      </w:r>
      <w:r>
        <w:rPr>
          <w:rFonts w:ascii="Times New Roman" w:hAnsi="Times New Roman" w:cs="Times New Roman"/>
          <w:color w:val="000000" w:themeColor="text1"/>
          <w:sz w:val="20"/>
          <w:szCs w:val="20"/>
          <w:vertAlign w:val="superscript"/>
          <w14:textFill>
            <w14:solidFill>
              <w14:schemeClr w14:val="tx1"/>
            </w14:solidFill>
          </w14:textFill>
        </w:rPr>
        <w:t>9</w:t>
      </w:r>
      <w:r>
        <w:rPr>
          <w:rFonts w:ascii="Times New Roman" w:hAnsi="Times New Roman" w:cs="Times New Roman"/>
          <w:color w:val="000000" w:themeColor="text1"/>
          <w:sz w:val="20"/>
          <w:szCs w:val="20"/>
          <w14:textFill>
            <w14:solidFill>
              <w14:schemeClr w14:val="tx1"/>
            </w14:solidFill>
          </w14:textFill>
        </w:rPr>
        <w:t>/liter]).</w:t>
      </w:r>
    </w:p>
    <w:p>
      <w:pPr>
        <w:spacing w:line="240" w:lineRule="auto"/>
        <w:rPr>
          <w:rFonts w:ascii="Times New Roman" w:hAnsi="Times New Roman" w:cs="Times New Roman"/>
          <w:color w:val="000000" w:themeColor="text1"/>
          <w:sz w:val="20"/>
          <w:szCs w:val="20"/>
          <w14:textFill>
            <w14:solidFill>
              <w14:schemeClr w14:val="tx1"/>
            </w14:solidFill>
          </w14:textFill>
        </w:rPr>
      </w:pPr>
    </w:p>
    <w:p>
      <w:pPr>
        <w:pStyle w:val="32"/>
        <w:numPr>
          <w:ilvl w:val="1"/>
          <w:numId w:val="1"/>
        </w:numPr>
        <w:spacing w:line="240" w:lineRule="auto"/>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eastAsia="微软雅黑" w:cs="Times New Roman"/>
          <w:b/>
          <w:sz w:val="20"/>
          <w:szCs w:val="20"/>
        </w:rPr>
        <w:t>The detailed</w:t>
      </w:r>
      <w:bookmarkStart w:id="0" w:name="_Hlk100353327"/>
      <w:r>
        <w:rPr>
          <w:rFonts w:ascii="Times New Roman" w:hAnsi="Times New Roman" w:eastAsia="微软雅黑" w:cs="Times New Roman"/>
          <w:b/>
          <w:sz w:val="20"/>
          <w:szCs w:val="20"/>
        </w:rPr>
        <w:t xml:space="preserve"> criteria </w:t>
      </w:r>
      <w:bookmarkEnd w:id="0"/>
      <w:r>
        <w:rPr>
          <w:rFonts w:ascii="Times New Roman" w:hAnsi="Times New Roman" w:eastAsia="微软雅黑" w:cs="Times New Roman"/>
          <w:b/>
          <w:sz w:val="20"/>
          <w:szCs w:val="20"/>
        </w:rPr>
        <w:t>for histopathology as the reference standard</w:t>
      </w:r>
      <w:r>
        <w:rPr>
          <w:rFonts w:ascii="Times New Roman" w:hAnsi="Times New Roman" w:cs="Times New Roman"/>
          <w:color w:val="000000" w:themeColor="text1"/>
          <w:sz w:val="20"/>
          <w:szCs w:val="20"/>
          <w14:textFill>
            <w14:solidFill>
              <w14:schemeClr w14:val="tx1"/>
            </w14:solidFill>
          </w14:textFill>
        </w:rPr>
        <w:t xml:space="preserve"> </w:t>
      </w:r>
    </w:p>
    <w:p>
      <w:pPr>
        <w:spacing w:line="24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The Batts-Ludwig scoring system scale of 0-4 for stage and grade is as follows: </w:t>
      </w:r>
    </w:p>
    <w:p>
      <w:pPr>
        <w:spacing w:line="24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Stage: the amount of fibrosis-F0, no fibrosis; F1, portal fibrosis; F2, periportal/portal fibrosis with periportal septae; F3, bridging fibrosis with portal-portal fibrous septae and distorted architecture; and F4, probable or definite cirrhosis with nodule formation. Grade: the amount of portal/periportal and lobular activity (count whichever is greater. Portal/Periportal activity-G0, none; G1, minimal, patchy interface hepatitis; G2, mild interface hepatitis involving some or all portal tracts; G3, moderate interface hepatitis involving all portal tracts; and G4, severe interface hepatitis/bridging necrosis. Lobular activity-G0, none or confined to portal tracts; G1, minimal: rare spotty necrosis (can find 1-2 dead hepatocytes in biopsy); G2, mild: scattered necrotic hepatocytes; G3, moderate: confluent necrosis (clusters of dead hepatocytes); and G4, severe: bridging necrosis.</w:t>
      </w:r>
    </w:p>
    <w:p>
      <w:pPr>
        <w:pStyle w:val="8"/>
        <w:spacing w:beforeAutospacing="0" w:afterAutospacing="0"/>
        <w:jc w:val="both"/>
        <w:rPr>
          <w:rFonts w:ascii="Times New Roman" w:hAnsi="Times New Roman" w:cs="Times New Roman"/>
          <w:color w:val="000000" w:themeColor="text1"/>
          <w:sz w:val="20"/>
          <w:szCs w:val="20"/>
          <w14:textFill>
            <w14:solidFill>
              <w14:schemeClr w14:val="tx1"/>
            </w14:solidFill>
          </w14:textFill>
        </w:rPr>
      </w:pPr>
    </w:p>
    <w:p>
      <w:pPr>
        <w:rPr>
          <w:rFonts w:ascii="Times New Roman" w:hAnsi="Times New Roman" w:eastAsia="宋体" w:cs="Times New Roman"/>
          <w:b/>
          <w:bCs/>
          <w:color w:val="000000" w:themeColor="text1"/>
          <w:kern w:val="0"/>
          <w:sz w:val="20"/>
          <w:szCs w:val="20"/>
          <w14:textFill>
            <w14:solidFill>
              <w14:schemeClr w14:val="tx1"/>
            </w14:solidFill>
          </w14:textFill>
        </w:rPr>
      </w:pPr>
      <w:r>
        <w:rPr>
          <w:rFonts w:ascii="Times New Roman" w:hAnsi="Times New Roman" w:eastAsia="宋体" w:cs="Times New Roman"/>
          <w:b/>
          <w:bCs/>
          <w:color w:val="000000" w:themeColor="text1"/>
          <w:kern w:val="0"/>
          <w:sz w:val="20"/>
          <w:szCs w:val="20"/>
          <w14:textFill>
            <w14:solidFill>
              <w14:schemeClr w14:val="tx1"/>
            </w14:solidFill>
          </w14:textFill>
        </w:rPr>
        <w:t xml:space="preserve">1.3 Details of deep learning segmentation model specifics based on the neural network ResUNet </w:t>
      </w:r>
    </w:p>
    <w:p>
      <w:pPr>
        <w:spacing w:line="240" w:lineRule="auto"/>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general framework of the 3D-ResUnet used an encoder and decoder structure (https://github.com/caopengjy/liver_fibrosis). The encoder contained four downsampling, containing a residual connection, which was called a resblock. This procedure was same as in the decoder. 3D convolution was used to make the model learn not only texture and shape features at the slice level, but also the dynamic information between layers, which can enhance the abundance of semantic features and improve the liver segmentation performance. By controlling the size of stride using 3D convolution, the downsampling can shrink the feature map instead of using pooling, and the upsampling process was in the form of deconvolution to expand the feature map, in which the interpolation method used bicollinear interpolation. The activation function used in the encoding and decoding stage was PReLU, and the dropout strategy was used in the output to obtain a more robust generalized model.</w:t>
      </w:r>
    </w:p>
    <w:p>
      <w:pPr>
        <w:spacing w:line="240" w:lineRule="auto"/>
        <w:rPr>
          <w:rFonts w:ascii="Times New Roman" w:hAnsi="Times New Roman" w:cs="Times New Roman"/>
          <w:color w:val="000000" w:themeColor="text1"/>
          <w:sz w:val="20"/>
          <w:szCs w:val="20"/>
          <w14:textFill>
            <w14:solidFill>
              <w14:schemeClr w14:val="tx1"/>
            </w14:solidFill>
          </w14:textFill>
        </w:rPr>
      </w:pPr>
    </w:p>
    <w:p>
      <w:pPr>
        <w:spacing w:line="240" w:lineRule="auto"/>
        <w:rPr>
          <w:rFonts w:ascii="Times New Roman" w:hAnsi="Times New Roman" w:eastAsia="微软雅黑" w:cs="Times New Roman"/>
          <w:b/>
          <w:bCs/>
          <w:sz w:val="20"/>
          <w:szCs w:val="20"/>
        </w:rPr>
      </w:pPr>
      <w:r>
        <w:rPr>
          <w:rFonts w:ascii="Times New Roman" w:hAnsi="Times New Roman" w:eastAsia="微软雅黑" w:cs="Times New Roman"/>
          <w:b/>
          <w:bCs/>
          <w:sz w:val="20"/>
          <w:szCs w:val="20"/>
        </w:rPr>
        <w:t>1.4 R packages</w:t>
      </w:r>
    </w:p>
    <w:p>
      <w:pPr>
        <w:pStyle w:val="8"/>
        <w:spacing w:beforeAutospacing="0" w:afterAutospacing="0"/>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The R packages used in this study mainly included "pROC" (ROC analysis and comparison), "ddDCA" (decision curve analysis), "rms" (calibration curve), and "PredictABEL" (IDI calculation).</w:t>
      </w:r>
    </w:p>
    <w:p>
      <w:pPr>
        <w:spacing w:line="240" w:lineRule="auto"/>
        <w:rPr>
          <w:rFonts w:ascii="Times New Roman" w:hAnsi="Times New Roman" w:cs="Times New Roman"/>
          <w:color w:val="000000" w:themeColor="text1"/>
          <w:sz w:val="24"/>
          <w:szCs w:val="24"/>
          <w14:textFill>
            <w14:solidFill>
              <w14:schemeClr w14:val="tx1"/>
            </w14:solidFill>
          </w14:textFill>
        </w:rPr>
        <w:sectPr>
          <w:pgSz w:w="16838" w:h="23811"/>
          <w:pgMar w:top="1440" w:right="1800" w:bottom="1440" w:left="1800" w:header="851" w:footer="992" w:gutter="0"/>
          <w:cols w:space="425" w:num="1"/>
          <w:docGrid w:type="lines" w:linePitch="312" w:charSpace="0"/>
        </w:sectPr>
      </w:pPr>
    </w:p>
    <w:p>
      <w:pPr>
        <w:tabs>
          <w:tab w:val="left" w:pos="1373"/>
        </w:tabs>
        <w:jc w:val="left"/>
        <w:rPr>
          <w:rFonts w:ascii="Times New Roman" w:hAnsi="Times New Roman" w:eastAsia="宋体" w:cs="Times New Roman"/>
          <w:sz w:val="20"/>
          <w:szCs w:val="20"/>
        </w:rPr>
      </w:pPr>
      <w:r>
        <w:rPr>
          <w:rFonts w:ascii="Times New Roman" w:hAnsi="Times New Roman" w:cs="Times New Roman"/>
          <w:b/>
          <w:bCs/>
          <w:sz w:val="20"/>
          <w:szCs w:val="20"/>
        </w:rPr>
        <w:t>Table E1: MRI examination protocols of all institutions</w:t>
      </w:r>
    </w:p>
    <w:tbl>
      <w:tblPr>
        <w:tblStyle w:val="11"/>
        <w:tblW w:w="1389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9"/>
        <w:gridCol w:w="2779"/>
        <w:gridCol w:w="2778"/>
        <w:gridCol w:w="5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Institution</w:t>
            </w:r>
          </w:p>
        </w:tc>
        <w:tc>
          <w:tcPr>
            <w:tcW w:w="5557" w:type="dxa"/>
            <w:gridSpan w:val="2"/>
          </w:tcPr>
          <w:p>
            <w:pPr>
              <w:jc w:val="center"/>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Center 1</w:t>
            </w:r>
          </w:p>
        </w:tc>
        <w:tc>
          <w:tcPr>
            <w:tcW w:w="5556" w:type="dxa"/>
          </w:tcPr>
          <w:p>
            <w:pPr>
              <w:jc w:val="center"/>
              <w:rPr>
                <w:rFonts w:ascii="Times New Roman" w:hAnsi="Times New Roman" w:eastAsia="宋体" w:cs="Times New Roman"/>
                <w:b/>
                <w:bCs/>
                <w:color w:val="000000" w:themeColor="text1"/>
                <w:kern w:val="0"/>
                <w:sz w:val="16"/>
                <w:szCs w:val="16"/>
                <w14:textFill>
                  <w14:solidFill>
                    <w14:schemeClr w14:val="tx1"/>
                  </w14:solidFill>
                </w14:textFill>
              </w:rPr>
            </w:pPr>
            <w:r>
              <w:rPr>
                <w:rFonts w:ascii="Times New Roman" w:hAnsi="Times New Roman" w:eastAsia="宋体" w:cs="Times New Roman"/>
                <w:b/>
                <w:bCs/>
                <w:kern w:val="0"/>
                <w:sz w:val="16"/>
                <w:szCs w:val="16"/>
              </w:rPr>
              <w:t>C</w:t>
            </w:r>
            <w:r>
              <w:rPr>
                <w:rFonts w:ascii="Times New Roman" w:hAnsi="Times New Roman" w:eastAsia="宋体" w:cs="Times New Roman"/>
                <w:b/>
                <w:bCs/>
                <w:color w:val="000000" w:themeColor="text1"/>
                <w:kern w:val="0"/>
                <w:sz w:val="16"/>
                <w:szCs w:val="16"/>
                <w14:textFill>
                  <w14:solidFill>
                    <w14:schemeClr w14:val="tx1"/>
                  </w14:solidFill>
                </w14:textFill>
              </w:rPr>
              <w:t>enter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Field Intensity (T)</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3.0</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3.0</w:t>
            </w:r>
          </w:p>
        </w:tc>
        <w:tc>
          <w:tcPr>
            <w:tcW w:w="5556"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Manufacturer System</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Sigma Exite, GE Medical System</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Titan, Toshiba</w:t>
            </w:r>
          </w:p>
        </w:tc>
        <w:tc>
          <w:tcPr>
            <w:tcW w:w="5556" w:type="dxa"/>
          </w:tcPr>
          <w:p>
            <w:pPr>
              <w:tabs>
                <w:tab w:val="left" w:pos="669"/>
              </w:tabs>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Trio, Siemens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 xml:space="preserve">T2FS </w:t>
            </w:r>
          </w:p>
        </w:tc>
        <w:tc>
          <w:tcPr>
            <w:tcW w:w="11113" w:type="dxa"/>
            <w:gridSpan w:val="3"/>
          </w:tcPr>
          <w:p>
            <w:pPr>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Repetition time (ms)</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 xml:space="preserve">4667 </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 xml:space="preserve">4725 </w:t>
            </w:r>
          </w:p>
        </w:tc>
        <w:tc>
          <w:tcPr>
            <w:tcW w:w="5556"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4350</w:t>
            </w:r>
            <w:r>
              <w:rPr>
                <w:rFonts w:ascii="Times New Roman" w:hAnsi="Times New Roman" w:eastAsia="宋体" w:cs="Times New Roman"/>
                <w:color w:val="000000" w:themeColor="text1"/>
                <w:kern w:val="0"/>
                <w:sz w:val="16"/>
                <w:szCs w:val="16"/>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Echo time (ms)</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 xml:space="preserve">102 </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102</w:t>
            </w:r>
          </w:p>
        </w:tc>
        <w:tc>
          <w:tcPr>
            <w:tcW w:w="5556"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Flip angle (degrees)</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90</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90</w:t>
            </w:r>
          </w:p>
        </w:tc>
        <w:tc>
          <w:tcPr>
            <w:tcW w:w="5556"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779" w:type="dxa"/>
            <w:noWrap/>
          </w:tcPr>
          <w:p>
            <w:pPr>
              <w:jc w:val="left"/>
              <w:rPr>
                <w:rFonts w:ascii="Times New Roman" w:hAnsi="Times New Roman" w:eastAsia="宋体" w:cs="Times New Roman"/>
                <w:b/>
                <w:bCs/>
                <w:color w:val="000000" w:themeColor="text1"/>
                <w:kern w:val="0"/>
                <w:sz w:val="16"/>
                <w:szCs w:val="16"/>
                <w14:textFill>
                  <w14:solidFill>
                    <w14:schemeClr w14:val="tx1"/>
                  </w14:solidFill>
                </w14:textFill>
              </w:rPr>
            </w:pPr>
            <w:r>
              <w:rPr>
                <w:rFonts w:ascii="Times New Roman" w:hAnsi="Times New Roman" w:eastAsia="宋体" w:cs="Times New Roman"/>
                <w:b/>
                <w:bCs/>
                <w:color w:val="000000" w:themeColor="text1"/>
                <w:kern w:val="0"/>
                <w:sz w:val="16"/>
                <w:szCs w:val="16"/>
                <w14:textFill>
                  <w14:solidFill>
                    <w14:schemeClr w14:val="tx1"/>
                  </w14:solidFill>
                </w14:textFill>
              </w:rPr>
              <w:t>Matrix</w:t>
            </w:r>
          </w:p>
        </w:tc>
        <w:tc>
          <w:tcPr>
            <w:tcW w:w="2779"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224×288</w:t>
            </w:r>
          </w:p>
        </w:tc>
        <w:tc>
          <w:tcPr>
            <w:tcW w:w="2778" w:type="dxa"/>
          </w:tcPr>
          <w:p>
            <w:pPr>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224×320</w:t>
            </w:r>
          </w:p>
        </w:tc>
        <w:tc>
          <w:tcPr>
            <w:tcW w:w="5556" w:type="dxa"/>
          </w:tcPr>
          <w:p>
            <w:pPr>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320</w:t>
            </w:r>
            <w:r>
              <w:rPr>
                <w:rFonts w:ascii="Times New Roman" w:hAnsi="Times New Roman" w:eastAsia="宋体" w:cs="Times New Roman"/>
                <w:color w:val="000000" w:themeColor="text1"/>
                <w:kern w:val="0"/>
                <w:sz w:val="16"/>
                <w:szCs w:val="16"/>
                <w14:textFill>
                  <w14:solidFill>
                    <w14:schemeClr w14:val="tx1"/>
                  </w14:solidFill>
                </w14:textFill>
              </w:rPr>
              <w:t>×</w:t>
            </w:r>
            <w:r>
              <w:rPr>
                <w:rFonts w:ascii="Times New Roman" w:hAnsi="Times New Roman" w:eastAsia="宋体" w:cs="Times New Roman"/>
                <w:kern w:val="0"/>
                <w:sz w:val="16"/>
                <w:szCs w:val="16"/>
              </w:rPr>
              <w:t>173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Slice Thickness (mm)</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6</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6.5</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Field of view (</w:t>
            </w:r>
            <w:r>
              <w:rPr>
                <w:rFonts w:ascii="Times New Roman" w:hAnsi="Times New Roman" w:eastAsia="宋体" w:cs="Times New Roman"/>
                <w:b/>
                <w:bCs/>
                <w:kern w:val="0"/>
                <w:sz w:val="16"/>
                <w:szCs w:val="16"/>
              </w:rPr>
              <w:t>mm</w:t>
            </w:r>
            <w:r>
              <w:rPr>
                <w:rFonts w:ascii="Times New Roman" w:hAnsi="Times New Roman" w:eastAsia="宋体" w:cs="Times New Roman"/>
                <w:b/>
                <w:bCs/>
                <w:color w:val="000000" w:themeColor="text1"/>
                <w:kern w:val="0"/>
                <w:sz w:val="16"/>
                <w:szCs w:val="16"/>
                <w14:textFill>
                  <w14:solidFill>
                    <w14:schemeClr w14:val="tx1"/>
                  </w14:solidFill>
                </w14:textFill>
              </w:rPr>
              <w:t>)</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380×380</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330×380</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276</w:t>
            </w:r>
            <w:r>
              <w:rPr>
                <w:rFonts w:ascii="Times New Roman" w:hAnsi="Times New Roman" w:eastAsia="宋体" w:cs="Times New Roman"/>
                <w:color w:val="000000" w:themeColor="text1"/>
                <w:kern w:val="0"/>
                <w:sz w:val="16"/>
                <w:szCs w:val="16"/>
                <w14:textFill>
                  <w14:solidFill>
                    <w14:schemeClr w14:val="tx1"/>
                  </w14:solidFill>
                </w14:textFill>
              </w:rPr>
              <w:t>×</w:t>
            </w:r>
            <w:r>
              <w:rPr>
                <w:rFonts w:ascii="Times New Roman" w:hAnsi="Times New Roman" w:eastAsia="宋体" w:cs="Times New Roman"/>
                <w:kern w:val="0"/>
                <w:sz w:val="16"/>
                <w:szCs w:val="16"/>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T1 delay</w:t>
            </w:r>
          </w:p>
        </w:tc>
        <w:tc>
          <w:tcPr>
            <w:tcW w:w="11113" w:type="dxa"/>
            <w:gridSpan w:val="3"/>
          </w:tcPr>
          <w:p>
            <w:pPr>
              <w:pStyle w:val="32"/>
              <w:ind w:firstLine="0" w:firstLineChars="0"/>
              <w:rPr>
                <w:rFonts w:ascii="Times New Roman" w:hAnsi="Times New Roman" w:eastAsia="宋体" w:cs="Times New Roman"/>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Repetition time (ms)</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150</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105</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 xml:space="preserve">150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Echo time (ms)</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2.6</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2.4</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Flip angle (degrees)</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90</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80</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color w:val="000000" w:themeColor="text1"/>
                <w:kern w:val="0"/>
                <w:sz w:val="16"/>
                <w:szCs w:val="16"/>
                <w14:textFill>
                  <w14:solidFill>
                    <w14:schemeClr w14:val="tx1"/>
                  </w14:solidFill>
                </w14:textFill>
              </w:rPr>
            </w:pPr>
            <w:r>
              <w:rPr>
                <w:rFonts w:ascii="Times New Roman" w:hAnsi="Times New Roman" w:eastAsia="宋体" w:cs="Times New Roman"/>
                <w:b/>
                <w:bCs/>
                <w:color w:val="000000" w:themeColor="text1"/>
                <w:kern w:val="0"/>
                <w:sz w:val="16"/>
                <w:szCs w:val="16"/>
                <w14:textFill>
                  <w14:solidFill>
                    <w14:schemeClr w14:val="tx1"/>
                  </w14:solidFill>
                </w14:textFill>
              </w:rPr>
              <w:t>Matrix</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224×288</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256×368</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320</w:t>
            </w:r>
            <w:r>
              <w:rPr>
                <w:rFonts w:ascii="Times New Roman" w:hAnsi="Times New Roman" w:eastAsia="宋体" w:cs="Times New Roman"/>
                <w:color w:val="000000" w:themeColor="text1"/>
                <w:kern w:val="0"/>
                <w:sz w:val="16"/>
                <w:szCs w:val="16"/>
                <w14:textFill>
                  <w14:solidFill>
                    <w14:schemeClr w14:val="tx1"/>
                  </w14:solidFill>
                </w14:textFill>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Slice Thickness (mm)</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6</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6</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2779" w:type="dxa"/>
            <w:noWrap/>
          </w:tcPr>
          <w:p>
            <w:pPr>
              <w:jc w:val="left"/>
              <w:rPr>
                <w:rFonts w:ascii="Times New Roman" w:hAnsi="Times New Roman" w:eastAsia="宋体" w:cs="Times New Roman"/>
                <w:b/>
                <w:bCs/>
                <w:kern w:val="0"/>
                <w:sz w:val="16"/>
                <w:szCs w:val="16"/>
              </w:rPr>
            </w:pPr>
            <w:r>
              <w:rPr>
                <w:rFonts w:ascii="Times New Roman" w:hAnsi="Times New Roman" w:eastAsia="宋体" w:cs="Times New Roman"/>
                <w:b/>
                <w:bCs/>
                <w:color w:val="000000" w:themeColor="text1"/>
                <w:kern w:val="0"/>
                <w:sz w:val="16"/>
                <w:szCs w:val="16"/>
                <w14:textFill>
                  <w14:solidFill>
                    <w14:schemeClr w14:val="tx1"/>
                  </w14:solidFill>
                </w14:textFill>
              </w:rPr>
              <w:t>Field of view (</w:t>
            </w:r>
            <w:r>
              <w:rPr>
                <w:rFonts w:ascii="Times New Roman" w:hAnsi="Times New Roman" w:eastAsia="宋体" w:cs="Times New Roman"/>
                <w:b/>
                <w:bCs/>
                <w:kern w:val="0"/>
                <w:sz w:val="16"/>
                <w:szCs w:val="16"/>
              </w:rPr>
              <w:t>mm</w:t>
            </w:r>
            <w:r>
              <w:rPr>
                <w:rFonts w:ascii="Times New Roman" w:hAnsi="Times New Roman" w:eastAsia="宋体" w:cs="Times New Roman"/>
                <w:b/>
                <w:bCs/>
                <w:color w:val="000000" w:themeColor="text1"/>
                <w:kern w:val="0"/>
                <w:sz w:val="16"/>
                <w:szCs w:val="16"/>
                <w14:textFill>
                  <w14:solidFill>
                    <w14:schemeClr w14:val="tx1"/>
                  </w14:solidFill>
                </w14:textFill>
              </w:rPr>
              <w:t>)</w:t>
            </w:r>
          </w:p>
        </w:tc>
        <w:tc>
          <w:tcPr>
            <w:tcW w:w="2779"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80×380</w:t>
            </w:r>
          </w:p>
        </w:tc>
        <w:tc>
          <w:tcPr>
            <w:tcW w:w="2778"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color w:val="000000" w:themeColor="text1"/>
                <w:kern w:val="0"/>
                <w:sz w:val="16"/>
                <w:szCs w:val="16"/>
                <w14:textFill>
                  <w14:solidFill>
                    <w14:schemeClr w14:val="tx1"/>
                  </w14:solidFill>
                </w14:textFill>
              </w:rPr>
              <w:t>293×421</w:t>
            </w:r>
          </w:p>
        </w:tc>
        <w:tc>
          <w:tcPr>
            <w:tcW w:w="5556" w:type="dxa"/>
          </w:tcPr>
          <w:p>
            <w:pPr>
              <w:pStyle w:val="32"/>
              <w:ind w:firstLine="0" w:firstLineChars="0"/>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400</w:t>
            </w:r>
            <w:r>
              <w:rPr>
                <w:rFonts w:ascii="Times New Roman" w:hAnsi="Times New Roman" w:eastAsia="宋体" w:cs="Times New Roman"/>
                <w:color w:val="000000" w:themeColor="text1"/>
                <w:kern w:val="0"/>
                <w:sz w:val="16"/>
                <w:szCs w:val="16"/>
                <w14:textFill>
                  <w14:solidFill>
                    <w14:schemeClr w14:val="tx1"/>
                  </w14:solidFill>
                </w14:textFill>
              </w:rPr>
              <w:t>×</w:t>
            </w:r>
            <w:r>
              <w:rPr>
                <w:rFonts w:ascii="Times New Roman" w:hAnsi="Times New Roman" w:eastAsia="宋体" w:cs="Times New Roman"/>
                <w:kern w:val="0"/>
                <w:sz w:val="16"/>
                <w:szCs w:val="16"/>
              </w:rPr>
              <w:t>296</w:t>
            </w:r>
          </w:p>
        </w:tc>
      </w:tr>
    </w:tbl>
    <w:p>
      <w:pPr>
        <w:rPr>
          <w:rFonts w:ascii="Times New Roman" w:hAnsi="Times New Roman" w:cs="Times New Roman"/>
          <w:sz w:val="20"/>
          <w:szCs w:val="20"/>
        </w:rPr>
      </w:pPr>
      <w:r>
        <w:rPr>
          <w:rFonts w:ascii="Times New Roman" w:hAnsi="Times New Roman" w:cs="Times New Roman"/>
          <w:sz w:val="20"/>
          <w:szCs w:val="20"/>
        </w:rPr>
        <w:t xml:space="preserve">Note. </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sz w:val="20"/>
          <w:szCs w:val="20"/>
        </w:rPr>
        <w:t xml:space="preserve">T1 delay = fat-suppressed </w:t>
      </w:r>
      <w:r>
        <w:rPr>
          <w:rFonts w:ascii="Times New Roman" w:hAnsi="Times New Roman" w:cs="Times New Roman"/>
          <w:color w:val="000000" w:themeColor="text1"/>
          <w:sz w:val="20"/>
          <w:szCs w:val="20"/>
          <w14:textFill>
            <w14:solidFill>
              <w14:schemeClr w14:val="tx1"/>
            </w14:solidFill>
          </w14:textFill>
        </w:rPr>
        <w:t>delayed enhanced</w:t>
      </w:r>
      <w:r>
        <w:rPr>
          <w:rFonts w:ascii="Times New Roman" w:hAnsi="Times New Roman" w:cs="Times New Roman"/>
          <w:sz w:val="20"/>
          <w:szCs w:val="20"/>
        </w:rPr>
        <w:t xml:space="preserve"> T1-weighted images; T2FS = fat-suppressed T2-weighted images.</w:t>
      </w:r>
    </w:p>
    <w:p>
      <w:pPr>
        <w:widowControl/>
        <w:jc w:val="left"/>
        <w:rPr>
          <w:rFonts w:ascii="Times New Roman" w:hAnsi="Times New Roman" w:cs="Times New Roman"/>
          <w:sz w:val="24"/>
        </w:rPr>
        <w:sectPr>
          <w:pgSz w:w="16838" w:h="11906" w:orient="landscape"/>
          <w:pgMar w:top="1800" w:right="1440" w:bottom="1800" w:left="1440" w:header="851" w:footer="992" w:gutter="0"/>
          <w:cols w:space="425" w:num="1"/>
          <w:docGrid w:type="lines" w:linePitch="312" w:charSpace="0"/>
        </w:sectPr>
      </w:pPr>
      <w:r>
        <w:rPr>
          <w:rFonts w:ascii="Times New Roman" w:hAnsi="Times New Roman" w:cs="Times New Roman"/>
          <w:sz w:val="20"/>
          <w:szCs w:val="20"/>
        </w:rPr>
        <w:br w:type="page"/>
      </w:r>
    </w:p>
    <w:p>
      <w:pPr>
        <w:rPr>
          <w:rFonts w:ascii="Times New Roman" w:hAnsi="Times New Roman" w:cs="Times New Roman"/>
          <w:b/>
          <w:bCs/>
          <w:sz w:val="20"/>
          <w:szCs w:val="20"/>
        </w:rPr>
      </w:pPr>
      <w:bookmarkStart w:id="1" w:name="_Hlk117109078"/>
      <w:r>
        <w:rPr>
          <w:rFonts w:ascii="Times New Roman" w:hAnsi="Times New Roman" w:cs="Times New Roman"/>
          <w:b/>
          <w:bCs/>
          <w:sz w:val="20"/>
          <w:szCs w:val="20"/>
        </w:rPr>
        <w:t>Table E2: Details on generating automated liver VOIs segmentation in test cohorts</w:t>
      </w:r>
    </w:p>
    <w:tbl>
      <w:tblPr>
        <w:tblStyle w:val="33"/>
        <w:tblW w:w="13346" w:type="dxa"/>
        <w:tblInd w:w="0" w:type="dxa"/>
        <w:tblBorders>
          <w:top w:val="single" w:color="auto" w:sz="4"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10"/>
        <w:gridCol w:w="921"/>
        <w:gridCol w:w="1430"/>
        <w:gridCol w:w="1430"/>
        <w:gridCol w:w="1430"/>
        <w:gridCol w:w="1430"/>
        <w:gridCol w:w="1430"/>
        <w:gridCol w:w="1430"/>
        <w:gridCol w:w="1435"/>
      </w:tblGrid>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Dataset</w:t>
            </w:r>
          </w:p>
        </w:tc>
        <w:tc>
          <w:tcPr>
            <w:tcW w:w="921"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Sequence</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Parameter</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Dice</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JACARD</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VOE</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FNR</w:t>
            </w:r>
          </w:p>
        </w:tc>
        <w:tc>
          <w:tcPr>
            <w:tcW w:w="1430" w:type="dxa"/>
            <w:tcBorders>
              <w:top w:val="single" w:color="000000" w:sz="8" w:space="0"/>
              <w:bottom w:val="single" w:color="000000" w:sz="8" w:space="0"/>
              <w:right w:val="nil"/>
              <w:insideV w:val="nil"/>
            </w:tcBorders>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FPR</w:t>
            </w:r>
          </w:p>
        </w:tc>
        <w:tc>
          <w:tcPr>
            <w:tcW w:w="1435" w:type="dxa"/>
            <w:tcBorders>
              <w:top w:val="single" w:color="000000" w:sz="8" w:space="0"/>
              <w:bottom w:val="single" w:color="000000" w:sz="8" w:space="0"/>
              <w:insideV w:val="nil"/>
            </w:tcBorders>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Time</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restart"/>
            <w:tcBorders>
              <w:top w:val="single" w:color="000000" w:sz="8" w:space="0"/>
            </w:tcBorders>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Internal + temporal test cohort</w:t>
            </w:r>
          </w:p>
        </w:tc>
        <w:tc>
          <w:tcPr>
            <w:tcW w:w="921" w:type="dxa"/>
            <w:vMerge w:val="restart"/>
            <w:tcBorders>
              <w:top w:val="single" w:color="000000" w:sz="8" w:space="0"/>
            </w:tcBorders>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T1 delay</w:t>
            </w:r>
          </w:p>
        </w:tc>
        <w:tc>
          <w:tcPr>
            <w:tcW w:w="1430" w:type="dxa"/>
            <w:tcBorders>
              <w:top w:val="single" w:color="000000" w:sz="8" w:space="0"/>
              <w:bottom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mean</w:t>
            </w:r>
          </w:p>
        </w:tc>
        <w:tc>
          <w:tcPr>
            <w:tcW w:w="1430"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0.951</w:t>
            </w:r>
          </w:p>
        </w:tc>
        <w:tc>
          <w:tcPr>
            <w:tcW w:w="1430"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0.901</w:t>
            </w:r>
          </w:p>
        </w:tc>
        <w:tc>
          <w:tcPr>
            <w:tcW w:w="1430"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0.080</w:t>
            </w:r>
          </w:p>
        </w:tc>
        <w:tc>
          <w:tcPr>
            <w:tcW w:w="1430"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0.032</w:t>
            </w:r>
          </w:p>
        </w:tc>
        <w:tc>
          <w:tcPr>
            <w:tcW w:w="1430"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0.095</w:t>
            </w:r>
          </w:p>
        </w:tc>
        <w:tc>
          <w:tcPr>
            <w:tcW w:w="1435" w:type="dxa"/>
            <w:tcBorders>
              <w:top w:val="single" w:color="000000" w:sz="8" w:space="0"/>
              <w:bottom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10.038</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tcBorders>
              <w:top w:val="nil"/>
            </w:tcBorders>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std</w:t>
            </w:r>
          </w:p>
        </w:tc>
        <w:tc>
          <w:tcPr>
            <w:tcW w:w="1430"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0.024</w:t>
            </w:r>
          </w:p>
        </w:tc>
        <w:tc>
          <w:tcPr>
            <w:tcW w:w="1430"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0.043</w:t>
            </w:r>
          </w:p>
        </w:tc>
        <w:tc>
          <w:tcPr>
            <w:tcW w:w="1430"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0.043</w:t>
            </w:r>
          </w:p>
        </w:tc>
        <w:tc>
          <w:tcPr>
            <w:tcW w:w="1430"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0.009</w:t>
            </w:r>
          </w:p>
        </w:tc>
        <w:tc>
          <w:tcPr>
            <w:tcW w:w="1430"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0.041</w:t>
            </w:r>
          </w:p>
        </w:tc>
        <w:tc>
          <w:tcPr>
            <w:tcW w:w="1435" w:type="dxa"/>
            <w:tcBorders>
              <w:top w:val="nil"/>
            </w:tcBorders>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0.328</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min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0.807</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0.081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0.045</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9.675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max</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0.977</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0.918</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0.192</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0.045</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0.163</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10.484</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restart"/>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T2FS</w:t>
            </w: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mean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0.838</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0.162</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0.119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0.043</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8.035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std</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0.029</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0.328</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min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0.880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0.786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0.115</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0.061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0.020</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7.675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max</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0.939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0.885</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0.214</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0.178</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0.099</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8.484</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restart"/>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External test cohort</w:t>
            </w:r>
          </w:p>
        </w:tc>
        <w:tc>
          <w:tcPr>
            <w:tcW w:w="921" w:type="dxa"/>
            <w:vMerge w:val="restart"/>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T1 delay</w:t>
            </w: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mean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0.974</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0.951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0.020</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10.010</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std</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0.037</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0.024</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0.226</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min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0.912</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0.838</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0.001</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9.875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max</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0.999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0.999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0.162</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0.159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0.119</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10.283</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restart"/>
            <w:shd w:val="clear" w:color="auto" w:fill="auto"/>
          </w:tcPr>
          <w:p>
            <w:pPr>
              <w:pStyle w:val="8"/>
              <w:rPr>
                <w:rFonts w:ascii="Times New Roman" w:hAnsi="Times New Roman" w:cs="Times New Roman"/>
                <w:b/>
                <w:bCs/>
                <w:color w:val="000000"/>
                <w:sz w:val="16"/>
                <w:szCs w:val="16"/>
              </w:rPr>
            </w:pPr>
          </w:p>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T2FS</w:t>
            </w:r>
          </w:p>
        </w:tc>
        <w:tc>
          <w:tcPr>
            <w:tcW w:w="1430" w:type="dxa"/>
            <w:shd w:val="clear" w:color="auto" w:fill="auto"/>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mean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0.953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0.090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0.047</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0.042</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8.140</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std</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0.036</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0.024</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0.018</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0.215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min</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0.915</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0.843</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0.040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0.019</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0.020</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7.775</w:t>
            </w:r>
          </w:p>
        </w:tc>
      </w:tr>
      <w:tr>
        <w:tblPrEx>
          <w:tblBorders>
            <w:top w:val="single" w:color="auto" w:sz="4"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2410" w:type="dxa"/>
            <w:vMerge w:val="continue"/>
            <w:shd w:val="clear" w:color="auto" w:fill="auto"/>
          </w:tcPr>
          <w:p>
            <w:pPr>
              <w:pStyle w:val="8"/>
              <w:rPr>
                <w:rFonts w:ascii="Times New Roman" w:hAnsi="Times New Roman" w:cs="Times New Roman"/>
                <w:b/>
                <w:bCs/>
                <w:color w:val="000000"/>
                <w:sz w:val="16"/>
                <w:szCs w:val="16"/>
              </w:rPr>
            </w:pPr>
          </w:p>
        </w:tc>
        <w:tc>
          <w:tcPr>
            <w:tcW w:w="921" w:type="dxa"/>
            <w:vMerge w:val="continue"/>
            <w:shd w:val="clear" w:color="auto" w:fill="auto"/>
          </w:tcPr>
          <w:p>
            <w:pPr>
              <w:pStyle w:val="8"/>
              <w:rPr>
                <w:rFonts w:ascii="Times New Roman" w:hAnsi="Times New Roman" w:cs="Times New Roman"/>
                <w:b/>
                <w:bCs/>
                <w:color w:val="000000"/>
                <w:sz w:val="16"/>
                <w:szCs w:val="16"/>
              </w:rPr>
            </w:pPr>
          </w:p>
        </w:tc>
        <w:tc>
          <w:tcPr>
            <w:tcW w:w="1430" w:type="dxa"/>
            <w:shd w:val="clear" w:color="auto" w:fill="auto"/>
          </w:tcPr>
          <w:p>
            <w:pPr>
              <w:pStyle w:val="8"/>
              <w:rPr>
                <w:rFonts w:ascii="Times New Roman" w:hAnsi="Times New Roman" w:cs="Times New Roman"/>
                <w:b/>
                <w:bCs/>
                <w:sz w:val="16"/>
                <w:szCs w:val="16"/>
              </w:rPr>
            </w:pPr>
            <w:r>
              <w:rPr>
                <w:rFonts w:ascii="Times New Roman" w:hAnsi="Times New Roman" w:cs="Times New Roman"/>
                <w:b/>
                <w:bCs/>
                <w:color w:val="000000"/>
                <w:sz w:val="16"/>
                <w:szCs w:val="16"/>
              </w:rPr>
              <w:t>max</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0.980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0.960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0.157</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0.100</w:t>
            </w:r>
          </w:p>
        </w:tc>
        <w:tc>
          <w:tcPr>
            <w:tcW w:w="1430"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0.087</w:t>
            </w:r>
          </w:p>
        </w:tc>
        <w:tc>
          <w:tcPr>
            <w:tcW w:w="1435" w:type="dxa"/>
            <w:shd w:val="clear" w:color="auto" w:fill="auto"/>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9.484</w:t>
            </w:r>
          </w:p>
        </w:tc>
      </w:tr>
    </w:tbl>
    <w:p>
      <w:pPr>
        <w:rPr>
          <w:rFonts w:ascii="Times New Roman" w:hAnsi="Times New Roman" w:cs="Times New Roman"/>
          <w:sz w:val="24"/>
        </w:rPr>
      </w:pPr>
      <w:r>
        <w:rPr>
          <w:rFonts w:ascii="Times New Roman" w:hAnsi="Times New Roman" w:cs="Times New Roman"/>
          <w:sz w:val="20"/>
          <w:szCs w:val="20"/>
        </w:rPr>
        <w:t xml:space="preserve">Note. </w:t>
      </w:r>
      <w:r>
        <w:rPr>
          <w:rFonts w:ascii="Times New Roman" w:hAnsi="Times New Roman" w:cs="Times New Roman"/>
          <w:color w:val="000000" w:themeColor="text1"/>
          <w:sz w:val="20"/>
          <w:szCs w:val="20"/>
          <w14:textFill>
            <w14:solidFill>
              <w14:schemeClr w14:val="tx1"/>
            </w14:solidFill>
          </w14:textFill>
        </w:rPr>
        <w:t>—</w:t>
      </w:r>
      <w:r>
        <w:rPr>
          <w:rFonts w:ascii="Times New Roman" w:hAnsi="Times New Roman" w:cs="Times New Roman"/>
          <w:sz w:val="20"/>
          <w:szCs w:val="20"/>
        </w:rPr>
        <w:t xml:space="preserve"> FNR = false negative rate; FPR = false positive rate; T1 delay = fat-suppressed </w:t>
      </w:r>
      <w:r>
        <w:rPr>
          <w:rFonts w:ascii="Times New Roman" w:hAnsi="Times New Roman" w:cs="Times New Roman"/>
          <w:color w:val="000000" w:themeColor="text1"/>
          <w:sz w:val="20"/>
          <w:szCs w:val="20"/>
          <w14:textFill>
            <w14:solidFill>
              <w14:schemeClr w14:val="tx1"/>
            </w14:solidFill>
          </w14:textFill>
        </w:rPr>
        <w:t>delayed enhanced</w:t>
      </w:r>
      <w:r>
        <w:rPr>
          <w:rFonts w:ascii="Times New Roman" w:hAnsi="Times New Roman" w:cs="Times New Roman"/>
          <w:sz w:val="20"/>
          <w:szCs w:val="20"/>
        </w:rPr>
        <w:t xml:space="preserve"> T1-weighted images; T2FS = fat-suppressed T2-weighted images; VOE = volumetric overlap error; VOI = volume of interest.</w:t>
      </w:r>
    </w:p>
    <w:bookmarkEnd w:id="1"/>
    <w:p>
      <w:pPr>
        <w:widowControl/>
        <w:jc w:val="left"/>
        <w:rPr>
          <w:rFonts w:ascii="Times New Roman" w:hAnsi="Times New Roman" w:cs="Times New Roman"/>
          <w:sz w:val="24"/>
        </w:rPr>
      </w:pPr>
      <w:r>
        <w:rPr>
          <w:rFonts w:ascii="Times New Roman" w:hAnsi="Times New Roman" w:cs="Times New Roman"/>
          <w:sz w:val="24"/>
        </w:rPr>
        <w:br w:type="page"/>
      </w:r>
    </w:p>
    <w:p>
      <w:pPr>
        <w:widowControl/>
        <w:jc w:val="left"/>
        <w:rPr>
          <w:rFonts w:ascii="Times New Roman" w:hAnsi="Times New Roman" w:cs="Times New Roman"/>
          <w:b/>
          <w:bCs/>
          <w:sz w:val="20"/>
          <w:szCs w:val="20"/>
        </w:rPr>
      </w:pPr>
      <w:r>
        <w:rPr>
          <w:rFonts w:ascii="Times New Roman" w:hAnsi="Times New Roman" w:cs="Times New Roman"/>
          <w:b/>
          <w:bCs/>
          <w:sz w:val="20"/>
          <w:szCs w:val="20"/>
        </w:rPr>
        <w:t>Table E3: Odds ratio (OR) estimated by univariate and multivariate logistic regression analyses for ≥ F2</w:t>
      </w:r>
    </w:p>
    <w:tbl>
      <w:tblPr>
        <w:tblStyle w:val="10"/>
        <w:tblW w:w="13183" w:type="dxa"/>
        <w:tblInd w:w="0" w:type="dxa"/>
        <w:tblLayout w:type="autofit"/>
        <w:tblCellMar>
          <w:top w:w="0" w:type="dxa"/>
          <w:left w:w="0" w:type="dxa"/>
          <w:bottom w:w="0" w:type="dxa"/>
          <w:right w:w="0" w:type="dxa"/>
        </w:tblCellMar>
      </w:tblPr>
      <w:tblGrid>
        <w:gridCol w:w="2636"/>
        <w:gridCol w:w="2637"/>
        <w:gridCol w:w="2636"/>
        <w:gridCol w:w="2637"/>
        <w:gridCol w:w="2637"/>
      </w:tblGrid>
      <w:tr>
        <w:tblPrEx>
          <w:tblCellMar>
            <w:top w:w="0" w:type="dxa"/>
            <w:left w:w="0" w:type="dxa"/>
            <w:bottom w:w="0" w:type="dxa"/>
            <w:right w:w="0" w:type="dxa"/>
          </w:tblCellMar>
        </w:tblPrEx>
        <w:trPr>
          <w:trHeight w:val="227" w:hRule="atLeast"/>
        </w:trPr>
        <w:tc>
          <w:tcPr>
            <w:tcW w:w="2636" w:type="dxa"/>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color w:val="000000"/>
                <w:kern w:val="24"/>
                <w:sz w:val="16"/>
                <w:szCs w:val="16"/>
              </w:rPr>
              <w:t> </w:t>
            </w:r>
          </w:p>
        </w:tc>
        <w:tc>
          <w:tcPr>
            <w:tcW w:w="5273" w:type="dxa"/>
            <w:gridSpan w:val="2"/>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color w:val="000000"/>
                <w:kern w:val="24"/>
                <w:sz w:val="16"/>
                <w:szCs w:val="16"/>
              </w:rPr>
              <w:t>Univariate analysis</w:t>
            </w:r>
          </w:p>
        </w:tc>
        <w:tc>
          <w:tcPr>
            <w:tcW w:w="5274" w:type="dxa"/>
            <w:gridSpan w:val="2"/>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color w:val="000000"/>
                <w:kern w:val="24"/>
                <w:sz w:val="16"/>
                <w:szCs w:val="16"/>
              </w:rPr>
              <w:t>Multivariate analysis</w:t>
            </w:r>
          </w:p>
        </w:tc>
      </w:tr>
      <w:tr>
        <w:tblPrEx>
          <w:tblCellMar>
            <w:top w:w="0" w:type="dxa"/>
            <w:left w:w="0" w:type="dxa"/>
            <w:bottom w:w="0" w:type="dxa"/>
            <w:right w:w="0" w:type="dxa"/>
          </w:tblCellMar>
        </w:tblPrEx>
        <w:trPr>
          <w:trHeight w:val="447" w:hRule="atLeast"/>
        </w:trPr>
        <w:tc>
          <w:tcPr>
            <w:tcW w:w="2636"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Variables</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kern w:val="24"/>
                <w:sz w:val="16"/>
                <w:szCs w:val="16"/>
              </w:rPr>
              <w:t>OR (95% CI)</w:t>
            </w:r>
          </w:p>
        </w:tc>
        <w:tc>
          <w:tcPr>
            <w:tcW w:w="2636"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i/>
                <w:iCs/>
                <w:kern w:val="24"/>
                <w:sz w:val="16"/>
                <w:szCs w:val="16"/>
              </w:rPr>
              <w:t xml:space="preserve">P </w:t>
            </w:r>
            <w:r>
              <w:rPr>
                <w:rFonts w:ascii="Times New Roman" w:hAnsi="Times New Roman" w:cs="Times New Roman"/>
                <w:b/>
                <w:bCs/>
                <w:kern w:val="24"/>
                <w:sz w:val="16"/>
                <w:szCs w:val="16"/>
              </w:rPr>
              <w:t>value</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kern w:val="24"/>
                <w:sz w:val="16"/>
                <w:szCs w:val="16"/>
              </w:rPr>
              <w:t>OR (95% CI)</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i/>
                <w:iCs/>
                <w:kern w:val="24"/>
                <w:sz w:val="16"/>
                <w:szCs w:val="16"/>
              </w:rPr>
              <w:t xml:space="preserve">P </w:t>
            </w:r>
            <w:r>
              <w:rPr>
                <w:rFonts w:ascii="Times New Roman" w:hAnsi="Times New Roman" w:cs="Times New Roman"/>
                <w:b/>
                <w:bCs/>
                <w:kern w:val="24"/>
                <w:sz w:val="16"/>
                <w:szCs w:val="16"/>
              </w:rPr>
              <w:t>value</w:t>
            </w: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Male</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1.31 (0.83,2.05)</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.248</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BMI (kg/m</w:t>
            </w:r>
            <w:r>
              <w:rPr>
                <w:rFonts w:ascii="Times New Roman" w:hAnsi="Times New Roman" w:cs="Times New Roman"/>
                <w:b/>
                <w:bCs/>
                <w:kern w:val="24"/>
                <w:sz w:val="16"/>
                <w:szCs w:val="16"/>
                <w:vertAlign w:val="superscript"/>
              </w:rPr>
              <w:t>2</w:t>
            </w:r>
            <w:r>
              <w:rPr>
                <w:rFonts w:ascii="Times New Roman" w:hAnsi="Times New Roman" w:cs="Times New Roman"/>
                <w:b/>
                <w:bCs/>
                <w:kern w:val="24"/>
                <w:sz w:val="16"/>
                <w:szCs w:val="16"/>
              </w:rPr>
              <w:t>)</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0.95 (0.89,1.01)</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.126</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Age (year)</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1.03 (0.83,1.26)</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.817</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AST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1.02 (1.01,1.03)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 (1.00,1.02)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.002</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GGT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 (1.00,1.02)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 (1.00,1.02)</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.007</w:t>
            </w: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ALP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1.02 (1.01,1.03)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ALB</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0.89 (0.85,0.94)</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0.92 (0.87,0.98)</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.01</w:t>
            </w: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GLB</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1.04 (0.99,1.08)</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TBIL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1.08 (1.04,1.12)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DBIL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1.13 (1.05,1.22)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TBA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 (0.99,1.02)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0.105</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PLT (10^</w:t>
            </w:r>
            <w:r>
              <w:rPr>
                <w:rFonts w:ascii="Times New Roman" w:hAnsi="Times New Roman" w:cs="Times New Roman"/>
                <w:b/>
                <w:bCs/>
                <w:kern w:val="24"/>
                <w:sz w:val="16"/>
                <w:szCs w:val="16"/>
                <w:vertAlign w:val="superscript"/>
              </w:rPr>
              <w:t>9</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0.99 (0.98,1.00)</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0.99 (0.98,0.99)</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WBC (10^</w:t>
            </w:r>
            <w:r>
              <w:rPr>
                <w:rFonts w:ascii="Times New Roman" w:hAnsi="Times New Roman" w:cs="Times New Roman"/>
                <w:b/>
                <w:bCs/>
                <w:kern w:val="24"/>
                <w:sz w:val="16"/>
                <w:szCs w:val="16"/>
                <w:vertAlign w:val="superscript"/>
              </w:rPr>
              <w:t>9</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0.92 (0.81,1.04)</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.185</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RBC (10^</w:t>
            </w:r>
            <w:r>
              <w:rPr>
                <w:rFonts w:ascii="Times New Roman" w:hAnsi="Times New Roman" w:cs="Times New Roman"/>
                <w:b/>
                <w:bCs/>
                <w:kern w:val="24"/>
                <w:sz w:val="16"/>
                <w:szCs w:val="16"/>
                <w:vertAlign w:val="superscript"/>
              </w:rPr>
              <w:t>12</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0.93 (0.81,1.06)</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.272</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Hb(g/L)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1.00 (0.99,1.01)</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.948</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227"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R-score</w:t>
            </w:r>
            <w:r>
              <w:rPr>
                <w:rFonts w:ascii="Times New Roman" w:hAnsi="Times New Roman" w:cs="Times New Roman"/>
                <w:b/>
                <w:bCs/>
                <w:kern w:val="24"/>
                <w:sz w:val="16"/>
                <w:szCs w:val="16"/>
                <w:vertAlign w:val="superscript"/>
              </w:rPr>
              <w:t>T1delay</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5.19 (3.14,8.57)</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4.02 (2.33,6.93)</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r>
      <w:tr>
        <w:tblPrEx>
          <w:tblCellMar>
            <w:top w:w="0" w:type="dxa"/>
            <w:left w:w="0" w:type="dxa"/>
            <w:bottom w:w="0" w:type="dxa"/>
            <w:right w:w="0" w:type="dxa"/>
          </w:tblCellMar>
        </w:tblPrEx>
        <w:trPr>
          <w:trHeight w:val="227" w:hRule="atLeast"/>
        </w:trPr>
        <w:tc>
          <w:tcPr>
            <w:tcW w:w="2636" w:type="dxa"/>
            <w:tcBorders>
              <w:top w:val="nil"/>
              <w:left w:val="nil"/>
              <w:bottom w:val="single" w:color="000000" w:sz="8" w:space="0"/>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R-score</w:t>
            </w:r>
            <w:r>
              <w:rPr>
                <w:rFonts w:ascii="Times New Roman" w:hAnsi="Times New Roman" w:cs="Times New Roman"/>
                <w:b/>
                <w:bCs/>
                <w:kern w:val="24"/>
                <w:sz w:val="16"/>
                <w:szCs w:val="16"/>
                <w:vertAlign w:val="superscript"/>
              </w:rPr>
              <w:t>T2FS</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5.11 (2.49,10.47)</w:t>
            </w:r>
          </w:p>
        </w:tc>
        <w:tc>
          <w:tcPr>
            <w:tcW w:w="2636"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4.02 (1.80,8.97)</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r>
    </w:tbl>
    <w:p>
      <w:pPr>
        <w:pStyle w:val="8"/>
        <w:spacing w:beforeAutospacing="0" w:afterAutospacing="0"/>
        <w:jc w:val="both"/>
        <w:rPr>
          <w:rFonts w:ascii="Times New Roman" w:hAnsi="Times New Roman" w:cs="Times New Roman"/>
          <w:color w:val="000000" w:themeColor="text1"/>
          <w:kern w:val="2"/>
          <w:sz w:val="20"/>
          <w:szCs w:val="20"/>
          <w14:textFill>
            <w14:solidFill>
              <w14:schemeClr w14:val="tx1"/>
            </w14:solidFill>
          </w14:textFill>
        </w:rPr>
      </w:pPr>
      <w:r>
        <w:rPr>
          <w:rFonts w:ascii="Times New Roman" w:hAnsi="Times New Roman" w:cs="Times New Roman"/>
          <w:kern w:val="2"/>
          <w:sz w:val="20"/>
          <w:szCs w:val="20"/>
        </w:rPr>
        <w:t xml:space="preserve">Note. </w:t>
      </w:r>
      <w:r>
        <w:rPr>
          <w:rFonts w:ascii="Times New Roman" w:hAnsi="Times New Roman" w:cs="Times New Roman"/>
          <w:color w:val="000000" w:themeColor="text1"/>
          <w:kern w:val="2"/>
          <w:sz w:val="20"/>
          <w:szCs w:val="20"/>
          <w14:textFill>
            <w14:solidFill>
              <w14:schemeClr w14:val="tx1"/>
            </w14:solidFill>
          </w14:textFill>
        </w:rPr>
        <w:t>— ALP = alkaline phosphatase, ALB = albumin, ALT = alanine aminotransferase, AST = aspartate aminotransferase, BMI = Body Mass Index, DBIL = direct bilirubin, GGT = γ-glutamyl transferase, GLB = globulin, Hb = hemoglobin, PLT = platelet count, RBC = red blood cell, TBA = total biliary acid, TBIL = total bilirubin, WBC = white blood cell. T1 delay = fat-suppressed delayed enhanced T1-weighted images; T2FS = fat-suppressed T2-weighted images; R-score, features from VOI</w:t>
      </w:r>
      <w:r>
        <w:rPr>
          <w:rFonts w:ascii="Times New Roman" w:hAnsi="Times New Roman" w:cs="Times New Roman"/>
          <w:color w:val="000000" w:themeColor="text1"/>
          <w:kern w:val="2"/>
          <w:sz w:val="20"/>
          <w:szCs w:val="20"/>
          <w:vertAlign w:val="superscript"/>
          <w14:textFill>
            <w14:solidFill>
              <w14:schemeClr w14:val="tx1"/>
            </w14:solidFill>
          </w14:textFill>
        </w:rPr>
        <w:t>T2FS</w:t>
      </w:r>
      <w:r>
        <w:rPr>
          <w:rFonts w:ascii="Times New Roman" w:hAnsi="Times New Roman" w:cs="Times New Roman"/>
          <w:color w:val="000000" w:themeColor="text1"/>
          <w:kern w:val="2"/>
          <w:sz w:val="20"/>
          <w:szCs w:val="20"/>
          <w14:textFill>
            <w14:solidFill>
              <w14:schemeClr w14:val="tx1"/>
            </w14:solidFill>
          </w14:textFill>
        </w:rPr>
        <w:t xml:space="preserve"> and VOI</w:t>
      </w:r>
      <w:r>
        <w:rPr>
          <w:rFonts w:ascii="Times New Roman" w:hAnsi="Times New Roman" w:cs="Times New Roman"/>
          <w:color w:val="000000" w:themeColor="text1"/>
          <w:kern w:val="2"/>
          <w:sz w:val="20"/>
          <w:szCs w:val="20"/>
          <w:vertAlign w:val="superscript"/>
          <w14:textFill>
            <w14:solidFill>
              <w14:schemeClr w14:val="tx1"/>
            </w14:solidFill>
          </w14:textFill>
        </w:rPr>
        <w:t>T1delay</w:t>
      </w:r>
      <w:r>
        <w:rPr>
          <w:rFonts w:ascii="Times New Roman" w:hAnsi="Times New Roman" w:cs="Times New Roman"/>
          <w:color w:val="000000" w:themeColor="text1"/>
          <w:kern w:val="2"/>
          <w:sz w:val="20"/>
          <w:szCs w:val="20"/>
          <w14:textFill>
            <w14:solidFill>
              <w14:schemeClr w14:val="tx1"/>
            </w14:solidFill>
          </w14:textFill>
        </w:rPr>
        <w:t xml:space="preserve"> were constructed and converted into a probability score.</w:t>
      </w:r>
    </w:p>
    <w:p>
      <w:pPr>
        <w:widowControl/>
        <w:jc w:val="left"/>
        <w:rPr>
          <w:rFonts w:ascii="Times New Roman" w:hAnsi="Times New Roman" w:cs="Times New Roman"/>
          <w:b/>
          <w:bCs/>
          <w:kern w:val="0"/>
          <w:sz w:val="24"/>
        </w:rPr>
      </w:pPr>
      <w:r>
        <w:rPr>
          <w:rFonts w:ascii="Times New Roman" w:hAnsi="Times New Roman" w:cs="Times New Roman"/>
          <w:b/>
          <w:bCs/>
        </w:rPr>
        <w:br w:type="page"/>
      </w:r>
    </w:p>
    <w:p>
      <w:pPr>
        <w:pStyle w:val="8"/>
        <w:spacing w:beforeAutospacing="0" w:afterAutospacing="0"/>
        <w:rPr>
          <w:rFonts w:ascii="Times New Roman" w:hAnsi="Times New Roman" w:cs="Times New Roman"/>
          <w:b/>
          <w:bCs/>
          <w:kern w:val="2"/>
          <w:sz w:val="20"/>
          <w:szCs w:val="20"/>
        </w:rPr>
      </w:pPr>
      <w:r>
        <w:rPr>
          <w:rFonts w:ascii="Times New Roman" w:hAnsi="Times New Roman" w:cs="Times New Roman"/>
          <w:b/>
          <w:bCs/>
          <w:kern w:val="2"/>
          <w:sz w:val="20"/>
          <w:szCs w:val="20"/>
        </w:rPr>
        <w:t>Table E4: Odds ratio (OR) estimated by univariate and multivariate logistic regression analyses for ≥ G2</w:t>
      </w:r>
    </w:p>
    <w:tbl>
      <w:tblPr>
        <w:tblStyle w:val="10"/>
        <w:tblW w:w="13183" w:type="dxa"/>
        <w:tblInd w:w="0" w:type="dxa"/>
        <w:tblLayout w:type="autofit"/>
        <w:tblCellMar>
          <w:top w:w="0" w:type="dxa"/>
          <w:left w:w="0" w:type="dxa"/>
          <w:bottom w:w="0" w:type="dxa"/>
          <w:right w:w="0" w:type="dxa"/>
        </w:tblCellMar>
      </w:tblPr>
      <w:tblGrid>
        <w:gridCol w:w="2636"/>
        <w:gridCol w:w="2637"/>
        <w:gridCol w:w="2636"/>
        <w:gridCol w:w="2637"/>
        <w:gridCol w:w="2637"/>
      </w:tblGrid>
      <w:tr>
        <w:tblPrEx>
          <w:tblCellMar>
            <w:top w:w="0" w:type="dxa"/>
            <w:left w:w="0" w:type="dxa"/>
            <w:bottom w:w="0" w:type="dxa"/>
            <w:right w:w="0" w:type="dxa"/>
          </w:tblCellMar>
        </w:tblPrEx>
        <w:trPr>
          <w:trHeight w:val="453" w:hRule="atLeast"/>
        </w:trPr>
        <w:tc>
          <w:tcPr>
            <w:tcW w:w="2636" w:type="dxa"/>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sz w:val="16"/>
                <w:szCs w:val="16"/>
              </w:rPr>
            </w:pPr>
            <w:r>
              <w:rPr>
                <w:rFonts w:ascii="Times New Roman" w:hAnsi="Times New Roman" w:cs="Times New Roman"/>
                <w:color w:val="000000"/>
                <w:kern w:val="24"/>
                <w:sz w:val="16"/>
                <w:szCs w:val="16"/>
              </w:rPr>
              <w:t> </w:t>
            </w:r>
          </w:p>
        </w:tc>
        <w:tc>
          <w:tcPr>
            <w:tcW w:w="5273" w:type="dxa"/>
            <w:gridSpan w:val="2"/>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color w:val="000000"/>
                <w:kern w:val="24"/>
                <w:sz w:val="16"/>
                <w:szCs w:val="16"/>
              </w:rPr>
              <w:t>Univariate analysis</w:t>
            </w:r>
          </w:p>
        </w:tc>
        <w:tc>
          <w:tcPr>
            <w:tcW w:w="5274" w:type="dxa"/>
            <w:gridSpan w:val="2"/>
            <w:tcBorders>
              <w:top w:val="single" w:color="000000" w:sz="8" w:space="0"/>
              <w:left w:val="nil"/>
              <w:bottom w:val="single" w:color="000000" w:sz="8" w:space="0"/>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color w:val="000000"/>
                <w:kern w:val="24"/>
                <w:sz w:val="16"/>
                <w:szCs w:val="16"/>
              </w:rPr>
              <w:t>Multivariate analysis</w:t>
            </w:r>
          </w:p>
        </w:tc>
      </w:tr>
      <w:tr>
        <w:tblPrEx>
          <w:tblCellMar>
            <w:top w:w="0" w:type="dxa"/>
            <w:left w:w="0" w:type="dxa"/>
            <w:bottom w:w="0" w:type="dxa"/>
            <w:right w:w="0" w:type="dxa"/>
          </w:tblCellMar>
        </w:tblPrEx>
        <w:trPr>
          <w:trHeight w:val="453" w:hRule="atLeast"/>
        </w:trPr>
        <w:tc>
          <w:tcPr>
            <w:tcW w:w="2636"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Variables</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kern w:val="24"/>
                <w:sz w:val="16"/>
                <w:szCs w:val="16"/>
              </w:rPr>
              <w:t>OR (95% CI)</w:t>
            </w:r>
          </w:p>
        </w:tc>
        <w:tc>
          <w:tcPr>
            <w:tcW w:w="2636"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i/>
                <w:iCs/>
                <w:kern w:val="24"/>
                <w:sz w:val="16"/>
                <w:szCs w:val="16"/>
              </w:rPr>
              <w:t xml:space="preserve">P </w:t>
            </w:r>
            <w:r>
              <w:rPr>
                <w:rFonts w:ascii="Times New Roman" w:hAnsi="Times New Roman" w:cs="Times New Roman"/>
                <w:b/>
                <w:bCs/>
                <w:kern w:val="24"/>
                <w:sz w:val="16"/>
                <w:szCs w:val="16"/>
              </w:rPr>
              <w:t>value</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kern w:val="24"/>
                <w:sz w:val="16"/>
                <w:szCs w:val="16"/>
              </w:rPr>
              <w:t>OR (95% CI)</w:t>
            </w:r>
          </w:p>
        </w:tc>
        <w:tc>
          <w:tcPr>
            <w:tcW w:w="2637" w:type="dxa"/>
            <w:tcBorders>
              <w:top w:val="single" w:color="000000" w:sz="8" w:space="0"/>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jc w:val="center"/>
              <w:rPr>
                <w:rFonts w:ascii="Times New Roman" w:hAnsi="Times New Roman" w:cs="Times New Roman"/>
                <w:b/>
                <w:bCs/>
                <w:sz w:val="16"/>
                <w:szCs w:val="16"/>
              </w:rPr>
            </w:pPr>
            <w:r>
              <w:rPr>
                <w:rFonts w:ascii="Times New Roman" w:hAnsi="Times New Roman" w:cs="Times New Roman"/>
                <w:b/>
                <w:bCs/>
                <w:i/>
                <w:iCs/>
                <w:kern w:val="24"/>
                <w:sz w:val="16"/>
                <w:szCs w:val="16"/>
              </w:rPr>
              <w:t xml:space="preserve">P </w:t>
            </w:r>
            <w:r>
              <w:rPr>
                <w:rFonts w:ascii="Times New Roman" w:hAnsi="Times New Roman" w:cs="Times New Roman"/>
                <w:b/>
                <w:bCs/>
                <w:kern w:val="24"/>
                <w:sz w:val="16"/>
                <w:szCs w:val="16"/>
              </w:rPr>
              <w:t>value</w:t>
            </w: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Male</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1.15 (0.74,1.78)</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.531</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BMI (kg/m</w:t>
            </w:r>
            <w:r>
              <w:rPr>
                <w:rFonts w:ascii="Times New Roman" w:hAnsi="Times New Roman" w:cs="Times New Roman"/>
                <w:b/>
                <w:bCs/>
                <w:kern w:val="24"/>
                <w:sz w:val="16"/>
                <w:szCs w:val="16"/>
                <w:vertAlign w:val="superscript"/>
              </w:rPr>
              <w:t>2</w:t>
            </w:r>
            <w:r>
              <w:rPr>
                <w:rFonts w:ascii="Times New Roman" w:hAnsi="Times New Roman" w:cs="Times New Roman"/>
                <w:b/>
                <w:bCs/>
                <w:kern w:val="24"/>
                <w:sz w:val="16"/>
                <w:szCs w:val="16"/>
              </w:rPr>
              <w:t>)</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0.97 (0.91,1.03)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.272</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60" w:type="dxa"/>
              <w:right w:w="60" w:type="dxa"/>
            </w:tcMar>
            <w:vAlign w:val="bottom"/>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Age (year)</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0.99 (0.97,1.01)</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.305</w:t>
            </w: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12" w:type="dxa"/>
              <w:left w:w="60" w:type="dxa"/>
              <w:right w:w="60" w:type="dxa"/>
            </w:tcMar>
            <w:vAlign w:val="bottom"/>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AST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1.06 (1.05,1.08)</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1.05 (1.03,1.06)</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1.03 (1.02,1.03)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GGT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1.03 (1.02,1.04)</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ALP (IU/mL)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1.03 (1.02,1.04)</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1.01 (1.00,1.03)</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.039</w:t>
            </w: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ALB</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0.84 (0.79,0.89)</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0.89 (0.83,0.95)</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.001</w:t>
            </w: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GLB</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1.08 (1.04,1.13)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TBIL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1.07 (1.03,1.10)</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DBIL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1.22 (1.13,1.32)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TBA (ng/mL)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1.09 (1.05,1.13)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1.04 (1.00,1.07)</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.039</w:t>
            </w: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PLT (10^</w:t>
            </w:r>
            <w:r>
              <w:rPr>
                <w:rFonts w:ascii="Times New Roman" w:hAnsi="Times New Roman" w:cs="Times New Roman"/>
                <w:b/>
                <w:bCs/>
                <w:kern w:val="24"/>
                <w:sz w:val="16"/>
                <w:szCs w:val="16"/>
                <w:vertAlign w:val="superscript"/>
              </w:rPr>
              <w:t>9</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0.80 (0.66,0.99)</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.035</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WBC (10^</w:t>
            </w:r>
            <w:r>
              <w:rPr>
                <w:rFonts w:ascii="Times New Roman" w:hAnsi="Times New Roman" w:cs="Times New Roman"/>
                <w:b/>
                <w:bCs/>
                <w:kern w:val="24"/>
                <w:sz w:val="16"/>
                <w:szCs w:val="16"/>
                <w:vertAlign w:val="superscript"/>
              </w:rPr>
              <w:t>9</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0.91 (0.80,1.03)</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.137</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RBC (10^</w:t>
            </w:r>
            <w:r>
              <w:rPr>
                <w:rFonts w:ascii="Times New Roman" w:hAnsi="Times New Roman" w:cs="Times New Roman"/>
                <w:b/>
                <w:bCs/>
                <w:kern w:val="24"/>
                <w:sz w:val="16"/>
                <w:szCs w:val="16"/>
                <w:vertAlign w:val="superscript"/>
              </w:rPr>
              <w:t>12</w:t>
            </w:r>
            <w:r>
              <w:rPr>
                <w:rFonts w:ascii="Times New Roman" w:hAnsi="Times New Roman" w:cs="Times New Roman"/>
                <w:b/>
                <w:bCs/>
                <w:kern w:val="24"/>
                <w:sz w:val="16"/>
                <w:szCs w:val="16"/>
              </w:rPr>
              <w:t>/L)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0.95 (0.83,1.08)</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.408</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Hb (g/L)</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0.99 (0.98,1.01)</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.210</w:t>
            </w: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c>
          <w:tcPr>
            <w:tcW w:w="2637" w:type="dxa"/>
            <w:tcBorders>
              <w:top w:val="nil"/>
              <w:left w:val="nil"/>
              <w:bottom w:val="nil"/>
              <w:right w:val="nil"/>
            </w:tcBorders>
            <w:shd w:val="clear" w:color="auto" w:fill="auto"/>
            <w:tcMar>
              <w:top w:w="72" w:type="dxa"/>
              <w:left w:w="144" w:type="dxa"/>
              <w:bottom w:w="72" w:type="dxa"/>
              <w:right w:w="144" w:type="dxa"/>
            </w:tcMar>
          </w:tcPr>
          <w:p>
            <w:pPr>
              <w:jc w:val="center"/>
              <w:rPr>
                <w:rFonts w:ascii="Times New Roman" w:hAnsi="Times New Roman" w:cs="Times New Roman"/>
                <w:sz w:val="16"/>
                <w:szCs w:val="16"/>
              </w:rPr>
            </w:pPr>
          </w:p>
        </w:tc>
      </w:tr>
      <w:tr>
        <w:tblPrEx>
          <w:tblCellMar>
            <w:top w:w="0" w:type="dxa"/>
            <w:left w:w="0" w:type="dxa"/>
            <w:bottom w:w="0" w:type="dxa"/>
            <w:right w:w="0" w:type="dxa"/>
          </w:tblCellMar>
        </w:tblPrEx>
        <w:trPr>
          <w:trHeight w:val="453" w:hRule="atLeast"/>
        </w:trPr>
        <w:tc>
          <w:tcPr>
            <w:tcW w:w="2636" w:type="dxa"/>
            <w:tcBorders>
              <w:top w:val="nil"/>
              <w:left w:val="nil"/>
              <w:bottom w:val="nil"/>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R-score</w:t>
            </w:r>
            <w:r>
              <w:rPr>
                <w:rFonts w:ascii="Times New Roman" w:hAnsi="Times New Roman" w:cs="Times New Roman"/>
                <w:b/>
                <w:bCs/>
                <w:kern w:val="24"/>
                <w:sz w:val="16"/>
                <w:szCs w:val="16"/>
                <w:vertAlign w:val="superscript"/>
              </w:rPr>
              <w:t>T1delay</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3.79 (2.44,5.92)</w:t>
            </w:r>
          </w:p>
        </w:tc>
        <w:tc>
          <w:tcPr>
            <w:tcW w:w="2636"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3.06 (1.74,5.39)</w:t>
            </w:r>
          </w:p>
        </w:tc>
        <w:tc>
          <w:tcPr>
            <w:tcW w:w="2637" w:type="dxa"/>
            <w:tcBorders>
              <w:top w:val="nil"/>
              <w:left w:val="nil"/>
              <w:bottom w:val="nil"/>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r>
      <w:tr>
        <w:tblPrEx>
          <w:tblCellMar>
            <w:top w:w="0" w:type="dxa"/>
            <w:left w:w="0" w:type="dxa"/>
            <w:bottom w:w="0" w:type="dxa"/>
            <w:right w:w="0" w:type="dxa"/>
          </w:tblCellMar>
        </w:tblPrEx>
        <w:trPr>
          <w:trHeight w:val="21" w:hRule="atLeast"/>
        </w:trPr>
        <w:tc>
          <w:tcPr>
            <w:tcW w:w="2636" w:type="dxa"/>
            <w:tcBorders>
              <w:top w:val="nil"/>
              <w:left w:val="nil"/>
              <w:bottom w:val="single" w:color="000000" w:sz="8" w:space="0"/>
              <w:right w:val="nil"/>
            </w:tcBorders>
            <w:shd w:val="clear" w:color="auto" w:fill="auto"/>
            <w:tcMar>
              <w:top w:w="12" w:type="dxa"/>
              <w:left w:w="108" w:type="dxa"/>
              <w:right w:w="108" w:type="dxa"/>
            </w:tcMar>
          </w:tcPr>
          <w:p>
            <w:pPr>
              <w:pStyle w:val="8"/>
              <w:spacing w:before="60" w:beforeAutospacing="0" w:after="60" w:afterAutospacing="0" w:line="240" w:lineRule="auto"/>
              <w:rPr>
                <w:rFonts w:ascii="Times New Roman" w:hAnsi="Times New Roman" w:cs="Times New Roman"/>
                <w:b/>
                <w:bCs/>
                <w:sz w:val="16"/>
                <w:szCs w:val="16"/>
              </w:rPr>
            </w:pPr>
            <w:r>
              <w:rPr>
                <w:rFonts w:ascii="Times New Roman" w:hAnsi="Times New Roman" w:cs="Times New Roman"/>
                <w:b/>
                <w:bCs/>
                <w:kern w:val="24"/>
                <w:sz w:val="16"/>
                <w:szCs w:val="16"/>
              </w:rPr>
              <w:t>R-score</w:t>
            </w:r>
            <w:r>
              <w:rPr>
                <w:rFonts w:ascii="Times New Roman" w:hAnsi="Times New Roman" w:cs="Times New Roman"/>
                <w:b/>
                <w:bCs/>
                <w:kern w:val="24"/>
                <w:sz w:val="16"/>
                <w:szCs w:val="16"/>
                <w:vertAlign w:val="superscript"/>
              </w:rPr>
              <w:t>T2FS</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7.93 (4.01,15.69)</w:t>
            </w:r>
          </w:p>
        </w:tc>
        <w:tc>
          <w:tcPr>
            <w:tcW w:w="2636"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&lt; .001</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2.84 (1.19,6.74)</w:t>
            </w:r>
          </w:p>
        </w:tc>
        <w:tc>
          <w:tcPr>
            <w:tcW w:w="2637" w:type="dxa"/>
            <w:tcBorders>
              <w:top w:val="nil"/>
              <w:left w:val="nil"/>
              <w:bottom w:val="single" w:color="000000" w:sz="8" w:space="0"/>
              <w:right w:val="nil"/>
            </w:tcBorders>
            <w:shd w:val="clear" w:color="auto" w:fill="auto"/>
            <w:tcMar>
              <w:top w:w="72" w:type="dxa"/>
              <w:left w:w="144" w:type="dxa"/>
              <w:bottom w:w="72" w:type="dxa"/>
              <w:right w:w="144" w:type="dxa"/>
            </w:tcMar>
          </w:tcPr>
          <w:p>
            <w:pPr>
              <w:pStyle w:val="8"/>
              <w:spacing w:before="60" w:beforeAutospacing="0" w:after="60" w:afterAutospacing="0" w:line="240" w:lineRule="auto"/>
              <w:jc w:val="center"/>
              <w:rPr>
                <w:rFonts w:ascii="Times New Roman" w:hAnsi="Times New Roman" w:cs="Times New Roman"/>
                <w:sz w:val="16"/>
                <w:szCs w:val="16"/>
              </w:rPr>
            </w:pPr>
            <w:r>
              <w:rPr>
                <w:rFonts w:ascii="Times New Roman" w:hAnsi="Times New Roman" w:cs="Times New Roman"/>
                <w:kern w:val="24"/>
                <w:sz w:val="16"/>
                <w:szCs w:val="16"/>
              </w:rPr>
              <w:t>.018</w:t>
            </w:r>
          </w:p>
        </w:tc>
      </w:tr>
    </w:tbl>
    <w:p>
      <w:pPr>
        <w:pStyle w:val="8"/>
        <w:spacing w:beforeAutospacing="0" w:afterAutospacing="0"/>
        <w:jc w:val="both"/>
        <w:rPr>
          <w:rFonts w:ascii="Times New Roman" w:hAnsi="Times New Roman" w:cs="Times New Roman"/>
          <w:color w:val="000000" w:themeColor="text1"/>
          <w:kern w:val="2"/>
          <w:sz w:val="20"/>
          <w:szCs w:val="20"/>
          <w14:textFill>
            <w14:solidFill>
              <w14:schemeClr w14:val="tx1"/>
            </w14:solidFill>
          </w14:textFill>
        </w:rPr>
      </w:pPr>
      <w:r>
        <w:rPr>
          <w:rFonts w:ascii="Times New Roman" w:hAnsi="Times New Roman" w:cs="Times New Roman"/>
          <w:kern w:val="2"/>
          <w:sz w:val="20"/>
          <w:szCs w:val="20"/>
        </w:rPr>
        <w:t xml:space="preserve">Note. </w:t>
      </w:r>
      <w:r>
        <w:rPr>
          <w:rFonts w:ascii="Times New Roman" w:hAnsi="Times New Roman" w:cs="Times New Roman"/>
          <w:color w:val="000000" w:themeColor="text1"/>
          <w:kern w:val="2"/>
          <w:sz w:val="20"/>
          <w:szCs w:val="20"/>
          <w14:textFill>
            <w14:solidFill>
              <w14:schemeClr w14:val="tx1"/>
            </w14:solidFill>
          </w14:textFill>
        </w:rPr>
        <w:t>— ALP = alkaline phosphatase, ALB = albumin, ALT = alanine aminotransferase, AST = aspartate aminotransferase, BMI = Body Mass Index, DBIL = direct bilirubin, GGT = γ-glutamyl transferase, GLB = globulin, Hb = hemoglobin, PLT = platelet count, RBC = red blood cell, TBA = total biliary acid, TBIL = total bilirubin, WBC = white blood cell.</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color w:val="000000" w:themeColor="text1"/>
          <w:kern w:val="2"/>
          <w:sz w:val="20"/>
          <w:szCs w:val="20"/>
          <w14:textFill>
            <w14:solidFill>
              <w14:schemeClr w14:val="tx1"/>
            </w14:solidFill>
          </w14:textFill>
        </w:rPr>
        <w:t>T1 delay = fat-suppressed delayed enhanced T1-weighted images; T2FS = fat-suppressed T2-weighted images; R-score, features from VOI</w:t>
      </w:r>
      <w:r>
        <w:rPr>
          <w:rFonts w:ascii="Times New Roman" w:hAnsi="Times New Roman" w:cs="Times New Roman"/>
          <w:color w:val="000000" w:themeColor="text1"/>
          <w:kern w:val="2"/>
          <w:sz w:val="20"/>
          <w:szCs w:val="20"/>
          <w:vertAlign w:val="superscript"/>
          <w14:textFill>
            <w14:solidFill>
              <w14:schemeClr w14:val="tx1"/>
            </w14:solidFill>
          </w14:textFill>
        </w:rPr>
        <w:t>T2FS</w:t>
      </w:r>
      <w:r>
        <w:rPr>
          <w:rFonts w:ascii="Times New Roman" w:hAnsi="Times New Roman" w:cs="Times New Roman"/>
          <w:color w:val="000000" w:themeColor="text1"/>
          <w:kern w:val="2"/>
          <w:sz w:val="20"/>
          <w:szCs w:val="20"/>
          <w14:textFill>
            <w14:solidFill>
              <w14:schemeClr w14:val="tx1"/>
            </w14:solidFill>
          </w14:textFill>
        </w:rPr>
        <w:t xml:space="preserve"> and VOI</w:t>
      </w:r>
      <w:r>
        <w:rPr>
          <w:rFonts w:ascii="Times New Roman" w:hAnsi="Times New Roman" w:cs="Times New Roman"/>
          <w:color w:val="000000" w:themeColor="text1"/>
          <w:kern w:val="2"/>
          <w:sz w:val="20"/>
          <w:szCs w:val="20"/>
          <w:vertAlign w:val="superscript"/>
          <w14:textFill>
            <w14:solidFill>
              <w14:schemeClr w14:val="tx1"/>
            </w14:solidFill>
          </w14:textFill>
        </w:rPr>
        <w:t>T1delay</w:t>
      </w:r>
      <w:r>
        <w:rPr>
          <w:rFonts w:ascii="Times New Roman" w:hAnsi="Times New Roman" w:cs="Times New Roman"/>
          <w:color w:val="000000" w:themeColor="text1"/>
          <w:kern w:val="2"/>
          <w:sz w:val="20"/>
          <w:szCs w:val="20"/>
          <w14:textFill>
            <w14:solidFill>
              <w14:schemeClr w14:val="tx1"/>
            </w14:solidFill>
          </w14:textFill>
        </w:rPr>
        <w:t xml:space="preserve"> were constructed and converted into a probability score. </w:t>
      </w:r>
    </w:p>
    <w:p>
      <w:pP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rPr>
          <w:rFonts w:ascii="Times New Roman" w:hAnsi="Times New Roman" w:cs="Times New Roman"/>
          <w:b/>
          <w:bCs/>
          <w:sz w:val="20"/>
          <w:szCs w:val="20"/>
        </w:rPr>
      </w:pPr>
      <w:r>
        <w:rPr>
          <w:rFonts w:ascii="Times New Roman" w:hAnsi="Times New Roman" w:cs="Times New Roman"/>
          <w:b/>
          <w:bCs/>
          <w:sz w:val="20"/>
          <w:szCs w:val="20"/>
        </w:rPr>
        <w:t xml:space="preserve">Table E5: Selected features from </w:t>
      </w:r>
      <w:r>
        <w:rPr>
          <w:rFonts w:ascii="Times New Roman" w:hAnsi="Times New Roman" w:cs="Times New Roman"/>
          <w:b/>
          <w:bCs/>
          <w:color w:val="000000" w:themeColor="text1"/>
          <w:sz w:val="20"/>
          <w:szCs w:val="20"/>
          <w14:textFill>
            <w14:solidFill>
              <w14:schemeClr w14:val="tx1"/>
            </w14:solidFill>
          </w14:textFill>
        </w:rPr>
        <w:t>VOI</w:t>
      </w:r>
      <w:r>
        <w:rPr>
          <w:rFonts w:ascii="Times New Roman" w:hAnsi="Times New Roman" w:cs="Times New Roman"/>
          <w:b/>
          <w:bCs/>
          <w:color w:val="000000" w:themeColor="text1"/>
          <w:sz w:val="20"/>
          <w:szCs w:val="20"/>
          <w:vertAlign w:val="superscript"/>
          <w14:textFill>
            <w14:solidFill>
              <w14:schemeClr w14:val="tx1"/>
            </w14:solidFill>
          </w14:textFill>
        </w:rPr>
        <w:t>T2FS</w:t>
      </w:r>
      <w:r>
        <w:rPr>
          <w:rFonts w:ascii="Times New Roman" w:hAnsi="Times New Roman" w:cs="Times New Roman"/>
          <w:b/>
          <w:bCs/>
          <w:color w:val="000000" w:themeColor="text1"/>
          <w:sz w:val="20"/>
          <w:szCs w:val="20"/>
          <w14:textFill>
            <w14:solidFill>
              <w14:schemeClr w14:val="tx1"/>
            </w14:solidFill>
          </w14:textFill>
        </w:rPr>
        <w:t xml:space="preserve"> and VOI</w:t>
      </w:r>
      <w:r>
        <w:rPr>
          <w:rFonts w:ascii="Times New Roman" w:hAnsi="Times New Roman" w:cs="Times New Roman"/>
          <w:b/>
          <w:bCs/>
          <w:color w:val="000000" w:themeColor="text1"/>
          <w:sz w:val="20"/>
          <w:szCs w:val="20"/>
          <w:vertAlign w:val="superscript"/>
          <w14:textFill>
            <w14:solidFill>
              <w14:schemeClr w14:val="tx1"/>
            </w14:solidFill>
          </w14:textFill>
        </w:rPr>
        <w:t>T1delay</w:t>
      </w:r>
      <w:r>
        <w:rPr>
          <w:rFonts w:ascii="Times New Roman" w:hAnsi="Times New Roman" w:cs="Times New Roman"/>
          <w:b/>
          <w:bCs/>
          <w:sz w:val="20"/>
          <w:szCs w:val="20"/>
        </w:rPr>
        <w:t xml:space="preserve"> and the coefficients from l</w:t>
      </w:r>
      <w:r>
        <w:rPr>
          <w:rFonts w:ascii="Times New Roman" w:hAnsi="Times New Roman" w:cs="Times New Roman"/>
          <w:b/>
          <w:bCs/>
          <w:color w:val="000000" w:themeColor="text1"/>
          <w:sz w:val="20"/>
          <w:szCs w:val="20"/>
          <w14:textFill>
            <w14:solidFill>
              <w14:schemeClr w14:val="tx1"/>
            </w14:solidFill>
          </w14:textFill>
        </w:rPr>
        <w:t>ogistic regression</w:t>
      </w:r>
    </w:p>
    <w:tbl>
      <w:tblPr>
        <w:tblStyle w:val="11"/>
        <w:tblW w:w="1318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4536"/>
        <w:gridCol w:w="1276"/>
        <w:gridCol w:w="482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34" w:type="dxa"/>
            <w:noWrap/>
          </w:tcPr>
          <w:p>
            <w:pPr>
              <w:pStyle w:val="8"/>
              <w:rPr>
                <w:rFonts w:ascii="Times New Roman" w:hAnsi="Times New Roman" w:cs="Times New Roman"/>
                <w:b/>
                <w:bCs/>
                <w:color w:val="000000"/>
                <w:sz w:val="16"/>
                <w:szCs w:val="16"/>
              </w:rPr>
            </w:pPr>
          </w:p>
        </w:tc>
        <w:tc>
          <w:tcPr>
            <w:tcW w:w="5812" w:type="dxa"/>
            <w:gridSpan w:val="2"/>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 F2</w:t>
            </w:r>
          </w:p>
        </w:tc>
        <w:tc>
          <w:tcPr>
            <w:tcW w:w="6237" w:type="dxa"/>
            <w:gridSpan w:val="2"/>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 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34" w:type="dxa"/>
            <w:noWrap/>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T2FS </w:t>
            </w:r>
          </w:p>
        </w:tc>
        <w:tc>
          <w:tcPr>
            <w:tcW w:w="4536" w:type="dxa"/>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Selected features</w:t>
            </w:r>
          </w:p>
        </w:tc>
        <w:tc>
          <w:tcPr>
            <w:tcW w:w="1276" w:type="dxa"/>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Coefficients</w:t>
            </w:r>
          </w:p>
        </w:tc>
        <w:tc>
          <w:tcPr>
            <w:tcW w:w="4820" w:type="dxa"/>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Selected features</w:t>
            </w:r>
          </w:p>
        </w:tc>
        <w:tc>
          <w:tcPr>
            <w:tcW w:w="1417" w:type="dxa"/>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Coefficients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4536" w:type="dxa"/>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original_firstorder_Robust Mean Absolute Deviation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-0.300388887</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original_shape_SurfaceVolumeRatio</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3.142123494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original_glcm_Correlation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0.255791047</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log-sigma-3-0-mm-3D_glcm_ClusterShade</w:t>
            </w:r>
          </w:p>
        </w:tc>
        <w:tc>
          <w:tcPr>
            <w:tcW w:w="1417" w:type="dxa"/>
          </w:tcPr>
          <w:p>
            <w:pPr>
              <w:widowControl/>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10.01748283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log-sigma-3-0-mm-3D_glszm_ZoneEntropy</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0.461581437</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log-sigma-3-0-mm-3D_glcm_Correlation</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1.903323965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log-sigma-5-0-mm-3D_glcm_Imc2</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-0.165837112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log-sigma-3-0-mm-3D_glcm_Imc1</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2.112458298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wavelet-LLH_firstorder_Variance</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-0.575145285</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log-sigma-3-0-mm-3D_glcm_Imc2</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1.953141868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wavelet-LLH_glcm_Contrast</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-0.045487754</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log-sigma-3-0-mm-3D_gldm_DependenceNonUniformity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4.083567194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wavelet-LLH_glcm_DifferenceVariance</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0.062340954</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log-sigma-5-0-mm-3D_glcm_Correlation</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3.422051148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wavelet-LHH_firstorder_Mean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-0.308754712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log-sigma-5-0-mm-3D_glcm_Imc2</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0.040933322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wavelet-LHH_firstorder_RootMeanSquared</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0.04767982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log-sigma-5-0-mm-3D_gldm_DependenceEntropy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4.194520629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wavelet-HHL_glcm_Correlation</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0.241220539</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wavelet-LLH_gldm_DependenceNonUniformity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-3.450148802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wavelet-LLL_glcm_Autocorrelation</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0.270028121</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wavelet-LHH_glrlm_RunLengthNonUniformity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3.095124233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wavelet-LLL_glcm_Imc1</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-0.507501206</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wavelet-LHH_glszm_GrayLevelNonUniformity</w:t>
            </w:r>
          </w:p>
        </w:tc>
        <w:tc>
          <w:tcPr>
            <w:tcW w:w="1417" w:type="dxa"/>
          </w:tcPr>
          <w:p>
            <w:pPr>
              <w:widowControl/>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-0.271080102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wavelet-LLL_glcm_Imc2</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0.111678294</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wavelet-LHH_gldm_DependenceNonUniformity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-3.274377461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14</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wavelet-LLL_glszm_ZoneEntropy</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-0.131964262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wavelet-HLH_gldm_DependenceNonUniformity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1.684942815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wavelet-LLL_gldm_SmallDependenceHighGrayLevelEmphasis</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0.195456199</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wavelet-HHH_gldm_DependenceNonUniformity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-3.30260585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6946" w:type="dxa"/>
            <w:gridSpan w:val="3"/>
            <w:noWrap/>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Intercept: -0.002992537</w:t>
            </w:r>
          </w:p>
        </w:tc>
        <w:tc>
          <w:tcPr>
            <w:tcW w:w="6237" w:type="dxa"/>
            <w:gridSpan w:val="2"/>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Intercept: -0.018330132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T1 delay </w:t>
            </w:r>
          </w:p>
        </w:tc>
        <w:tc>
          <w:tcPr>
            <w:tcW w:w="10632" w:type="dxa"/>
            <w:gridSpan w:val="3"/>
          </w:tcPr>
          <w:p>
            <w:pPr>
              <w:pStyle w:val="8"/>
              <w:jc w:val="both"/>
              <w:rPr>
                <w:rFonts w:ascii="Times New Roman" w:hAnsi="Times New Roman" w:cs="Times New Roman"/>
                <w:color w:val="000000"/>
                <w:sz w:val="16"/>
                <w:szCs w:val="16"/>
              </w:rPr>
            </w:pPr>
          </w:p>
        </w:tc>
        <w:tc>
          <w:tcPr>
            <w:tcW w:w="1417" w:type="dxa"/>
          </w:tcPr>
          <w:p>
            <w:pPr>
              <w:pStyle w:val="8"/>
              <w:jc w:val="both"/>
              <w:rPr>
                <w:rFonts w:ascii="Times New Roman" w:hAnsi="Times New Roman"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original_firstorder_RootMeanSquared</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-4.948704507</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original_firstorder_Maximum</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-4.846384854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original_gldm_DependenceEntropy</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-12.77427952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log-sigma-5-0-mm-3D_glcm_Imc1</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-8.230915742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log-sigma-3-0-mm-3D_gldm_DependenceEntropy</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-0.724050859</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log-sigma-5-0-mm-3D_glcm_Imc2</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1.397995022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wavelet-LHL_firstorder_Median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-0.295137838</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log-sigma-5-0-mm-3D_glszm_GrayLevelNonUniformity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0.759609007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wavelet-LHL_firstorder_Minimum</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-0.281749281</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wavelet-LLH_glszm_ZoneEntropy</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-3.347399866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wavelet-LHL_glcm_Autocorrelation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-0.334571273</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wavelet-LHL_firstorder_Median</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-7.296900289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wavelet-LHL_gldm_LargeDependenceHighGrayLevelEmphasis</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0.158351565</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waveletLHL_firstorder_RootMeanSquared</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-0.161713839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8</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wavelet-LHL_gldm_SmallDependenceHighGrayLevelEmphasis</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-0.262748754</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WaveletHLL_glszm_LargeAreaHighGrayLevelEmphasis</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-7.632401358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wavelet-HLL_firstorder_Maximum</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-1.309742002</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wavelet-HHH_firstorder_Mean</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4.82010045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wavelet-HLL_firstorder_Median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-0.693874488</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wavelet-HHH_firstorder_Skewness</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-0.350199939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11</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wavelet-HLL_firstorder_Range</w:t>
            </w:r>
          </w:p>
        </w:tc>
        <w:tc>
          <w:tcPr>
            <w:tcW w:w="1276" w:type="dxa"/>
            <w:vAlign w:val="center"/>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1.266625889</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waveletHHH_gldm_LargeDependenceHighGrayLevelEmphasis</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-5.201614318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12</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wavelet-HLL_glcm_Idmn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-1.283786907</w:t>
            </w:r>
          </w:p>
        </w:tc>
        <w:tc>
          <w:tcPr>
            <w:tcW w:w="4820"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wavelet-LLL_glcm_Imc1</w:t>
            </w:r>
          </w:p>
        </w:tc>
        <w:tc>
          <w:tcPr>
            <w:tcW w:w="1417"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-1.840832208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1134" w:type="dxa"/>
            <w:noWrap/>
          </w:tcPr>
          <w:p>
            <w:pPr>
              <w:pStyle w:val="8"/>
              <w:rPr>
                <w:rFonts w:ascii="Times New Roman" w:hAnsi="Times New Roman" w:cs="Times New Roman"/>
                <w:color w:val="000000"/>
                <w:sz w:val="16"/>
                <w:szCs w:val="16"/>
              </w:rPr>
            </w:pPr>
            <w:r>
              <w:rPr>
                <w:rFonts w:ascii="Times New Roman" w:hAnsi="Times New Roman" w:cs="Times New Roman"/>
                <w:color w:val="000000"/>
                <w:sz w:val="16"/>
                <w:szCs w:val="16"/>
              </w:rPr>
              <w:t>13</w:t>
            </w:r>
          </w:p>
        </w:tc>
        <w:tc>
          <w:tcPr>
            <w:tcW w:w="453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wavelet-HLL_glcm_Idn</w:t>
            </w:r>
          </w:p>
        </w:tc>
        <w:tc>
          <w:tcPr>
            <w:tcW w:w="1276" w:type="dxa"/>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1.085708185</w:t>
            </w:r>
          </w:p>
        </w:tc>
        <w:tc>
          <w:tcPr>
            <w:tcW w:w="6237" w:type="dxa"/>
            <w:gridSpan w:val="2"/>
          </w:tcPr>
          <w:p>
            <w:pPr>
              <w:pStyle w:val="8"/>
              <w:jc w:val="both"/>
              <w:rPr>
                <w:rFonts w:ascii="Times New Roman" w:hAnsi="Times New Roman" w:cs="Times New Roman"/>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6946" w:type="dxa"/>
            <w:gridSpan w:val="3"/>
            <w:noWrap/>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Intercept:0.037673253</w:t>
            </w:r>
          </w:p>
        </w:tc>
        <w:tc>
          <w:tcPr>
            <w:tcW w:w="6237" w:type="dxa"/>
            <w:gridSpan w:val="2"/>
          </w:tcPr>
          <w:p>
            <w:pPr>
              <w:pStyle w:val="8"/>
              <w:jc w:val="both"/>
              <w:rPr>
                <w:rFonts w:ascii="Times New Roman" w:hAnsi="Times New Roman" w:cs="Times New Roman"/>
                <w:color w:val="000000"/>
                <w:sz w:val="16"/>
                <w:szCs w:val="16"/>
              </w:rPr>
            </w:pPr>
            <w:r>
              <w:rPr>
                <w:rFonts w:ascii="Times New Roman" w:hAnsi="Times New Roman" w:cs="Times New Roman"/>
                <w:color w:val="000000"/>
                <w:sz w:val="16"/>
                <w:szCs w:val="16"/>
              </w:rPr>
              <w:t>Intercept: -0.013936128</w:t>
            </w:r>
          </w:p>
        </w:tc>
      </w:tr>
    </w:tbl>
    <w:p>
      <w:pPr>
        <w:tabs>
          <w:tab w:val="left" w:pos="1184"/>
        </w:tabs>
        <w:rPr>
          <w:rFonts w:ascii="Times New Roman" w:hAnsi="Times New Roman" w:eastAsia="宋体" w:cs="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sz w:val="20"/>
          <w:szCs w:val="20"/>
          <w14:textFill>
            <w14:solidFill>
              <w14:schemeClr w14:val="tx1"/>
            </w14:solidFill>
          </w14:textFill>
        </w:rPr>
        <w:t>Note. — GLCM = gray Level Co-occurrence Matrix; GLRLM = Gray Level Run Length Matrix; GLDM = Gray Level Dependence Matrix; GLSZM = Gray Level Size Zone Matrix; T1 delay = fat-suppressed delayed enhanced T1-weighted images; T2FS = fat-suppressed T2-weighted images; VOI = volume of interest.</w:t>
      </w:r>
    </w:p>
    <w:p>
      <w:pPr>
        <w:rPr>
          <w:rFonts w:ascii="Times New Roman" w:hAnsi="Times New Roman" w:cs="Times New Roman"/>
        </w:rPr>
        <w:sectPr>
          <w:pgSz w:w="16838" w:h="23811"/>
          <w:pgMar w:top="1440" w:right="1800" w:bottom="1440" w:left="1800" w:header="851" w:footer="992" w:gutter="0"/>
          <w:cols w:space="425" w:num="1"/>
          <w:docGrid w:type="lines" w:linePitch="312" w:charSpace="0"/>
        </w:sectPr>
      </w:pPr>
      <w:r>
        <w:rPr>
          <w:rFonts w:ascii="Times New Roman" w:hAnsi="Times New Roman" w:eastAsia="宋体" w:cs="Times New Roman"/>
          <w:color w:val="000000" w:themeColor="text1"/>
          <w:sz w:val="24"/>
          <w:szCs w:val="24"/>
          <w14:textFill>
            <w14:solidFill>
              <w14:schemeClr w14:val="tx1"/>
            </w14:solidFill>
          </w14:textFill>
        </w:rPr>
        <w:br w:type="page"/>
      </w:r>
    </w:p>
    <w:p>
      <w:pPr>
        <w:rPr>
          <w:rFonts w:ascii="Times New Roman" w:hAnsi="Times New Roman" w:cs="Times New Roman"/>
          <w:color w:val="000000"/>
          <w:spacing w:val="5"/>
          <w:kern w:val="0"/>
          <w:sz w:val="24"/>
          <w:shd w:val="clear" w:color="auto" w:fill="FFFFFF"/>
        </w:rPr>
      </w:pPr>
      <w:r>
        <w:rPr>
          <w:rFonts w:ascii="Times New Roman" w:hAnsi="Times New Roman" w:cs="Times New Roman"/>
        </w:rPr>
        <w:drawing>
          <wp:inline distT="0" distB="0" distL="0" distR="0">
            <wp:extent cx="6986905" cy="5102860"/>
            <wp:effectExtent l="0" t="0" r="444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007777" cy="5118067"/>
                    </a:xfrm>
                    <a:prstGeom prst="rect">
                      <a:avLst/>
                    </a:prstGeom>
                    <a:noFill/>
                    <a:ln>
                      <a:noFill/>
                    </a:ln>
                  </pic:spPr>
                </pic:pic>
              </a:graphicData>
            </a:graphic>
          </wp:inline>
        </w:drawing>
      </w:r>
    </w:p>
    <w:p>
      <w:pPr>
        <w:spacing w:line="240" w:lineRule="auto"/>
        <w:rPr>
          <w:rFonts w:hint="eastAsia" w:ascii="Times New Roman" w:hAnsi="Times New Roman" w:cs="Times New Roman"/>
          <w:sz w:val="20"/>
          <w:szCs w:val="20"/>
        </w:rPr>
      </w:pPr>
      <w:r>
        <w:rPr>
          <w:rFonts w:ascii="Times New Roman" w:hAnsi="Times New Roman" w:cs="Times New Roman"/>
          <w:b/>
          <w:bCs/>
          <w:sz w:val="20"/>
          <w:szCs w:val="20"/>
        </w:rPr>
        <w:t xml:space="preserve">Figure E1. </w:t>
      </w:r>
      <w:r>
        <w:rPr>
          <w:rFonts w:ascii="Times New Roman" w:hAnsi="Times New Roman" w:cs="Times New Roman"/>
          <w:sz w:val="20"/>
          <w:szCs w:val="20"/>
        </w:rPr>
        <w:t xml:space="preserve">Radiomics model </w:t>
      </w:r>
      <w:r>
        <w:rPr>
          <w:rFonts w:ascii="Times New Roman" w:hAnsi="Times New Roman" w:eastAsia="宋体" w:cs="Times New Roman"/>
          <w:b/>
          <w:bCs/>
          <w:sz w:val="20"/>
          <w:szCs w:val="20"/>
        </w:rPr>
        <w:t>(A)</w:t>
      </w:r>
      <w:r>
        <w:rPr>
          <w:rFonts w:ascii="Times New Roman" w:hAnsi="Times New Roman" w:cs="Times New Roman"/>
          <w:sz w:val="20"/>
          <w:szCs w:val="20"/>
        </w:rPr>
        <w:t xml:space="preserve">, CoRC model </w:t>
      </w:r>
      <w:r>
        <w:rPr>
          <w:rFonts w:ascii="Times New Roman" w:hAnsi="Times New Roman" w:eastAsia="宋体" w:cs="Times New Roman"/>
          <w:b/>
          <w:bCs/>
          <w:sz w:val="20"/>
          <w:szCs w:val="20"/>
        </w:rPr>
        <w:t>(B)</w:t>
      </w:r>
      <w:r>
        <w:rPr>
          <w:rFonts w:ascii="Times New Roman" w:hAnsi="Times New Roman" w:cs="Times New Roman"/>
          <w:sz w:val="20"/>
          <w:szCs w:val="20"/>
        </w:rPr>
        <w:t xml:space="preserve"> for ≥ F2 in primary training and internal test cohort. </w:t>
      </w:r>
      <w:r>
        <w:rPr>
          <w:rFonts w:ascii="Times New Roman" w:hAnsi="Times New Roman" w:cs="Times New Roman"/>
          <w:color w:val="000000" w:themeColor="text1"/>
          <w:sz w:val="20"/>
          <w:szCs w:val="20"/>
          <w14:textFill>
            <w14:solidFill>
              <w14:schemeClr w14:val="tx1"/>
            </w14:solidFill>
          </w14:textFill>
        </w:rPr>
        <w:t xml:space="preserve">The equation of </w:t>
      </w:r>
      <w:r>
        <w:rPr>
          <w:rFonts w:ascii="Times New Roman" w:hAnsi="Times New Roman" w:cs="Times New Roman"/>
          <w:sz w:val="20"/>
          <w:szCs w:val="20"/>
        </w:rPr>
        <w:t>CoRC model</w:t>
      </w:r>
      <w:r>
        <w:rPr>
          <w:rFonts w:ascii="Times New Roman" w:hAnsi="Times New Roman" w:cs="Times New Roman"/>
          <w:color w:val="000000" w:themeColor="text1"/>
          <w:sz w:val="20"/>
          <w:szCs w:val="20"/>
          <w14:textFill>
            <w14:solidFill>
              <w14:schemeClr w14:val="tx1"/>
            </w14:solidFill>
          </w14:textFill>
        </w:rPr>
        <w:t xml:space="preserve"> 1 was as follows: Z=-3.33+3.52×R-score</w:t>
      </w:r>
      <w:r>
        <w:rPr>
          <w:rFonts w:ascii="Times New Roman" w:hAnsi="Times New Roman" w:cs="Times New Roman"/>
          <w:color w:val="000000" w:themeColor="text1"/>
          <w:sz w:val="20"/>
          <w:szCs w:val="20"/>
          <w:vertAlign w:val="superscript"/>
          <w14:textFill>
            <w14:solidFill>
              <w14:schemeClr w14:val="tx1"/>
            </w14:solidFill>
          </w14:textFill>
        </w:rPr>
        <w:t>T1delay</w:t>
      </w:r>
      <w:r>
        <w:rPr>
          <w:rFonts w:ascii="Times New Roman" w:hAnsi="Times New Roman" w:cs="Times New Roman"/>
          <w:color w:val="000000" w:themeColor="text1"/>
          <w:sz w:val="20"/>
          <w:szCs w:val="20"/>
          <w14:textFill>
            <w14:solidFill>
              <w14:schemeClr w14:val="tx1"/>
            </w14:solidFill>
          </w14:textFill>
        </w:rPr>
        <w:t xml:space="preserve"> +3.31×R-score</w:t>
      </w:r>
      <w:r>
        <w:rPr>
          <w:rFonts w:ascii="Times New Roman" w:hAnsi="Times New Roman" w:cs="Times New Roman"/>
          <w:color w:val="000000" w:themeColor="text1"/>
          <w:sz w:val="20"/>
          <w:szCs w:val="20"/>
          <w:vertAlign w:val="superscript"/>
          <w14:textFill>
            <w14:solidFill>
              <w14:schemeClr w14:val="tx1"/>
            </w14:solidFill>
          </w14:textFill>
        </w:rPr>
        <w:t>T2FS</w:t>
      </w:r>
      <w:r>
        <w:rPr>
          <w:rFonts w:ascii="Times New Roman" w:hAnsi="Times New Roman" w:cs="Times New Roman"/>
          <w:color w:val="000000" w:themeColor="text1"/>
          <w:sz w:val="20"/>
          <w:szCs w:val="20"/>
          <w14:textFill>
            <w14:solidFill>
              <w14:schemeClr w14:val="tx1"/>
            </w14:solidFill>
          </w14:textFill>
        </w:rPr>
        <w:t>-0.29×ALB+0.54×GGT-0.37×PLT (e</w:t>
      </w:r>
      <w:r>
        <w:rPr>
          <w:rFonts w:ascii="Times New Roman" w:hAnsi="Times New Roman" w:cs="Times New Roman"/>
          <w:color w:val="000000" w:themeColor="text1"/>
          <w:sz w:val="20"/>
          <w:szCs w:val="20"/>
          <w:vertAlign w:val="superscript"/>
          <w14:textFill>
            <w14:solidFill>
              <w14:schemeClr w14:val="tx1"/>
            </w14:solidFill>
          </w14:textFill>
        </w:rPr>
        <w:t xml:space="preserve">z </w:t>
      </w:r>
      <w:r>
        <w:rPr>
          <w:rFonts w:ascii="Times New Roman" w:hAnsi="Times New Roman" w:cs="Times New Roman"/>
          <w:color w:val="000000" w:themeColor="text1"/>
          <w:sz w:val="20"/>
          <w:szCs w:val="20"/>
          <w14:textFill>
            <w14:solidFill>
              <w14:schemeClr w14:val="tx1"/>
            </w14:solidFill>
          </w14:textFill>
        </w:rPr>
        <w:t>is the exponential function, Z is the exponent, CoRC R-score = e</w:t>
      </w:r>
      <w:r>
        <w:rPr>
          <w:rFonts w:ascii="Times New Roman" w:hAnsi="Times New Roman" w:cs="Times New Roman"/>
          <w:color w:val="000000" w:themeColor="text1"/>
          <w:sz w:val="20"/>
          <w:szCs w:val="20"/>
          <w:vertAlign w:val="superscript"/>
          <w14:textFill>
            <w14:solidFill>
              <w14:schemeClr w14:val="tx1"/>
            </w14:solidFill>
          </w14:textFill>
        </w:rPr>
        <w:t>z</w:t>
      </w:r>
      <w:r>
        <w:rPr>
          <w:rFonts w:ascii="Times New Roman" w:hAnsi="Times New Roman" w:cs="Times New Roman"/>
          <w:color w:val="000000" w:themeColor="text1"/>
          <w:sz w:val="20"/>
          <w:szCs w:val="20"/>
          <w14:textFill>
            <w14:solidFill>
              <w14:schemeClr w14:val="tx1"/>
            </w14:solidFill>
          </w14:textFill>
        </w:rPr>
        <w:t>/(e</w:t>
      </w:r>
      <w:r>
        <w:rPr>
          <w:rFonts w:ascii="Times New Roman" w:hAnsi="Times New Roman" w:cs="Times New Roman"/>
          <w:color w:val="000000" w:themeColor="text1"/>
          <w:sz w:val="20"/>
          <w:szCs w:val="20"/>
          <w:vertAlign w:val="superscript"/>
          <w14:textFill>
            <w14:solidFill>
              <w14:schemeClr w14:val="tx1"/>
            </w14:solidFill>
          </w14:textFill>
        </w:rPr>
        <w:t>z</w:t>
      </w:r>
      <w:r>
        <w:rPr>
          <w:rFonts w:ascii="Times New Roman" w:hAnsi="Times New Roman" w:cs="Times New Roman"/>
          <w:color w:val="000000" w:themeColor="text1"/>
          <w:sz w:val="20"/>
          <w:szCs w:val="20"/>
          <w14:textFill>
            <w14:solidFill>
              <w14:schemeClr w14:val="tx1"/>
            </w14:solidFill>
          </w14:textFill>
        </w:rPr>
        <w:t>+1); Coefficients were derived from logistic regression)</w:t>
      </w:r>
      <w:r>
        <w:rPr>
          <w:rFonts w:ascii="Times New Roman" w:hAnsi="Times New Roman" w:cs="Times New Roman"/>
          <w:sz w:val="20"/>
          <w:szCs w:val="20"/>
        </w:rPr>
        <w:t>.</w:t>
      </w:r>
      <w:r>
        <w:rPr>
          <w:rFonts w:ascii="Times New Roman" w:hAnsi="Times New Roman" w:eastAsia="宋体" w:cs="Times New Roman"/>
          <w:b/>
          <w:bCs/>
          <w:sz w:val="20"/>
          <w:szCs w:val="20"/>
        </w:rPr>
        <w:t xml:space="preserve"> </w:t>
      </w:r>
      <w:r>
        <w:rPr>
          <w:rFonts w:ascii="Times New Roman" w:hAnsi="Times New Roman" w:cs="Times New Roman"/>
          <w:sz w:val="20"/>
          <w:szCs w:val="20"/>
        </w:rPr>
        <w:t xml:space="preserve">Radiomics model </w:t>
      </w:r>
      <w:r>
        <w:rPr>
          <w:rFonts w:ascii="Times New Roman" w:hAnsi="Times New Roman" w:eastAsia="宋体" w:cs="Times New Roman"/>
          <w:b/>
          <w:bCs/>
          <w:sz w:val="20"/>
          <w:szCs w:val="20"/>
        </w:rPr>
        <w:t>(C)</w:t>
      </w:r>
      <w:r>
        <w:rPr>
          <w:rFonts w:ascii="Times New Roman" w:hAnsi="Times New Roman" w:cs="Times New Roman"/>
          <w:sz w:val="20"/>
          <w:szCs w:val="20"/>
        </w:rPr>
        <w:t>, CoRC model</w:t>
      </w:r>
      <w:r>
        <w:rPr>
          <w:rFonts w:ascii="Times New Roman" w:hAnsi="Times New Roman" w:eastAsia="宋体" w:cs="Times New Roman"/>
          <w:b/>
          <w:bCs/>
          <w:sz w:val="20"/>
          <w:szCs w:val="20"/>
        </w:rPr>
        <w:t xml:space="preserve"> (D) </w:t>
      </w:r>
      <w:r>
        <w:rPr>
          <w:rFonts w:ascii="Times New Roman" w:hAnsi="Times New Roman" w:cs="Times New Roman"/>
          <w:sz w:val="20"/>
          <w:szCs w:val="20"/>
        </w:rPr>
        <w:t xml:space="preserve">for ≥ G2 in primary training and internal test cohort. </w:t>
      </w:r>
      <w:r>
        <w:rPr>
          <w:rFonts w:ascii="Times New Roman" w:hAnsi="Times New Roman" w:cs="Times New Roman"/>
          <w:color w:val="000000" w:themeColor="text1"/>
          <w:sz w:val="20"/>
          <w:szCs w:val="20"/>
          <w14:textFill>
            <w14:solidFill>
              <w14:schemeClr w14:val="tx1"/>
            </w14:solidFill>
          </w14:textFill>
        </w:rPr>
        <w:t xml:space="preserve">The equation of </w:t>
      </w:r>
      <w:r>
        <w:rPr>
          <w:rFonts w:ascii="Times New Roman" w:hAnsi="Times New Roman" w:cs="Times New Roman"/>
          <w:sz w:val="20"/>
          <w:szCs w:val="20"/>
        </w:rPr>
        <w:t>CoRC model</w:t>
      </w:r>
      <w:r>
        <w:rPr>
          <w:rFonts w:ascii="Times New Roman" w:hAnsi="Times New Roman" w:cs="Times New Roman"/>
          <w:color w:val="000000" w:themeColor="text1"/>
          <w:sz w:val="20"/>
          <w:szCs w:val="20"/>
          <w14:textFill>
            <w14:solidFill>
              <w14:schemeClr w14:val="tx1"/>
            </w14:solidFill>
          </w14:textFill>
        </w:rPr>
        <w:t xml:space="preserve"> 2 was as follows: Z=-0.50+1.32×R-score</w:t>
      </w:r>
      <w:r>
        <w:rPr>
          <w:rFonts w:ascii="Times New Roman" w:hAnsi="Times New Roman" w:cs="Times New Roman"/>
          <w:color w:val="000000" w:themeColor="text1"/>
          <w:sz w:val="20"/>
          <w:szCs w:val="20"/>
          <w:vertAlign w:val="superscript"/>
          <w14:textFill>
            <w14:solidFill>
              <w14:schemeClr w14:val="tx1"/>
            </w14:solidFill>
          </w14:textFill>
        </w:rPr>
        <w:t>T1delay</w:t>
      </w:r>
      <w:r>
        <w:rPr>
          <w:rFonts w:ascii="Times New Roman" w:hAnsi="Times New Roman" w:cs="Times New Roman"/>
          <w:color w:val="000000" w:themeColor="text1"/>
          <w:sz w:val="20"/>
          <w:szCs w:val="20"/>
          <w14:textFill>
            <w14:solidFill>
              <w14:schemeClr w14:val="tx1"/>
            </w14:solidFill>
          </w14:textFill>
        </w:rPr>
        <w:t>+0.82×R-score</w:t>
      </w:r>
      <w:r>
        <w:rPr>
          <w:rFonts w:ascii="Times New Roman" w:hAnsi="Times New Roman" w:cs="Times New Roman"/>
          <w:color w:val="000000" w:themeColor="text1"/>
          <w:sz w:val="20"/>
          <w:szCs w:val="20"/>
          <w:vertAlign w:val="superscript"/>
          <w14:textFill>
            <w14:solidFill>
              <w14:schemeClr w14:val="tx1"/>
            </w14:solidFill>
          </w14:textFill>
        </w:rPr>
        <w:t>T2FS</w:t>
      </w:r>
      <w:r>
        <w:rPr>
          <w:rFonts w:ascii="Times New Roman" w:hAnsi="Times New Roman" w:cs="Times New Roman"/>
          <w:color w:val="000000" w:themeColor="text1"/>
          <w:sz w:val="20"/>
          <w:szCs w:val="20"/>
          <w14:textFill>
            <w14:solidFill>
              <w14:schemeClr w14:val="tx1"/>
            </w14:solidFill>
          </w14:textFill>
        </w:rPr>
        <w:t>-0.47×ALB+0.32×ALP+0.97×TBA+2.71×AST (e</w:t>
      </w:r>
      <w:r>
        <w:rPr>
          <w:rFonts w:ascii="Times New Roman" w:hAnsi="Times New Roman" w:cs="Times New Roman"/>
          <w:color w:val="000000" w:themeColor="text1"/>
          <w:sz w:val="20"/>
          <w:szCs w:val="20"/>
          <w:vertAlign w:val="superscript"/>
          <w14:textFill>
            <w14:solidFill>
              <w14:schemeClr w14:val="tx1"/>
            </w14:solidFill>
          </w14:textFill>
        </w:rPr>
        <w:t xml:space="preserve">z </w:t>
      </w:r>
      <w:r>
        <w:rPr>
          <w:rFonts w:ascii="Times New Roman" w:hAnsi="Times New Roman" w:cs="Times New Roman"/>
          <w:color w:val="000000" w:themeColor="text1"/>
          <w:sz w:val="20"/>
          <w:szCs w:val="20"/>
          <w14:textFill>
            <w14:solidFill>
              <w14:schemeClr w14:val="tx1"/>
            </w14:solidFill>
          </w14:textFill>
        </w:rPr>
        <w:t>is the exponential function, Z is the exponent, CoRC R-score = e</w:t>
      </w:r>
      <w:r>
        <w:rPr>
          <w:rFonts w:ascii="Times New Roman" w:hAnsi="Times New Roman" w:cs="Times New Roman"/>
          <w:color w:val="000000" w:themeColor="text1"/>
          <w:sz w:val="20"/>
          <w:szCs w:val="20"/>
          <w:vertAlign w:val="superscript"/>
          <w14:textFill>
            <w14:solidFill>
              <w14:schemeClr w14:val="tx1"/>
            </w14:solidFill>
          </w14:textFill>
        </w:rPr>
        <w:t>z</w:t>
      </w:r>
      <w:r>
        <w:rPr>
          <w:rFonts w:ascii="Times New Roman" w:hAnsi="Times New Roman" w:cs="Times New Roman"/>
          <w:color w:val="000000" w:themeColor="text1"/>
          <w:sz w:val="20"/>
          <w:szCs w:val="20"/>
          <w14:textFill>
            <w14:solidFill>
              <w14:schemeClr w14:val="tx1"/>
            </w14:solidFill>
          </w14:textFill>
        </w:rPr>
        <w:t>/(e</w:t>
      </w:r>
      <w:r>
        <w:rPr>
          <w:rFonts w:ascii="Times New Roman" w:hAnsi="Times New Roman" w:cs="Times New Roman"/>
          <w:color w:val="000000" w:themeColor="text1"/>
          <w:sz w:val="20"/>
          <w:szCs w:val="20"/>
          <w:vertAlign w:val="superscript"/>
          <w14:textFill>
            <w14:solidFill>
              <w14:schemeClr w14:val="tx1"/>
            </w14:solidFill>
          </w14:textFill>
        </w:rPr>
        <w:t>z</w:t>
      </w:r>
      <w:r>
        <w:rPr>
          <w:rFonts w:ascii="Times New Roman" w:hAnsi="Times New Roman" w:cs="Times New Roman"/>
          <w:color w:val="000000" w:themeColor="text1"/>
          <w:sz w:val="20"/>
          <w:szCs w:val="20"/>
          <w14:textFill>
            <w14:solidFill>
              <w14:schemeClr w14:val="tx1"/>
            </w14:solidFill>
          </w14:textFill>
        </w:rPr>
        <w:t>+1); Coefficients were derived from logistic regression)</w:t>
      </w:r>
      <w:r>
        <w:rPr>
          <w:rFonts w:hint="eastAsia" w:ascii="Times New Roman" w:hAnsi="Times New Roman" w:cs="Times New Roman"/>
          <w:color w:val="000000" w:themeColor="text1"/>
          <w:sz w:val="20"/>
          <w:szCs w:val="20"/>
          <w14:textFill>
            <w14:solidFill>
              <w14:schemeClr w14:val="tx1"/>
            </w14:solidFill>
          </w14:textFill>
        </w:rPr>
        <w:t>.</w:t>
      </w:r>
    </w:p>
    <w:p>
      <w:pPr>
        <w:widowControl/>
        <w:jc w:val="left"/>
        <w:rPr>
          <w:rFonts w:ascii="Times New Roman" w:hAnsi="Times New Roman" w:eastAsia="等线" w:cs="Times New Roman"/>
          <w:b/>
          <w:bCs/>
          <w:color w:val="000000"/>
          <w:kern w:val="24"/>
          <w:sz w:val="20"/>
          <w:szCs w:val="20"/>
        </w:rPr>
      </w:pPr>
      <w:r>
        <w:rPr>
          <w:rFonts w:ascii="Times New Roman" w:hAnsi="Times New Roman" w:eastAsia="等线" w:cs="Times New Roman"/>
          <w:b/>
          <w:bCs/>
          <w:color w:val="000000"/>
          <w:kern w:val="24"/>
          <w:sz w:val="20"/>
          <w:szCs w:val="20"/>
        </w:rPr>
        <w:br w:type="page"/>
      </w:r>
    </w:p>
    <w:p>
      <w:pPr>
        <w:pStyle w:val="8"/>
        <w:spacing w:beforeAutospacing="0" w:afterAutospacing="0"/>
        <w:rPr>
          <w:rFonts w:ascii="Times New Roman" w:hAnsi="Times New Roman" w:eastAsia="等线" w:cs="Times New Roman"/>
          <w:b/>
          <w:bCs/>
          <w:color w:val="000000"/>
          <w:kern w:val="24"/>
        </w:rPr>
      </w:pPr>
      <w:r>
        <w:rPr>
          <w:rFonts w:ascii="Times New Roman" w:hAnsi="Times New Roman" w:cs="Times New Roman"/>
        </w:rPr>
        <w:drawing>
          <wp:inline distT="0" distB="0" distL="0" distR="0">
            <wp:extent cx="7073900" cy="321437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7073900" cy="3214370"/>
                    </a:xfrm>
                    <a:prstGeom prst="rect">
                      <a:avLst/>
                    </a:prstGeom>
                    <a:noFill/>
                    <a:ln>
                      <a:noFill/>
                    </a:ln>
                  </pic:spPr>
                </pic:pic>
              </a:graphicData>
            </a:graphic>
          </wp:inline>
        </w:drawing>
      </w:r>
    </w:p>
    <w:p>
      <w:pPr>
        <w:pStyle w:val="8"/>
        <w:spacing w:beforeAutospacing="0" w:afterAutospacing="0"/>
        <w:jc w:val="both"/>
        <w:rPr>
          <w:rFonts w:ascii="Times New Roman" w:hAnsi="Times New Roman" w:cs="Times New Roman"/>
          <w:color w:val="000000" w:themeColor="text1"/>
          <w:kern w:val="2"/>
          <w:sz w:val="20"/>
          <w:szCs w:val="20"/>
          <w14:textFill>
            <w14:solidFill>
              <w14:schemeClr w14:val="tx1"/>
            </w14:solidFill>
          </w14:textFill>
        </w:rPr>
      </w:pPr>
      <w:r>
        <w:rPr>
          <w:rFonts w:ascii="Times New Roman" w:hAnsi="Times New Roman" w:cs="Times New Roman"/>
          <w:b/>
          <w:bCs/>
          <w:kern w:val="2"/>
          <w:sz w:val="20"/>
          <w:szCs w:val="20"/>
        </w:rPr>
        <w:t xml:space="preserve">Figure E2. </w:t>
      </w:r>
      <w:r>
        <w:rPr>
          <w:rFonts w:ascii="Times New Roman" w:hAnsi="Times New Roman" w:cs="Times New Roman"/>
          <w:kern w:val="2"/>
          <w:sz w:val="20"/>
          <w:szCs w:val="20"/>
        </w:rPr>
        <w:t xml:space="preserve">Calibration curve of CoRC model and Radiomics model for classifying ≥ F2 in the training </w:t>
      </w:r>
      <w:r>
        <w:rPr>
          <w:rFonts w:ascii="Times New Roman" w:hAnsi="Times New Roman" w:cs="Times New Roman"/>
          <w:b/>
          <w:bCs/>
          <w:kern w:val="2"/>
          <w:sz w:val="20"/>
          <w:szCs w:val="20"/>
        </w:rPr>
        <w:t>(A)</w:t>
      </w:r>
      <w:r>
        <w:rPr>
          <w:rFonts w:ascii="Times New Roman" w:hAnsi="Times New Roman" w:cs="Times New Roman"/>
          <w:kern w:val="2"/>
          <w:sz w:val="20"/>
          <w:szCs w:val="20"/>
        </w:rPr>
        <w:t xml:space="preserve">, internal </w:t>
      </w:r>
      <w:r>
        <w:rPr>
          <w:rFonts w:ascii="Times New Roman" w:hAnsi="Times New Roman" w:cs="Times New Roman"/>
          <w:b/>
          <w:bCs/>
          <w:kern w:val="2"/>
          <w:sz w:val="20"/>
          <w:szCs w:val="20"/>
        </w:rPr>
        <w:t>(B)</w:t>
      </w:r>
      <w:r>
        <w:rPr>
          <w:rFonts w:ascii="Times New Roman" w:hAnsi="Times New Roman" w:cs="Times New Roman"/>
          <w:kern w:val="2"/>
          <w:sz w:val="20"/>
          <w:szCs w:val="20"/>
        </w:rPr>
        <w:t xml:space="preserve">, temporal </w:t>
      </w:r>
      <w:r>
        <w:rPr>
          <w:rFonts w:ascii="Times New Roman" w:hAnsi="Times New Roman" w:cs="Times New Roman"/>
          <w:b/>
          <w:bCs/>
          <w:kern w:val="2"/>
          <w:sz w:val="20"/>
          <w:szCs w:val="20"/>
        </w:rPr>
        <w:t>(C)</w:t>
      </w:r>
      <w:r>
        <w:rPr>
          <w:rFonts w:ascii="Times New Roman" w:hAnsi="Times New Roman" w:cs="Times New Roman"/>
          <w:kern w:val="2"/>
          <w:sz w:val="20"/>
          <w:szCs w:val="20"/>
        </w:rPr>
        <w:t xml:space="preserve">, and external </w:t>
      </w:r>
      <w:r>
        <w:rPr>
          <w:rFonts w:ascii="Times New Roman" w:hAnsi="Times New Roman" w:cs="Times New Roman"/>
          <w:b/>
          <w:bCs/>
          <w:kern w:val="2"/>
          <w:sz w:val="20"/>
          <w:szCs w:val="20"/>
        </w:rPr>
        <w:t>(D)</w:t>
      </w:r>
      <w:r>
        <w:rPr>
          <w:rFonts w:ascii="Times New Roman" w:hAnsi="Times New Roman" w:cs="Times New Roman"/>
          <w:kern w:val="2"/>
          <w:sz w:val="20"/>
          <w:szCs w:val="20"/>
        </w:rPr>
        <w:t xml:space="preserve"> test cohort. Calibration curve of CoRC model and Radiomics model for classifying for ≥ G2 in the training </w:t>
      </w:r>
      <w:r>
        <w:rPr>
          <w:rFonts w:ascii="Times New Roman" w:hAnsi="Times New Roman" w:cs="Times New Roman"/>
          <w:b/>
          <w:bCs/>
          <w:kern w:val="2"/>
          <w:sz w:val="20"/>
          <w:szCs w:val="20"/>
        </w:rPr>
        <w:t>(E)</w:t>
      </w:r>
      <w:r>
        <w:rPr>
          <w:rFonts w:ascii="Times New Roman" w:hAnsi="Times New Roman" w:cs="Times New Roman"/>
          <w:kern w:val="2"/>
          <w:sz w:val="20"/>
          <w:szCs w:val="20"/>
        </w:rPr>
        <w:t xml:space="preserve">, internal </w:t>
      </w:r>
      <w:r>
        <w:rPr>
          <w:rFonts w:ascii="Times New Roman" w:hAnsi="Times New Roman" w:cs="Times New Roman"/>
          <w:b/>
          <w:bCs/>
          <w:kern w:val="2"/>
          <w:sz w:val="20"/>
          <w:szCs w:val="20"/>
        </w:rPr>
        <w:t>(F)</w:t>
      </w:r>
      <w:r>
        <w:rPr>
          <w:rFonts w:ascii="Times New Roman" w:hAnsi="Times New Roman" w:cs="Times New Roman"/>
          <w:kern w:val="2"/>
          <w:sz w:val="20"/>
          <w:szCs w:val="20"/>
        </w:rPr>
        <w:t xml:space="preserve">, temporal </w:t>
      </w:r>
      <w:r>
        <w:rPr>
          <w:rFonts w:ascii="Times New Roman" w:hAnsi="Times New Roman" w:cs="Times New Roman"/>
          <w:b/>
          <w:bCs/>
          <w:kern w:val="2"/>
          <w:sz w:val="20"/>
          <w:szCs w:val="20"/>
        </w:rPr>
        <w:t>(G)</w:t>
      </w:r>
      <w:r>
        <w:rPr>
          <w:rFonts w:ascii="Times New Roman" w:hAnsi="Times New Roman" w:cs="Times New Roman"/>
          <w:kern w:val="2"/>
          <w:sz w:val="20"/>
          <w:szCs w:val="20"/>
        </w:rPr>
        <w:t>, and external</w:t>
      </w:r>
      <w:r>
        <w:rPr>
          <w:rFonts w:ascii="Times New Roman" w:hAnsi="Times New Roman" w:cs="Times New Roman"/>
          <w:b/>
          <w:bCs/>
          <w:kern w:val="2"/>
          <w:sz w:val="20"/>
          <w:szCs w:val="20"/>
        </w:rPr>
        <w:t>(H)</w:t>
      </w:r>
      <w:r>
        <w:rPr>
          <w:rFonts w:ascii="Times New Roman" w:hAnsi="Times New Roman" w:cs="Times New Roman"/>
          <w:kern w:val="2"/>
          <w:sz w:val="20"/>
          <w:szCs w:val="20"/>
        </w:rPr>
        <w:t xml:space="preserve"> test cohort.</w:t>
      </w:r>
    </w:p>
    <w:p>
      <w:pPr>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z w:val="24"/>
          <w14:textFill>
            <w14:solidFill>
              <w14:schemeClr w14:val="tx1"/>
            </w14:solidFill>
          </w14:textFill>
        </w:rPr>
        <w:br w:type="page"/>
      </w:r>
      <w:r>
        <w:rPr>
          <w:rFonts w:ascii="Times New Roman" w:hAnsi="Times New Roman" w:cs="Times New Roman"/>
          <w:color w:val="000000" w:themeColor="text1"/>
          <w14:textFill>
            <w14:solidFill>
              <w14:schemeClr w14:val="tx1"/>
            </w14:solidFill>
          </w14:textFill>
        </w:rPr>
        <w:drawing>
          <wp:inline distT="0" distB="0" distL="0" distR="0">
            <wp:extent cx="5702300" cy="87649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1910" cy="8780205"/>
                    </a:xfrm>
                    <a:prstGeom prst="rect">
                      <a:avLst/>
                    </a:prstGeom>
                  </pic:spPr>
                </pic:pic>
              </a:graphicData>
            </a:graphic>
          </wp:inline>
        </w:drawing>
      </w:r>
    </w:p>
    <w:p>
      <w:pPr>
        <w:widowControl/>
        <w:rPr>
          <w:rFonts w:ascii="Times New Roman" w:hAnsi="Times New Roman" w:eastAsia="宋体" w:cs="Times New Roman"/>
          <w:sz w:val="20"/>
          <w:szCs w:val="20"/>
        </w:rPr>
      </w:pPr>
      <w:r>
        <w:rPr>
          <w:rFonts w:ascii="Times New Roman" w:hAnsi="Times New Roman" w:eastAsia="宋体" w:cs="Times New Roman"/>
          <w:b/>
          <w:bCs/>
          <w:sz w:val="20"/>
          <w:szCs w:val="20"/>
        </w:rPr>
        <w:t xml:space="preserve">Figure E3. </w:t>
      </w:r>
      <w:r>
        <w:rPr>
          <w:rFonts w:ascii="Times New Roman" w:hAnsi="Times New Roman" w:eastAsia="宋体" w:cs="Times New Roman"/>
          <w:sz w:val="20"/>
          <w:szCs w:val="20"/>
        </w:rPr>
        <w:t>The questionnaire on the application of the Radiomics Quality Score (RQS). Our study assessed the RQS of 21 points online (RQS-Radiomics.world), providing an RQS score and percentage. A 100% score is reached at 36 points.</w:t>
      </w:r>
    </w:p>
    <w:p>
      <w:pPr>
        <w:widowControl/>
        <w:rPr>
          <w:rFonts w:ascii="Times New Roman" w:hAnsi="Times New Roman" w:eastAsia="宋体" w:cs="Times New Roman"/>
          <w:sz w:val="20"/>
          <w:szCs w:val="20"/>
        </w:rPr>
      </w:pPr>
      <w:r>
        <w:rPr>
          <w:rFonts w:ascii="Times New Roman" w:hAnsi="Times New Roman" w:eastAsia="宋体" w:cs="Times New Roman"/>
          <w:sz w:val="20"/>
          <w:szCs w:val="20"/>
        </w:rPr>
        <w:br w:type="page"/>
      </w:r>
    </w:p>
    <w:p>
      <w:pPr>
        <w:pStyle w:val="8"/>
        <w:spacing w:beforeAutospacing="0" w:afterAutospacing="0"/>
        <w:jc w:val="center"/>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eastAsia="zh-CN"/>
        </w:rPr>
        <w:drawing>
          <wp:inline distT="0" distB="0" distL="114300" distR="114300">
            <wp:extent cx="7113270" cy="2387600"/>
            <wp:effectExtent l="0" t="0" r="2540" b="6350"/>
            <wp:docPr id="8" name="图片 8" descr="Fig 5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5 CASE"/>
                    <pic:cNvPicPr>
                      <a:picLocks noChangeAspect="1"/>
                    </pic:cNvPicPr>
                  </pic:nvPicPr>
                  <pic:blipFill>
                    <a:blip r:embed="rId7"/>
                    <a:stretch>
                      <a:fillRect/>
                    </a:stretch>
                  </pic:blipFill>
                  <pic:spPr>
                    <a:xfrm>
                      <a:off x="0" y="0"/>
                      <a:ext cx="7113270" cy="2387600"/>
                    </a:xfrm>
                    <a:prstGeom prst="rect">
                      <a:avLst/>
                    </a:prstGeom>
                  </pic:spPr>
                </pic:pic>
              </a:graphicData>
            </a:graphic>
          </wp:inline>
        </w:drawing>
      </w:r>
    </w:p>
    <w:p>
      <w:pPr>
        <w:widowControl/>
        <w:rPr>
          <w:rFonts w:hint="default" w:ascii="Times New Roman" w:hAnsi="Times New Roman" w:cs="Times New Roman" w:eastAsiaTheme="minorEastAsia"/>
          <w:color w:val="000000" w:themeColor="text1"/>
          <w:sz w:val="20"/>
          <w:szCs w:val="20"/>
          <w:lang w:val="en-US" w:eastAsia="zh-CN"/>
          <w14:textFill>
            <w14:solidFill>
              <w14:schemeClr w14:val="tx1"/>
            </w14:solidFill>
          </w14:textFill>
        </w:rPr>
      </w:pPr>
      <w:r>
        <w:rPr>
          <w:rFonts w:hint="default" w:ascii="Times New Roman" w:hAnsi="Times New Roman" w:cs="Times New Roman"/>
          <w:b/>
          <w:bCs/>
          <w:kern w:val="2"/>
          <w:sz w:val="20"/>
          <w:szCs w:val="20"/>
        </w:rPr>
        <w:t xml:space="preserve">Figure </w:t>
      </w:r>
      <w:r>
        <w:rPr>
          <w:rFonts w:hint="eastAsia" w:ascii="Times New Roman" w:hAnsi="Times New Roman" w:cs="Times New Roman"/>
          <w:b/>
          <w:bCs/>
          <w:kern w:val="2"/>
          <w:sz w:val="20"/>
          <w:szCs w:val="20"/>
          <w:lang w:val="en-US" w:eastAsia="zh-CN"/>
        </w:rPr>
        <w:t>E4.</w:t>
      </w:r>
      <w:r>
        <w:rPr>
          <w:rFonts w:hint="default" w:ascii="Times New Roman" w:hAnsi="Times New Roman" w:cs="Times New Roman"/>
          <w:b/>
          <w:bCs/>
          <w:kern w:val="2"/>
          <w:sz w:val="20"/>
          <w:szCs w:val="20"/>
        </w:rPr>
        <w:t xml:space="preserve"> </w:t>
      </w:r>
      <w:r>
        <w:rPr>
          <w:rFonts w:hint="default" w:ascii="Times New Roman" w:hAnsi="Times New Roman" w:cs="Times New Roman"/>
          <w:kern w:val="2"/>
          <w:sz w:val="20"/>
          <w:szCs w:val="20"/>
        </w:rPr>
        <w:t xml:space="preserve">Representative </w:t>
      </w:r>
      <w:r>
        <w:rPr>
          <w:rFonts w:hint="eastAsia" w:ascii="Times New Roman" w:hAnsi="Times New Roman" w:cs="Times New Roman"/>
          <w:kern w:val="2"/>
          <w:sz w:val="20"/>
          <w:szCs w:val="20"/>
          <w:lang w:val="en-US" w:eastAsia="zh-CN"/>
        </w:rPr>
        <w:t xml:space="preserve">2 </w:t>
      </w:r>
      <w:r>
        <w:rPr>
          <w:rFonts w:hint="default" w:ascii="Times New Roman" w:hAnsi="Times New Roman" w:cs="Times New Roman"/>
          <w:kern w:val="2"/>
          <w:sz w:val="20"/>
          <w:szCs w:val="20"/>
        </w:rPr>
        <w:t>case</w:t>
      </w:r>
      <w:r>
        <w:rPr>
          <w:rFonts w:hint="eastAsia" w:ascii="Times New Roman" w:hAnsi="Times New Roman" w:cs="Times New Roman"/>
          <w:kern w:val="2"/>
          <w:sz w:val="20"/>
          <w:szCs w:val="20"/>
          <w:lang w:val="en-US" w:eastAsia="zh-CN"/>
        </w:rPr>
        <w:t xml:space="preserve">s </w:t>
      </w:r>
      <w:r>
        <w:rPr>
          <w:rFonts w:hint="default" w:ascii="Times New Roman" w:hAnsi="Times New Roman" w:cs="Times New Roman"/>
          <w:kern w:val="2"/>
          <w:sz w:val="20"/>
          <w:szCs w:val="20"/>
        </w:rPr>
        <w:t>with chronic hepatitis B</w:t>
      </w:r>
      <w:r>
        <w:rPr>
          <w:rFonts w:hint="eastAsia" w:ascii="Times New Roman" w:hAnsi="Times New Roman" w:cs="Times New Roman"/>
          <w:kern w:val="2"/>
          <w:sz w:val="20"/>
          <w:szCs w:val="20"/>
          <w:lang w:val="en-US" w:eastAsia="zh-CN"/>
        </w:rPr>
        <w:t xml:space="preserve"> f</w:t>
      </w:r>
      <w:r>
        <w:rPr>
          <w:rFonts w:hint="default" w:ascii="Times New Roman" w:hAnsi="Times New Roman" w:cs="Times New Roman"/>
          <w:kern w:val="2"/>
          <w:sz w:val="20"/>
          <w:szCs w:val="20"/>
        </w:rPr>
        <w:t>rom the test cohort</w:t>
      </w:r>
      <w:r>
        <w:rPr>
          <w:rFonts w:hint="eastAsia" w:ascii="Times New Roman" w:hAnsi="Times New Roman" w:cs="Times New Roman"/>
          <w:kern w:val="2"/>
          <w:sz w:val="20"/>
          <w:szCs w:val="20"/>
          <w:lang w:val="en-US" w:eastAsia="zh-CN"/>
        </w:rPr>
        <w:t xml:space="preserve"> </w:t>
      </w:r>
      <w:r>
        <w:rPr>
          <w:rFonts w:hint="eastAsia" w:ascii="Times New Roman" w:hAnsi="Times New Roman" w:cs="Times New Roman"/>
          <w:b/>
          <w:bCs/>
          <w:kern w:val="2"/>
          <w:sz w:val="20"/>
          <w:szCs w:val="20"/>
          <w:lang w:val="en-US" w:eastAsia="zh-CN"/>
        </w:rPr>
        <w:t>(A, B)</w:t>
      </w:r>
      <w:r>
        <w:rPr>
          <w:rFonts w:hint="eastAsia" w:ascii="Times New Roman" w:hAnsi="Times New Roman" w:cs="Times New Roman"/>
          <w:kern w:val="2"/>
          <w:sz w:val="20"/>
          <w:szCs w:val="20"/>
          <w:lang w:val="en-US" w:eastAsia="zh-CN"/>
        </w:rPr>
        <w:t xml:space="preserve">. The images from left to right are </w:t>
      </w:r>
      <w:r>
        <w:rPr>
          <w:rFonts w:hint="default" w:ascii="Times New Roman" w:hAnsi="Times New Roman" w:cs="Times New Roman"/>
          <w:kern w:val="2"/>
          <w:sz w:val="20"/>
          <w:szCs w:val="20"/>
        </w:rPr>
        <w:t>axial T2FS image</w:t>
      </w:r>
      <w:r>
        <w:rPr>
          <w:rFonts w:hint="eastAsia" w:ascii="Times New Roman" w:hAnsi="Times New Roman" w:cs="Times New Roman"/>
          <w:kern w:val="2"/>
          <w:sz w:val="20"/>
          <w:szCs w:val="20"/>
          <w:lang w:val="en-US" w:eastAsia="zh-CN"/>
        </w:rPr>
        <w:t xml:space="preserve">, </w:t>
      </w:r>
      <w:r>
        <w:rPr>
          <w:rFonts w:hint="default" w:ascii="Times New Roman" w:hAnsi="Times New Roman" w:cs="Times New Roman"/>
          <w:color w:val="000000" w:themeColor="text1"/>
          <w:sz w:val="20"/>
          <w:szCs w:val="20"/>
          <w14:textFill>
            <w14:solidFill>
              <w14:schemeClr w14:val="tx1"/>
            </w14:solidFill>
          </w14:textFill>
        </w:rPr>
        <w:t>T1delay-phase image</w:t>
      </w:r>
      <w:r>
        <w:rPr>
          <w:rFonts w:hint="eastAsia" w:ascii="Times New Roman" w:hAnsi="Times New Roman" w:cs="Times New Roman"/>
          <w:kern w:val="2"/>
          <w:sz w:val="20"/>
          <w:szCs w:val="20"/>
          <w:lang w:val="en-US" w:eastAsia="zh-CN"/>
        </w:rPr>
        <w:t xml:space="preserve">, </w:t>
      </w:r>
      <w:r>
        <w:rPr>
          <w:rFonts w:hint="default" w:ascii="Times New Roman" w:hAnsi="Times New Roman" w:cs="Times New Roman"/>
          <w:kern w:val="2"/>
          <w:sz w:val="20"/>
          <w:szCs w:val="20"/>
        </w:rPr>
        <w:t>corresponding segmentation</w:t>
      </w:r>
      <w:r>
        <w:rPr>
          <w:rFonts w:hint="eastAsia" w:ascii="Times New Roman" w:hAnsi="Times New Roman" w:cs="Times New Roman"/>
          <w:kern w:val="2"/>
          <w:sz w:val="20"/>
          <w:szCs w:val="20"/>
          <w:lang w:val="en-US" w:eastAsia="zh-CN"/>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pathologic </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masson staining </w:t>
      </w:r>
      <w:r>
        <w:rPr>
          <w:rFonts w:hint="default" w:ascii="Times New Roman" w:hAnsi="Times New Roman" w:cs="Times New Roman"/>
          <w:color w:val="000000" w:themeColor="text1"/>
          <w:sz w:val="20"/>
          <w:szCs w:val="20"/>
          <w14:textFill>
            <w14:solidFill>
              <w14:schemeClr w14:val="tx1"/>
            </w14:solidFill>
          </w14:textFill>
        </w:rPr>
        <w:t>and</w:t>
      </w:r>
      <w:r>
        <w:rPr>
          <w:rFonts w:hint="default" w:ascii="Times New Roman" w:hAnsi="Times New Roman" w:cs="Times New Roman"/>
          <w:color w:val="000000" w:themeColor="text1"/>
          <w:sz w:val="20"/>
          <w:szCs w:val="20"/>
          <w:lang w:val="en-US" w:eastAsia="zh-CN"/>
          <w14:textFill>
            <w14:solidFill>
              <w14:schemeClr w14:val="tx1"/>
            </w14:solidFill>
          </w14:textFill>
        </w:rPr>
        <w:t xml:space="preserve"> </w:t>
      </w:r>
      <w:r>
        <w:rPr>
          <w:rFonts w:hint="eastAsia" w:ascii="Times New Roman" w:hAnsi="Times New Roman" w:cs="Times New Roman"/>
          <w:color w:val="000000" w:themeColor="text1"/>
          <w:sz w:val="20"/>
          <w:szCs w:val="20"/>
          <w:lang w:val="en-US" w:eastAsia="zh-CN"/>
          <w14:textFill>
            <w14:solidFill>
              <w14:schemeClr w14:val="tx1"/>
            </w14:solidFill>
          </w14:textFill>
        </w:rPr>
        <w:t>hematoxylin-eosin staining.</w:t>
      </w:r>
      <w:r>
        <w:rPr>
          <w:rFonts w:hint="default" w:ascii="Times New Roman" w:hAnsi="Times New Roman"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b/>
          <w:bCs/>
          <w:color w:val="000000" w:themeColor="text1"/>
          <w:sz w:val="20"/>
          <w:szCs w:val="20"/>
          <w:lang w:val="en-US" w:eastAsia="zh-CN"/>
          <w14:textFill>
            <w14:solidFill>
              <w14:schemeClr w14:val="tx1"/>
            </w14:solidFill>
          </w14:textFill>
        </w:rPr>
        <w:t>(A)</w:t>
      </w:r>
      <w:r>
        <w:rPr>
          <w:rFonts w:hint="default" w:ascii="Times New Roman" w:hAnsi="Times New Roman" w:cs="Times New Roman"/>
          <w:color w:val="000000" w:themeColor="text1"/>
          <w:sz w:val="20"/>
          <w:szCs w:val="20"/>
          <w:lang w:val="en-US" w:eastAsia="zh-CN"/>
          <w14:textFill>
            <w14:solidFill>
              <w14:schemeClr w14:val="tx1"/>
            </w14:solidFill>
          </w14:textFill>
        </w:rPr>
        <w:t xml:space="preserve"> a 30-year-old woman</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with </w:t>
      </w:r>
      <w:r>
        <w:rPr>
          <w:rFonts w:hint="default" w:ascii="Times New Roman" w:hAnsi="Times New Roman" w:cs="Times New Roman"/>
          <w:kern w:val="2"/>
          <w:sz w:val="20"/>
          <w:szCs w:val="20"/>
        </w:rPr>
        <w:t>F0</w:t>
      </w:r>
      <w:r>
        <w:rPr>
          <w:rFonts w:hint="eastAsia" w:ascii="Times New Roman" w:hAnsi="Times New Roman" w:cs="Times New Roman"/>
          <w:kern w:val="2"/>
          <w:sz w:val="20"/>
          <w:szCs w:val="20"/>
          <w:lang w:val="en-US" w:eastAsia="zh-CN"/>
        </w:rPr>
        <w:t>&amp;G1</w:t>
      </w:r>
      <w:r>
        <w:rPr>
          <w:rFonts w:hint="eastAsia" w:ascii="Times New Roman" w:hAnsi="Times New Roman" w:cs="Times New Roman"/>
          <w:color w:val="000000" w:themeColor="text1"/>
          <w:sz w:val="20"/>
          <w:szCs w:val="20"/>
          <w:lang w:val="en-US" w:eastAsia="zh-CN"/>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 xml:space="preserve"> </w:t>
      </w:r>
      <w:r>
        <w:rPr>
          <w:rFonts w:hint="eastAsia" w:ascii="Times New Roman" w:hAnsi="Times New Roman" w:cs="Times New Roman"/>
          <w:color w:val="000000" w:themeColor="text1"/>
          <w:sz w:val="20"/>
          <w:szCs w:val="20"/>
          <w:lang w:val="en-US" w:eastAsia="zh-CN"/>
          <w14:textFill>
            <w14:solidFill>
              <w14:schemeClr w14:val="tx1"/>
            </w14:solidFill>
          </w14:textFill>
        </w:rPr>
        <w:t>t</w:t>
      </w:r>
      <w:r>
        <w:rPr>
          <w:rFonts w:hint="default" w:ascii="Times New Roman" w:hAnsi="Times New Roman" w:cs="Times New Roman"/>
          <w:color w:val="000000" w:themeColor="text1"/>
          <w:sz w:val="20"/>
          <w:szCs w:val="20"/>
          <w:lang w:val="en-US" w:eastAsia="zh-CN"/>
          <w14:textFill>
            <w14:solidFill>
              <w14:schemeClr w14:val="tx1"/>
            </w14:solidFill>
          </w14:textFill>
        </w:rPr>
        <w:t>he li</w:t>
      </w:r>
      <w:r>
        <w:rPr>
          <w:rFonts w:hint="default" w:ascii="Times New Roman" w:hAnsi="Times New Roman" w:cs="Times New Roman"/>
          <w:kern w:val="2"/>
          <w:sz w:val="20"/>
          <w:szCs w:val="20"/>
        </w:rPr>
        <w:t>ver texture</w:t>
      </w:r>
      <w:r>
        <w:rPr>
          <w:rFonts w:hint="default" w:ascii="Times New Roman" w:hAnsi="Times New Roman" w:cs="Times New Roman"/>
          <w:b/>
          <w:bCs/>
          <w:kern w:val="2"/>
          <w:sz w:val="20"/>
          <w:szCs w:val="20"/>
        </w:rPr>
        <w:t xml:space="preserve"> </w:t>
      </w:r>
      <w:r>
        <w:rPr>
          <w:rFonts w:hint="default" w:ascii="Times New Roman" w:hAnsi="Times New Roman" w:cs="Times New Roman"/>
          <w:kern w:val="2"/>
          <w:sz w:val="20"/>
          <w:szCs w:val="20"/>
        </w:rPr>
        <w:t>appeared smooth and homogeneous. CoRC R-score for ≥ F2 and ≥ G2 is 0.25 (</w:t>
      </w:r>
      <w:r>
        <w:rPr>
          <w:rFonts w:hint="eastAsia" w:ascii="Times New Roman" w:hAnsi="Times New Roman" w:cs="Times New Roman"/>
          <w:kern w:val="2"/>
          <w:sz w:val="20"/>
          <w:szCs w:val="20"/>
          <w:lang w:val="en-US" w:eastAsia="zh-CN"/>
        </w:rPr>
        <w:t>threshold value</w:t>
      </w:r>
      <w:r>
        <w:rPr>
          <w:rFonts w:hint="default" w:ascii="Times New Roman" w:hAnsi="Times New Roman" w:cs="Times New Roman"/>
          <w:kern w:val="2"/>
          <w:sz w:val="20"/>
          <w:szCs w:val="20"/>
        </w:rPr>
        <w:t xml:space="preserve"> 0.53) and 0.24 (</w:t>
      </w:r>
      <w:r>
        <w:rPr>
          <w:rFonts w:hint="eastAsia" w:ascii="Times New Roman" w:hAnsi="Times New Roman" w:cs="Times New Roman"/>
          <w:kern w:val="2"/>
          <w:sz w:val="20"/>
          <w:szCs w:val="20"/>
          <w:lang w:val="en-US" w:eastAsia="zh-CN"/>
        </w:rPr>
        <w:t>threshold value</w:t>
      </w:r>
      <w:r>
        <w:rPr>
          <w:rFonts w:hint="default" w:ascii="Times New Roman" w:hAnsi="Times New Roman" w:cs="Times New Roman"/>
          <w:kern w:val="2"/>
          <w:sz w:val="20"/>
          <w:szCs w:val="20"/>
        </w:rPr>
        <w:t xml:space="preserve"> 0.48)</w:t>
      </w:r>
      <w:r>
        <w:rPr>
          <w:rFonts w:hint="eastAsia" w:ascii="Times New Roman" w:hAnsi="Times New Roman" w:cs="Times New Roman"/>
          <w:kern w:val="2"/>
          <w:sz w:val="20"/>
          <w:szCs w:val="20"/>
          <w:lang w:val="en-US" w:eastAsia="zh-CN"/>
        </w:rPr>
        <w:t xml:space="preserve">. FIB-4: 1.087, APRI: 0.373,LSM:5.3 </w:t>
      </w:r>
      <w:r>
        <w:rPr>
          <w:rFonts w:hint="eastAsia" w:ascii="Times New Roman" w:hAnsi="Times New Roman" w:cs="Times New Roman"/>
          <w:color w:val="000000" w:themeColor="text1"/>
          <w:sz w:val="20"/>
          <w:szCs w:val="20"/>
          <w:lang w:val="en-US" w:eastAsia="zh-CN"/>
          <w14:textFill>
            <w14:solidFill>
              <w14:schemeClr w14:val="tx1"/>
            </w14:solidFill>
          </w14:textFill>
        </w:rPr>
        <w:t>kpa</w:t>
      </w:r>
      <w:r>
        <w:rPr>
          <w:rFonts w:hint="eastAsia" w:ascii="Times New Roman" w:hAnsi="Times New Roman" w:cs="Times New Roman"/>
          <w:kern w:val="2"/>
          <w:sz w:val="20"/>
          <w:szCs w:val="20"/>
          <w:lang w:val="en-US" w:eastAsia="zh-CN"/>
        </w:rPr>
        <w:t>.</w:t>
      </w:r>
      <w:r>
        <w:rPr>
          <w:rFonts w:hint="eastAsia" w:ascii="Times New Roman" w:hAnsi="Times New Roman" w:cs="Times New Roman"/>
          <w:b/>
          <w:bCs/>
          <w:kern w:val="2"/>
          <w:sz w:val="20"/>
          <w:szCs w:val="20"/>
          <w:lang w:val="en-US" w:eastAsia="zh-CN"/>
        </w:rPr>
        <w:t xml:space="preserve"> (B)</w:t>
      </w:r>
      <w:r>
        <w:rPr>
          <w:rFonts w:hint="default" w:ascii="Times New Roman" w:hAnsi="Times New Roman" w:cs="Times New Roman"/>
          <w:b/>
          <w:bCs/>
          <w:color w:val="000000" w:themeColor="text1"/>
          <w:sz w:val="20"/>
          <w:szCs w:val="20"/>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 xml:space="preserve">a 37-year-old man with </w:t>
      </w:r>
      <w:r>
        <w:rPr>
          <w:rFonts w:hint="eastAsia" w:ascii="Times New Roman" w:hAnsi="Times New Roman" w:cs="Times New Roman"/>
          <w:kern w:val="2"/>
          <w:sz w:val="20"/>
          <w:szCs w:val="20"/>
          <w:lang w:val="en-US" w:eastAsia="zh-CN"/>
        </w:rPr>
        <w:t>F3&amp;G2,</w:t>
      </w:r>
      <w:r>
        <w:rPr>
          <w:rFonts w:hint="default" w:ascii="Times New Roman" w:hAnsi="Times New Roman" w:cs="Times New Roman"/>
          <w:color w:val="000000" w:themeColor="text1"/>
          <w:sz w:val="20"/>
          <w:szCs w:val="20"/>
          <w14:textFill>
            <w14:solidFill>
              <w14:schemeClr w14:val="tx1"/>
            </w14:solidFill>
          </w14:textFill>
        </w:rPr>
        <w:t xml:space="preserve"> the liver texture</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showed coarseness. CoRC R-score for ≥ F2 and ≥ G2 is 0.96 and 0.70.</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FIB-4</w:t>
      </w:r>
      <w:r>
        <w:rPr>
          <w:rFonts w:hint="eastAsia" w:ascii="Times New Roman" w:hAnsi="Times New Roman" w:cs="Times New Roman"/>
          <w:color w:val="000000" w:themeColor="text1"/>
          <w:sz w:val="20"/>
          <w:szCs w:val="20"/>
          <w:lang w:val="en-US" w:eastAsia="zh-CN"/>
          <w14:textFill>
            <w14:solidFill>
              <w14:schemeClr w14:val="tx1"/>
            </w14:solidFill>
          </w14:textFill>
        </w:rPr>
        <w:t>:</w:t>
      </w:r>
      <w:r>
        <w:rPr>
          <w:rFonts w:hint="default" w:ascii="Times New Roman" w:hAnsi="Times New Roman" w:cs="Times New Roman"/>
          <w:color w:val="000000" w:themeColor="text1"/>
          <w:sz w:val="20"/>
          <w:szCs w:val="20"/>
          <w14:textFill>
            <w14:solidFill>
              <w14:schemeClr w14:val="tx1"/>
            </w14:solidFill>
          </w14:textFill>
        </w:rPr>
        <w:t xml:space="preserve"> 1.332,</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color w:val="000000" w:themeColor="text1"/>
          <w:sz w:val="20"/>
          <w:szCs w:val="20"/>
          <w14:textFill>
            <w14:solidFill>
              <w14:schemeClr w14:val="tx1"/>
            </w14:solidFill>
          </w14:textFill>
        </w:rPr>
        <w:t>APRI</w:t>
      </w:r>
      <w:r>
        <w:rPr>
          <w:rFonts w:hint="eastAsia" w:ascii="Times New Roman" w:hAnsi="Times New Roman" w:cs="Times New Roman"/>
          <w:color w:val="000000" w:themeColor="text1"/>
          <w:sz w:val="20"/>
          <w:szCs w:val="20"/>
          <w:lang w:val="en-US" w:eastAsia="zh-CN"/>
          <w14:textFill>
            <w14:solidFill>
              <w14:schemeClr w14:val="tx1"/>
            </w14:solidFill>
          </w14:textFill>
        </w:rPr>
        <w:t>:</w:t>
      </w:r>
      <w:r>
        <w:rPr>
          <w:rFonts w:hint="default" w:ascii="Times New Roman" w:hAnsi="Times New Roman" w:cs="Times New Roman"/>
          <w:color w:val="000000" w:themeColor="text1"/>
          <w:sz w:val="20"/>
          <w:szCs w:val="20"/>
          <w14:textFill>
            <w14:solidFill>
              <w14:schemeClr w14:val="tx1"/>
            </w14:solidFill>
          </w14:textFill>
        </w:rPr>
        <w:t xml:space="preserve"> 0.936 </w:t>
      </w:r>
      <w:r>
        <w:rPr>
          <w:rFonts w:hint="eastAsia" w:ascii="Times New Roman" w:hAnsi="Times New Roman" w:cs="Times New Roman"/>
          <w:color w:val="000000" w:themeColor="text1"/>
          <w:sz w:val="20"/>
          <w:szCs w:val="20"/>
          <w:lang w:val="en-US" w:eastAsia="zh-CN"/>
          <w14:textFill>
            <w14:solidFill>
              <w14:schemeClr w14:val="tx1"/>
            </w14:solidFill>
          </w14:textFill>
        </w:rPr>
        <w:t>, LSM:20.9 kpa.</w:t>
      </w:r>
    </w:p>
    <w:p>
      <w:pPr>
        <w:pStyle w:val="8"/>
        <w:spacing w:beforeAutospacing="0" w:afterAutospacing="0"/>
        <w:jc w:val="both"/>
        <w:rPr>
          <w:rFonts w:hint="default" w:ascii="Times New Roman" w:hAnsi="Times New Roman" w:cs="Times New Roman"/>
          <w:kern w:val="2"/>
          <w:sz w:val="20"/>
          <w:szCs w:val="20"/>
        </w:rPr>
      </w:pPr>
    </w:p>
    <w:p>
      <w:pPr>
        <w:widowControl/>
        <w:jc w:val="left"/>
        <w:rPr>
          <w:rFonts w:hint="default" w:ascii="Times New Roman" w:hAnsi="Times New Roman" w:eastAsia="宋体" w:cs="Times New Roman"/>
          <w:sz w:val="20"/>
          <w:szCs w:val="20"/>
        </w:rPr>
      </w:pPr>
      <w:r>
        <w:rPr>
          <w:rFonts w:hint="default" w:ascii="Times New Roman" w:hAnsi="Times New Roman" w:cs="Times New Roman"/>
          <w:sz w:val="20"/>
          <w:szCs w:val="20"/>
        </w:rPr>
        <w:br w:type="page"/>
      </w:r>
      <w:bookmarkStart w:id="2" w:name="_GoBack"/>
      <w:bookmarkEnd w:id="2"/>
    </w:p>
    <w:p>
      <w:pPr>
        <w:widowControl/>
        <w:jc w:val="left"/>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drawing>
          <wp:inline distT="0" distB="0" distL="114300" distR="114300">
            <wp:extent cx="7068185" cy="4484370"/>
            <wp:effectExtent l="0" t="0" r="6350" b="6350"/>
            <wp:docPr id="1" name="图片 1" descr="Fig LSM AUC DCA F&amp;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LSM AUC DCA F&amp;G_"/>
                    <pic:cNvPicPr>
                      <a:picLocks noChangeAspect="1"/>
                    </pic:cNvPicPr>
                  </pic:nvPicPr>
                  <pic:blipFill>
                    <a:blip r:embed="rId8"/>
                    <a:stretch>
                      <a:fillRect/>
                    </a:stretch>
                  </pic:blipFill>
                  <pic:spPr>
                    <a:xfrm>
                      <a:off x="0" y="0"/>
                      <a:ext cx="7068185" cy="4484370"/>
                    </a:xfrm>
                    <a:prstGeom prst="rect">
                      <a:avLst/>
                    </a:prstGeom>
                  </pic:spPr>
                </pic:pic>
              </a:graphicData>
            </a:graphic>
          </wp:inline>
        </w:drawing>
      </w:r>
    </w:p>
    <w:p>
      <w:pPr>
        <w:widowControl/>
        <w:rPr>
          <w:rFonts w:hint="default" w:ascii="Times New Roman" w:hAnsi="Times New Roman" w:cs="Times New Roman" w:eastAsiaTheme="minorEastAsia"/>
          <w:kern w:val="2"/>
          <w:sz w:val="20"/>
          <w:szCs w:val="20"/>
          <w:lang w:val="en-US" w:eastAsia="zh-CN"/>
        </w:rPr>
      </w:pPr>
      <w:r>
        <w:rPr>
          <w:rFonts w:hint="default" w:ascii="Times New Roman" w:hAnsi="Times New Roman" w:cs="Times New Roman"/>
          <w:b/>
          <w:bCs/>
          <w:kern w:val="2"/>
          <w:sz w:val="20"/>
          <w:szCs w:val="20"/>
        </w:rPr>
        <w:t xml:space="preserve">Figure </w:t>
      </w:r>
      <w:r>
        <w:rPr>
          <w:rFonts w:hint="eastAsia" w:ascii="Times New Roman" w:hAnsi="Times New Roman" w:cs="Times New Roman"/>
          <w:b/>
          <w:bCs/>
          <w:kern w:val="2"/>
          <w:sz w:val="20"/>
          <w:szCs w:val="20"/>
          <w:lang w:val="en-US" w:eastAsia="zh-CN"/>
        </w:rPr>
        <w:t>E5.</w:t>
      </w:r>
      <w:r>
        <w:rPr>
          <w:rFonts w:hint="default" w:ascii="Times New Roman" w:hAnsi="Times New Roman" w:cs="Times New Roman"/>
          <w:b/>
          <w:bCs/>
          <w:kern w:val="2"/>
          <w:sz w:val="20"/>
          <w:szCs w:val="20"/>
        </w:rPr>
        <w:t xml:space="preserve"> </w:t>
      </w:r>
      <w:r>
        <w:rPr>
          <w:rFonts w:hint="default" w:ascii="Times New Roman" w:hAnsi="Times New Roman" w:cs="Times New Roman"/>
          <w:color w:val="000000" w:themeColor="text1"/>
          <w:sz w:val="20"/>
          <w:szCs w:val="20"/>
          <w14:textFill>
            <w14:solidFill>
              <w14:schemeClr w14:val="tx1"/>
            </w14:solidFill>
          </w14:textFill>
        </w:rPr>
        <w:t>Area under receiver operating characteristic curve comparison of CoRC model, Radiomics model, FIB-4, APRI and LSM in the internal</w:t>
      </w:r>
      <w:r>
        <w:rPr>
          <w:rFonts w:hint="default" w:ascii="Times New Roman" w:hAnsi="Times New Roman" w:cs="Times New Roman"/>
          <w:b/>
          <w:bCs/>
          <w:color w:val="000000" w:themeColor="text1"/>
          <w:sz w:val="20"/>
          <w:szCs w:val="20"/>
          <w14:textFill>
            <w14:solidFill>
              <w14:schemeClr w14:val="tx1"/>
            </w14:solidFill>
          </w14:textFill>
        </w:rPr>
        <w:t xml:space="preserve"> (A)</w:t>
      </w:r>
      <w:r>
        <w:rPr>
          <w:rFonts w:hint="default" w:ascii="Times New Roman" w:hAnsi="Times New Roman" w:cs="Times New Roman"/>
          <w:color w:val="000000" w:themeColor="text1"/>
          <w:sz w:val="20"/>
          <w:szCs w:val="20"/>
          <w14:textFill>
            <w14:solidFill>
              <w14:schemeClr w14:val="tx1"/>
            </w14:solidFill>
          </w14:textFill>
        </w:rPr>
        <w:t xml:space="preserve">, temporal </w:t>
      </w:r>
      <w:r>
        <w:rPr>
          <w:rFonts w:hint="default" w:ascii="Times New Roman" w:hAnsi="Times New Roman" w:cs="Times New Roman"/>
          <w:b/>
          <w:bCs/>
          <w:color w:val="000000" w:themeColor="text1"/>
          <w:sz w:val="20"/>
          <w:szCs w:val="20"/>
          <w14:textFill>
            <w14:solidFill>
              <w14:schemeClr w14:val="tx1"/>
            </w14:solidFill>
          </w14:textFill>
        </w:rPr>
        <w:t>(B)</w:t>
      </w:r>
      <w:r>
        <w:rPr>
          <w:rFonts w:hint="default" w:ascii="Times New Roman" w:hAnsi="Times New Roman" w:cs="Times New Roman"/>
          <w:color w:val="000000" w:themeColor="text1"/>
          <w:sz w:val="20"/>
          <w:szCs w:val="20"/>
          <w14:textFill>
            <w14:solidFill>
              <w14:schemeClr w14:val="tx1"/>
            </w14:solidFill>
          </w14:textFill>
        </w:rPr>
        <w:t xml:space="preserve"> test set for classifying ≥ F2. Decision curve analysis of CoRC model, Radiomics model, FIB-4, and APRI for classifying ≥ F2 in the entire cohort</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b/>
          <w:bCs/>
          <w:color w:val="000000" w:themeColor="text1"/>
          <w:sz w:val="20"/>
          <w:szCs w:val="20"/>
          <w14:textFill>
            <w14:solidFill>
              <w14:schemeClr w14:val="tx1"/>
            </w14:solidFill>
          </w14:textFill>
        </w:rPr>
        <w:t>(C)</w:t>
      </w:r>
      <w:r>
        <w:rPr>
          <w:rFonts w:hint="default" w:ascii="Times New Roman" w:hAnsi="Times New Roman" w:cs="Times New Roman"/>
          <w:color w:val="000000" w:themeColor="text1"/>
          <w:sz w:val="20"/>
          <w:szCs w:val="20"/>
          <w14:textFill>
            <w14:solidFill>
              <w14:schemeClr w14:val="tx1"/>
            </w14:solidFill>
          </w14:textFill>
        </w:rPr>
        <w:t>. Area under receiver operating characteristic curve (ROC) comparison of CoRC model, Radiomics model, FIB-4, APRI, and LSM in the internal</w:t>
      </w:r>
      <w:r>
        <w:rPr>
          <w:rFonts w:hint="default" w:ascii="Times New Roman" w:hAnsi="Times New Roman" w:cs="Times New Roman"/>
          <w:b/>
          <w:bCs/>
          <w:color w:val="000000" w:themeColor="text1"/>
          <w:sz w:val="20"/>
          <w:szCs w:val="20"/>
          <w14:textFill>
            <w14:solidFill>
              <w14:schemeClr w14:val="tx1"/>
            </w14:solidFill>
          </w14:textFill>
        </w:rPr>
        <w:t xml:space="preserve"> (D)</w:t>
      </w:r>
      <w:r>
        <w:rPr>
          <w:rFonts w:hint="default" w:ascii="Times New Roman" w:hAnsi="Times New Roman" w:cs="Times New Roman"/>
          <w:color w:val="000000" w:themeColor="text1"/>
          <w:sz w:val="20"/>
          <w:szCs w:val="20"/>
          <w14:textFill>
            <w14:solidFill>
              <w14:schemeClr w14:val="tx1"/>
            </w14:solidFill>
          </w14:textFill>
        </w:rPr>
        <w:t>, temporal</w:t>
      </w:r>
      <w:r>
        <w:rPr>
          <w:rFonts w:hint="default" w:ascii="Times New Roman" w:hAnsi="Times New Roman" w:cs="Times New Roman"/>
          <w:b/>
          <w:bCs/>
          <w:color w:val="000000" w:themeColor="text1"/>
          <w:sz w:val="20"/>
          <w:szCs w:val="20"/>
          <w14:textFill>
            <w14:solidFill>
              <w14:schemeClr w14:val="tx1"/>
            </w14:solidFill>
          </w14:textFill>
        </w:rPr>
        <w:t xml:space="preserve"> (E)</w:t>
      </w:r>
      <w:r>
        <w:rPr>
          <w:rFonts w:hint="default" w:ascii="Times New Roman" w:hAnsi="Times New Roman" w:cs="Times New Roman"/>
          <w:color w:val="000000" w:themeColor="text1"/>
          <w:sz w:val="20"/>
          <w:szCs w:val="20"/>
          <w14:textFill>
            <w14:solidFill>
              <w14:schemeClr w14:val="tx1"/>
            </w14:solidFill>
          </w14:textFill>
        </w:rPr>
        <w:t xml:space="preserve"> test set for classifying ≥ G2. Decision curve analysis of CoRC model, Radiomics model, FIB-4, and APRI for classifying ≥ G2 in the entire cohort</w:t>
      </w:r>
      <w:r>
        <w:rPr>
          <w:rFonts w:hint="eastAsia" w:ascii="Times New Roman" w:hAnsi="Times New Roman" w:cs="Times New Roman"/>
          <w:b/>
          <w:bCs/>
          <w:color w:val="000000" w:themeColor="text1"/>
          <w:sz w:val="20"/>
          <w:szCs w:val="20"/>
          <w:lang w:val="en-US" w:eastAsia="zh-CN"/>
          <w14:textFill>
            <w14:solidFill>
              <w14:schemeClr w14:val="tx1"/>
            </w14:solidFill>
          </w14:textFill>
        </w:rPr>
        <w:t xml:space="preserve"> </w:t>
      </w:r>
      <w:r>
        <w:rPr>
          <w:rFonts w:hint="default" w:ascii="Times New Roman" w:hAnsi="Times New Roman" w:cs="Times New Roman"/>
          <w:b/>
          <w:bCs/>
          <w:color w:val="000000" w:themeColor="text1"/>
          <w:sz w:val="20"/>
          <w:szCs w:val="20"/>
          <w14:textFill>
            <w14:solidFill>
              <w14:schemeClr w14:val="tx1"/>
            </w14:solidFill>
          </w14:textFill>
        </w:rPr>
        <w:t>(F)</w:t>
      </w:r>
      <w:r>
        <w:rPr>
          <w:rFonts w:hint="default" w:ascii="Times New Roman" w:hAnsi="Times New Roman" w:cs="Times New Roman"/>
          <w:color w:val="000000" w:themeColor="text1"/>
          <w:sz w:val="20"/>
          <w:szCs w:val="20"/>
          <w14:textFill>
            <w14:solidFill>
              <w14:schemeClr w14:val="tx1"/>
            </w14:solidFill>
          </w14:textFill>
        </w:rPr>
        <w:t>. APRI = aspartate transaminase-to-platelet ratio index, FIB-4 = fibrosis-4 index, LSM = liver stiffness measuremen</w:t>
      </w:r>
      <w:r>
        <w:rPr>
          <w:rFonts w:hint="default" w:ascii="Times New Roman" w:hAnsi="Times New Roman" w:cs="Times New Roman"/>
          <w:color w:val="000000" w:themeColor="text1"/>
          <w:sz w:val="20"/>
          <w:szCs w:val="20"/>
          <w:lang w:val="en-US" w:eastAsia="zh-CN"/>
          <w14:textFill>
            <w14:solidFill>
              <w14:schemeClr w14:val="tx1"/>
            </w14:solidFill>
          </w14:textFill>
        </w:rPr>
        <w:t>t.</w:t>
      </w:r>
    </w:p>
    <w:p>
      <w:pPr>
        <w:widowControl/>
        <w:rPr>
          <w:rFonts w:ascii="Times New Roman" w:hAnsi="Times New Roman" w:eastAsia="宋体" w:cs="Times New Roman"/>
          <w:sz w:val="20"/>
          <w:szCs w:val="20"/>
        </w:rPr>
      </w:pPr>
    </w:p>
    <w:sectPr>
      <w:pgSz w:w="14740" w:h="20863"/>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Lato-Bold">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7F7E7D"/>
    <w:multiLevelType w:val="multilevel"/>
    <w:tmpl w:val="487F7E7D"/>
    <w:lvl w:ilvl="0" w:tentative="0">
      <w:start w:val="1"/>
      <w:numFmt w:val="decimal"/>
      <w:lvlText w:val="%1"/>
      <w:lvlJc w:val="left"/>
      <w:pPr>
        <w:ind w:left="360" w:hanging="360"/>
      </w:pPr>
      <w:rPr>
        <w:rFonts w:hint="default" w:ascii="Times New Roman" w:hAnsi="Times New Roman" w:eastAsia="微软雅黑" w:cs="Times New Roman"/>
        <w:b/>
        <w:color w:val="auto"/>
        <w:sz w:val="22"/>
      </w:rPr>
    </w:lvl>
    <w:lvl w:ilvl="1" w:tentative="0">
      <w:start w:val="1"/>
      <w:numFmt w:val="decimal"/>
      <w:lvlText w:val="%1.%2"/>
      <w:lvlJc w:val="left"/>
      <w:pPr>
        <w:ind w:left="360" w:hanging="360"/>
      </w:pPr>
      <w:rPr>
        <w:rFonts w:hint="default" w:ascii="Times New Roman" w:hAnsi="Times New Roman" w:eastAsia="微软雅黑" w:cs="Times New Roman"/>
        <w:b/>
        <w:color w:val="auto"/>
        <w:sz w:val="22"/>
      </w:rPr>
    </w:lvl>
    <w:lvl w:ilvl="2" w:tentative="0">
      <w:start w:val="1"/>
      <w:numFmt w:val="decimal"/>
      <w:lvlText w:val="%1.%2.%3"/>
      <w:lvlJc w:val="left"/>
      <w:pPr>
        <w:ind w:left="720" w:hanging="720"/>
      </w:pPr>
      <w:rPr>
        <w:rFonts w:hint="default" w:ascii="Times New Roman" w:hAnsi="Times New Roman" w:eastAsia="微软雅黑" w:cs="Times New Roman"/>
        <w:b/>
        <w:color w:val="auto"/>
        <w:sz w:val="22"/>
      </w:rPr>
    </w:lvl>
    <w:lvl w:ilvl="3" w:tentative="0">
      <w:start w:val="1"/>
      <w:numFmt w:val="decimal"/>
      <w:lvlText w:val="%1.%2.%3.%4"/>
      <w:lvlJc w:val="left"/>
      <w:pPr>
        <w:ind w:left="720" w:hanging="720"/>
      </w:pPr>
      <w:rPr>
        <w:rFonts w:hint="default" w:ascii="Times New Roman" w:hAnsi="Times New Roman" w:eastAsia="微软雅黑" w:cs="Times New Roman"/>
        <w:b/>
        <w:color w:val="auto"/>
        <w:sz w:val="22"/>
      </w:rPr>
    </w:lvl>
    <w:lvl w:ilvl="4" w:tentative="0">
      <w:start w:val="1"/>
      <w:numFmt w:val="decimal"/>
      <w:lvlText w:val="%1.%2.%3.%4.%5"/>
      <w:lvlJc w:val="left"/>
      <w:pPr>
        <w:ind w:left="1080" w:hanging="1080"/>
      </w:pPr>
      <w:rPr>
        <w:rFonts w:hint="default" w:ascii="Times New Roman" w:hAnsi="Times New Roman" w:eastAsia="微软雅黑" w:cs="Times New Roman"/>
        <w:b/>
        <w:color w:val="auto"/>
        <w:sz w:val="22"/>
      </w:rPr>
    </w:lvl>
    <w:lvl w:ilvl="5" w:tentative="0">
      <w:start w:val="1"/>
      <w:numFmt w:val="decimal"/>
      <w:lvlText w:val="%1.%2.%3.%4.%5.%6"/>
      <w:lvlJc w:val="left"/>
      <w:pPr>
        <w:ind w:left="1080" w:hanging="1080"/>
      </w:pPr>
      <w:rPr>
        <w:rFonts w:hint="default" w:ascii="Times New Roman" w:hAnsi="Times New Roman" w:eastAsia="微软雅黑" w:cs="Times New Roman"/>
        <w:b/>
        <w:color w:val="auto"/>
        <w:sz w:val="22"/>
      </w:rPr>
    </w:lvl>
    <w:lvl w:ilvl="6" w:tentative="0">
      <w:start w:val="1"/>
      <w:numFmt w:val="decimal"/>
      <w:lvlText w:val="%1.%2.%3.%4.%5.%6.%7"/>
      <w:lvlJc w:val="left"/>
      <w:pPr>
        <w:ind w:left="1080" w:hanging="1080"/>
      </w:pPr>
      <w:rPr>
        <w:rFonts w:hint="default" w:ascii="Times New Roman" w:hAnsi="Times New Roman" w:eastAsia="微软雅黑" w:cs="Times New Roman"/>
        <w:b/>
        <w:color w:val="auto"/>
        <w:sz w:val="22"/>
      </w:rPr>
    </w:lvl>
    <w:lvl w:ilvl="7" w:tentative="0">
      <w:start w:val="1"/>
      <w:numFmt w:val="decimal"/>
      <w:lvlText w:val="%1.%2.%3.%4.%5.%6.%7.%8"/>
      <w:lvlJc w:val="left"/>
      <w:pPr>
        <w:ind w:left="1440" w:hanging="1440"/>
      </w:pPr>
      <w:rPr>
        <w:rFonts w:hint="default" w:ascii="Times New Roman" w:hAnsi="Times New Roman" w:eastAsia="微软雅黑" w:cs="Times New Roman"/>
        <w:b/>
        <w:color w:val="auto"/>
        <w:sz w:val="22"/>
      </w:rPr>
    </w:lvl>
    <w:lvl w:ilvl="8" w:tentative="0">
      <w:start w:val="1"/>
      <w:numFmt w:val="decimal"/>
      <w:lvlText w:val="%1.%2.%3.%4.%5.%6.%7.%8.%9"/>
      <w:lvlJc w:val="left"/>
      <w:pPr>
        <w:ind w:left="1440" w:hanging="1440"/>
      </w:pPr>
      <w:rPr>
        <w:rFonts w:hint="default" w:ascii="Times New Roman" w:hAnsi="Times New Roman" w:eastAsia="微软雅黑" w:cs="Times New Roman"/>
        <w:b/>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1N2NlN2VkZWRmZGVjMWFhYzA0NjVjM2Y4ZDNkOTQifQ=="/>
    <w:docVar w:name="EN.InstantFormat" w:val="&lt;ENInstantFormat&gt;&lt;Enabled&gt;1&lt;/Enabled&gt;&lt;ScanUnformatted&gt;1&lt;/ScanUnformatted&gt;&lt;ScanChanges&gt;1&lt;/ScanChanges&gt;&lt;Suspended&gt;1&lt;/Suspended&gt;&lt;/ENInstantFormat&gt;"/>
  </w:docVars>
  <w:rsids>
    <w:rsidRoot w:val="006F710F"/>
    <w:rsid w:val="000000B2"/>
    <w:rsid w:val="00004A21"/>
    <w:rsid w:val="00004C3B"/>
    <w:rsid w:val="000221C8"/>
    <w:rsid w:val="00023565"/>
    <w:rsid w:val="000245F1"/>
    <w:rsid w:val="000264E5"/>
    <w:rsid w:val="00036B11"/>
    <w:rsid w:val="00045476"/>
    <w:rsid w:val="00047934"/>
    <w:rsid w:val="00067CCA"/>
    <w:rsid w:val="00077F02"/>
    <w:rsid w:val="0008273C"/>
    <w:rsid w:val="00091DB4"/>
    <w:rsid w:val="00093278"/>
    <w:rsid w:val="000956CF"/>
    <w:rsid w:val="00096993"/>
    <w:rsid w:val="000A43F0"/>
    <w:rsid w:val="000C0765"/>
    <w:rsid w:val="000C0D04"/>
    <w:rsid w:val="000C1CFD"/>
    <w:rsid w:val="000F0739"/>
    <w:rsid w:val="000F6C18"/>
    <w:rsid w:val="00101B68"/>
    <w:rsid w:val="00101FAA"/>
    <w:rsid w:val="00116BC5"/>
    <w:rsid w:val="0012310B"/>
    <w:rsid w:val="00132A4A"/>
    <w:rsid w:val="001555E9"/>
    <w:rsid w:val="001611F8"/>
    <w:rsid w:val="00180004"/>
    <w:rsid w:val="0018433C"/>
    <w:rsid w:val="001A2E00"/>
    <w:rsid w:val="001B18DE"/>
    <w:rsid w:val="001B200D"/>
    <w:rsid w:val="001B2B3B"/>
    <w:rsid w:val="001B48F6"/>
    <w:rsid w:val="001D4926"/>
    <w:rsid w:val="001D5DE9"/>
    <w:rsid w:val="001D7FB4"/>
    <w:rsid w:val="001E2C1A"/>
    <w:rsid w:val="001E3942"/>
    <w:rsid w:val="001E4C2D"/>
    <w:rsid w:val="001F3F7D"/>
    <w:rsid w:val="002009FA"/>
    <w:rsid w:val="00255730"/>
    <w:rsid w:val="002631FB"/>
    <w:rsid w:val="002950E3"/>
    <w:rsid w:val="00295C0D"/>
    <w:rsid w:val="002A00FF"/>
    <w:rsid w:val="002B603D"/>
    <w:rsid w:val="002C7984"/>
    <w:rsid w:val="002E7DE8"/>
    <w:rsid w:val="002F14C3"/>
    <w:rsid w:val="002F3627"/>
    <w:rsid w:val="002F7D3C"/>
    <w:rsid w:val="002F7F14"/>
    <w:rsid w:val="0030339E"/>
    <w:rsid w:val="00306072"/>
    <w:rsid w:val="00323131"/>
    <w:rsid w:val="003266BD"/>
    <w:rsid w:val="00331027"/>
    <w:rsid w:val="00335807"/>
    <w:rsid w:val="00335A02"/>
    <w:rsid w:val="003456DC"/>
    <w:rsid w:val="00351291"/>
    <w:rsid w:val="00356637"/>
    <w:rsid w:val="003644B0"/>
    <w:rsid w:val="00376544"/>
    <w:rsid w:val="003A0CDA"/>
    <w:rsid w:val="003A2E71"/>
    <w:rsid w:val="003A6FE5"/>
    <w:rsid w:val="003B2BBB"/>
    <w:rsid w:val="003C168D"/>
    <w:rsid w:val="003C4F26"/>
    <w:rsid w:val="003D1D8E"/>
    <w:rsid w:val="003E1451"/>
    <w:rsid w:val="003E1903"/>
    <w:rsid w:val="003E74ED"/>
    <w:rsid w:val="003F2A9F"/>
    <w:rsid w:val="003F752A"/>
    <w:rsid w:val="00420933"/>
    <w:rsid w:val="004272D2"/>
    <w:rsid w:val="00431D6E"/>
    <w:rsid w:val="00434E07"/>
    <w:rsid w:val="004360FD"/>
    <w:rsid w:val="004650D7"/>
    <w:rsid w:val="004745B2"/>
    <w:rsid w:val="0048716A"/>
    <w:rsid w:val="00490B50"/>
    <w:rsid w:val="004934AA"/>
    <w:rsid w:val="004A5C3D"/>
    <w:rsid w:val="004B4769"/>
    <w:rsid w:val="004C431A"/>
    <w:rsid w:val="004D0F64"/>
    <w:rsid w:val="004D15D3"/>
    <w:rsid w:val="004E791F"/>
    <w:rsid w:val="005018F3"/>
    <w:rsid w:val="00551553"/>
    <w:rsid w:val="005571A9"/>
    <w:rsid w:val="00557CF7"/>
    <w:rsid w:val="0056386B"/>
    <w:rsid w:val="00566BD1"/>
    <w:rsid w:val="00576342"/>
    <w:rsid w:val="005844C9"/>
    <w:rsid w:val="00596C4D"/>
    <w:rsid w:val="00596C77"/>
    <w:rsid w:val="005A7C9C"/>
    <w:rsid w:val="005B05E0"/>
    <w:rsid w:val="005C304B"/>
    <w:rsid w:val="005C7562"/>
    <w:rsid w:val="005D2B4F"/>
    <w:rsid w:val="005E0ED0"/>
    <w:rsid w:val="005E37FB"/>
    <w:rsid w:val="005E7BB9"/>
    <w:rsid w:val="00600058"/>
    <w:rsid w:val="0060596D"/>
    <w:rsid w:val="0061141A"/>
    <w:rsid w:val="00617536"/>
    <w:rsid w:val="00621B80"/>
    <w:rsid w:val="006558FD"/>
    <w:rsid w:val="0066387C"/>
    <w:rsid w:val="00673613"/>
    <w:rsid w:val="00694C0D"/>
    <w:rsid w:val="006B2108"/>
    <w:rsid w:val="006C7F6C"/>
    <w:rsid w:val="006D2A8A"/>
    <w:rsid w:val="006E79D7"/>
    <w:rsid w:val="006F484A"/>
    <w:rsid w:val="006F664F"/>
    <w:rsid w:val="006F710F"/>
    <w:rsid w:val="00707285"/>
    <w:rsid w:val="007160D7"/>
    <w:rsid w:val="0071705F"/>
    <w:rsid w:val="00734AB9"/>
    <w:rsid w:val="00741160"/>
    <w:rsid w:val="00742313"/>
    <w:rsid w:val="0074382B"/>
    <w:rsid w:val="00750A7B"/>
    <w:rsid w:val="00757B79"/>
    <w:rsid w:val="00764D19"/>
    <w:rsid w:val="00770803"/>
    <w:rsid w:val="00772FD4"/>
    <w:rsid w:val="00775F29"/>
    <w:rsid w:val="00786DBC"/>
    <w:rsid w:val="00791BCE"/>
    <w:rsid w:val="00794CCB"/>
    <w:rsid w:val="007A2C8C"/>
    <w:rsid w:val="007B2DCA"/>
    <w:rsid w:val="007B5302"/>
    <w:rsid w:val="007D3308"/>
    <w:rsid w:val="007E3697"/>
    <w:rsid w:val="007F5B2A"/>
    <w:rsid w:val="00802ED7"/>
    <w:rsid w:val="00817B2B"/>
    <w:rsid w:val="008351B7"/>
    <w:rsid w:val="00844F8F"/>
    <w:rsid w:val="0084659D"/>
    <w:rsid w:val="00851148"/>
    <w:rsid w:val="008545D0"/>
    <w:rsid w:val="0088252D"/>
    <w:rsid w:val="008943F5"/>
    <w:rsid w:val="008B217F"/>
    <w:rsid w:val="008B2E6F"/>
    <w:rsid w:val="008C017D"/>
    <w:rsid w:val="008E032E"/>
    <w:rsid w:val="009220F8"/>
    <w:rsid w:val="00926D27"/>
    <w:rsid w:val="00934E4D"/>
    <w:rsid w:val="00942D61"/>
    <w:rsid w:val="00945E7D"/>
    <w:rsid w:val="009479D9"/>
    <w:rsid w:val="00961723"/>
    <w:rsid w:val="00991878"/>
    <w:rsid w:val="0099658B"/>
    <w:rsid w:val="009A5C0F"/>
    <w:rsid w:val="009C5230"/>
    <w:rsid w:val="009D2D6F"/>
    <w:rsid w:val="009F3D0B"/>
    <w:rsid w:val="00A107B8"/>
    <w:rsid w:val="00A22216"/>
    <w:rsid w:val="00A3691E"/>
    <w:rsid w:val="00A432B6"/>
    <w:rsid w:val="00A4568E"/>
    <w:rsid w:val="00A54DFC"/>
    <w:rsid w:val="00A65754"/>
    <w:rsid w:val="00A66790"/>
    <w:rsid w:val="00A668A0"/>
    <w:rsid w:val="00A710DE"/>
    <w:rsid w:val="00A81AB5"/>
    <w:rsid w:val="00A8750D"/>
    <w:rsid w:val="00A9039B"/>
    <w:rsid w:val="00A91BBB"/>
    <w:rsid w:val="00A9297B"/>
    <w:rsid w:val="00AA2D1D"/>
    <w:rsid w:val="00AA2D86"/>
    <w:rsid w:val="00AA33F9"/>
    <w:rsid w:val="00AB7DAB"/>
    <w:rsid w:val="00AC056B"/>
    <w:rsid w:val="00AC4C18"/>
    <w:rsid w:val="00AC5876"/>
    <w:rsid w:val="00AE644D"/>
    <w:rsid w:val="00B14CBB"/>
    <w:rsid w:val="00B901E4"/>
    <w:rsid w:val="00B912C3"/>
    <w:rsid w:val="00BA2E47"/>
    <w:rsid w:val="00BB78C7"/>
    <w:rsid w:val="00BC381A"/>
    <w:rsid w:val="00BC7DE7"/>
    <w:rsid w:val="00BE0926"/>
    <w:rsid w:val="00C05515"/>
    <w:rsid w:val="00C13447"/>
    <w:rsid w:val="00C17051"/>
    <w:rsid w:val="00C26012"/>
    <w:rsid w:val="00C26CB2"/>
    <w:rsid w:val="00C3209B"/>
    <w:rsid w:val="00C46C11"/>
    <w:rsid w:val="00C5197E"/>
    <w:rsid w:val="00C52FC4"/>
    <w:rsid w:val="00C54610"/>
    <w:rsid w:val="00C555DB"/>
    <w:rsid w:val="00C55BB6"/>
    <w:rsid w:val="00C70732"/>
    <w:rsid w:val="00C84B59"/>
    <w:rsid w:val="00C86FDA"/>
    <w:rsid w:val="00C9349C"/>
    <w:rsid w:val="00CA2438"/>
    <w:rsid w:val="00CB0080"/>
    <w:rsid w:val="00CB0BF7"/>
    <w:rsid w:val="00CB15E1"/>
    <w:rsid w:val="00CC1137"/>
    <w:rsid w:val="00CC1797"/>
    <w:rsid w:val="00CC3431"/>
    <w:rsid w:val="00CC73DA"/>
    <w:rsid w:val="00CD0EE9"/>
    <w:rsid w:val="00CE2C60"/>
    <w:rsid w:val="00CF312A"/>
    <w:rsid w:val="00CF5296"/>
    <w:rsid w:val="00D046EF"/>
    <w:rsid w:val="00D129D6"/>
    <w:rsid w:val="00D1607B"/>
    <w:rsid w:val="00D319A4"/>
    <w:rsid w:val="00D328DA"/>
    <w:rsid w:val="00D34491"/>
    <w:rsid w:val="00D408FE"/>
    <w:rsid w:val="00D437B7"/>
    <w:rsid w:val="00D45E99"/>
    <w:rsid w:val="00D50DE0"/>
    <w:rsid w:val="00D5481F"/>
    <w:rsid w:val="00D707B3"/>
    <w:rsid w:val="00D76F41"/>
    <w:rsid w:val="00D82CBE"/>
    <w:rsid w:val="00D97AF3"/>
    <w:rsid w:val="00DA52CF"/>
    <w:rsid w:val="00DA5A39"/>
    <w:rsid w:val="00DC54ED"/>
    <w:rsid w:val="00E25ED5"/>
    <w:rsid w:val="00E26154"/>
    <w:rsid w:val="00E534F1"/>
    <w:rsid w:val="00E57EE3"/>
    <w:rsid w:val="00E8098F"/>
    <w:rsid w:val="00E86971"/>
    <w:rsid w:val="00EA5132"/>
    <w:rsid w:val="00EE06AB"/>
    <w:rsid w:val="00EE1156"/>
    <w:rsid w:val="00EE7E09"/>
    <w:rsid w:val="00F03AA7"/>
    <w:rsid w:val="00F06616"/>
    <w:rsid w:val="00F12758"/>
    <w:rsid w:val="00F14E72"/>
    <w:rsid w:val="00F23AF8"/>
    <w:rsid w:val="00F32404"/>
    <w:rsid w:val="00F411CD"/>
    <w:rsid w:val="00F977C8"/>
    <w:rsid w:val="00FB1B4D"/>
    <w:rsid w:val="00FC24E6"/>
    <w:rsid w:val="00FD612A"/>
    <w:rsid w:val="00FE7443"/>
    <w:rsid w:val="00FF0177"/>
    <w:rsid w:val="0219161A"/>
    <w:rsid w:val="05180D50"/>
    <w:rsid w:val="063858F6"/>
    <w:rsid w:val="06910F9C"/>
    <w:rsid w:val="0AAD06A4"/>
    <w:rsid w:val="0ADC2C63"/>
    <w:rsid w:val="0BB53545"/>
    <w:rsid w:val="0C5D2A74"/>
    <w:rsid w:val="10233173"/>
    <w:rsid w:val="12915569"/>
    <w:rsid w:val="210C6C18"/>
    <w:rsid w:val="219537A4"/>
    <w:rsid w:val="222E382B"/>
    <w:rsid w:val="23A253F0"/>
    <w:rsid w:val="2C5226D4"/>
    <w:rsid w:val="2E922324"/>
    <w:rsid w:val="34882BAA"/>
    <w:rsid w:val="349D2C44"/>
    <w:rsid w:val="358676AF"/>
    <w:rsid w:val="365732C7"/>
    <w:rsid w:val="36665B0D"/>
    <w:rsid w:val="3712315A"/>
    <w:rsid w:val="3A2350C6"/>
    <w:rsid w:val="3B5F4080"/>
    <w:rsid w:val="3BCF3712"/>
    <w:rsid w:val="41921766"/>
    <w:rsid w:val="452D3B70"/>
    <w:rsid w:val="45935C88"/>
    <w:rsid w:val="4E4F4B57"/>
    <w:rsid w:val="4F062859"/>
    <w:rsid w:val="50F11EF6"/>
    <w:rsid w:val="54220B00"/>
    <w:rsid w:val="5433189A"/>
    <w:rsid w:val="54FA5FF9"/>
    <w:rsid w:val="550922F1"/>
    <w:rsid w:val="55676C2B"/>
    <w:rsid w:val="5A3D7F5A"/>
    <w:rsid w:val="5AD62847"/>
    <w:rsid w:val="5C786458"/>
    <w:rsid w:val="5D0867B9"/>
    <w:rsid w:val="5E4A2A36"/>
    <w:rsid w:val="61071A72"/>
    <w:rsid w:val="61461DEA"/>
    <w:rsid w:val="640B10C9"/>
    <w:rsid w:val="648261F7"/>
    <w:rsid w:val="65A72259"/>
    <w:rsid w:val="66252A2A"/>
    <w:rsid w:val="67226FEF"/>
    <w:rsid w:val="6727621A"/>
    <w:rsid w:val="685E3EBD"/>
    <w:rsid w:val="68660FC4"/>
    <w:rsid w:val="6A634D12"/>
    <w:rsid w:val="6B3E5AE9"/>
    <w:rsid w:val="6F5A0AB1"/>
    <w:rsid w:val="6FF47DAE"/>
    <w:rsid w:val="727F33AE"/>
    <w:rsid w:val="73F25E01"/>
    <w:rsid w:val="75A1363B"/>
    <w:rsid w:val="767D7586"/>
    <w:rsid w:val="77470212"/>
    <w:rsid w:val="77661E72"/>
    <w:rsid w:val="78443271"/>
    <w:rsid w:val="7E1F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link w:val="18"/>
    <w:semiHidden/>
    <w:unhideWhenUsed/>
    <w:qFormat/>
    <w:uiPriority w:val="0"/>
    <w:pPr>
      <w:spacing w:beforeAutospacing="1" w:afterAutospacing="1"/>
      <w:jc w:val="left"/>
      <w:outlineLvl w:val="2"/>
    </w:pPr>
    <w:rPr>
      <w:rFonts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unhideWhenUsed/>
    <w:qFormat/>
    <w:uiPriority w:val="99"/>
    <w:pPr>
      <w:jc w:val="left"/>
    </w:pPr>
  </w:style>
  <w:style w:type="paragraph" w:styleId="5">
    <w:name w:val="Balloon Text"/>
    <w:basedOn w:val="1"/>
    <w:link w:val="26"/>
    <w:qFormat/>
    <w:uiPriority w:val="0"/>
    <w:rPr>
      <w:rFonts w:ascii="Segoe UI" w:hAnsi="Segoe UI" w:cs="Segoe UI"/>
      <w:sz w:val="18"/>
      <w:szCs w:val="18"/>
    </w:rPr>
  </w:style>
  <w:style w:type="paragraph" w:styleId="6">
    <w:name w:val="footer"/>
    <w:basedOn w:val="1"/>
    <w:link w:val="21"/>
    <w:qFormat/>
    <w:uiPriority w:val="0"/>
    <w:pPr>
      <w:tabs>
        <w:tab w:val="center" w:pos="4153"/>
        <w:tab w:val="right" w:pos="8306"/>
      </w:tabs>
      <w:snapToGrid w:val="0"/>
      <w:jc w:val="left"/>
    </w:pPr>
    <w:rPr>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22"/>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unhideWhenUsed/>
    <w:qFormat/>
    <w:uiPriority w:val="99"/>
    <w:rPr>
      <w:color w:val="0000FF"/>
      <w:u w:val="single"/>
    </w:rPr>
  </w:style>
  <w:style w:type="character" w:styleId="16">
    <w:name w:val="annotation reference"/>
    <w:basedOn w:val="12"/>
    <w:unhideWhenUsed/>
    <w:qFormat/>
    <w:uiPriority w:val="0"/>
    <w:rPr>
      <w:sz w:val="21"/>
      <w:szCs w:val="21"/>
    </w:rPr>
  </w:style>
  <w:style w:type="character" w:customStyle="1" w:styleId="17">
    <w:name w:val="标题 2 字符"/>
    <w:basedOn w:val="12"/>
    <w:link w:val="2"/>
    <w:semiHidden/>
    <w:qFormat/>
    <w:uiPriority w:val="0"/>
    <w:rPr>
      <w:rFonts w:ascii="宋体" w:hAnsi="宋体" w:eastAsia="宋体" w:cs="Times New Roman"/>
      <w:b/>
      <w:bCs/>
      <w:kern w:val="0"/>
      <w:sz w:val="36"/>
      <w:szCs w:val="36"/>
    </w:rPr>
  </w:style>
  <w:style w:type="character" w:customStyle="1" w:styleId="18">
    <w:name w:val="标题 3 字符"/>
    <w:basedOn w:val="12"/>
    <w:link w:val="3"/>
    <w:semiHidden/>
    <w:qFormat/>
    <w:uiPriority w:val="0"/>
    <w:rPr>
      <w:rFonts w:ascii="宋体" w:hAnsi="宋体" w:eastAsia="宋体" w:cs="Times New Roman"/>
      <w:b/>
      <w:bCs/>
      <w:kern w:val="0"/>
      <w:sz w:val="27"/>
      <w:szCs w:val="27"/>
    </w:rPr>
  </w:style>
  <w:style w:type="character" w:customStyle="1" w:styleId="19">
    <w:name w:val="批注文字 字符"/>
    <w:basedOn w:val="12"/>
    <w:link w:val="4"/>
    <w:qFormat/>
    <w:uiPriority w:val="99"/>
  </w:style>
  <w:style w:type="character" w:customStyle="1" w:styleId="20">
    <w:name w:val="页眉 字符"/>
    <w:basedOn w:val="12"/>
    <w:link w:val="7"/>
    <w:qFormat/>
    <w:uiPriority w:val="0"/>
    <w:rPr>
      <w:sz w:val="18"/>
      <w:szCs w:val="18"/>
    </w:rPr>
  </w:style>
  <w:style w:type="character" w:customStyle="1" w:styleId="21">
    <w:name w:val="页脚 字符"/>
    <w:basedOn w:val="12"/>
    <w:link w:val="6"/>
    <w:qFormat/>
    <w:uiPriority w:val="0"/>
    <w:rPr>
      <w:sz w:val="18"/>
      <w:szCs w:val="18"/>
    </w:rPr>
  </w:style>
  <w:style w:type="character" w:customStyle="1" w:styleId="22">
    <w:name w:val="批注主题 字符"/>
    <w:basedOn w:val="19"/>
    <w:link w:val="9"/>
    <w:qFormat/>
    <w:uiPriority w:val="0"/>
    <w:rPr>
      <w:b/>
      <w:bCs/>
    </w:rPr>
  </w:style>
  <w:style w:type="character" w:customStyle="1" w:styleId="23">
    <w:name w:val="ref-lnk"/>
    <w:basedOn w:val="12"/>
    <w:qFormat/>
    <w:uiPriority w:val="0"/>
  </w:style>
  <w:style w:type="character" w:customStyle="1" w:styleId="24">
    <w:name w:val="未处理的提及1"/>
    <w:basedOn w:val="12"/>
    <w:semiHidden/>
    <w:unhideWhenUsed/>
    <w:qFormat/>
    <w:uiPriority w:val="99"/>
    <w:rPr>
      <w:color w:val="605E5C"/>
      <w:shd w:val="clear" w:color="auto" w:fill="E1DFDD"/>
    </w:rPr>
  </w:style>
  <w:style w:type="character" w:customStyle="1" w:styleId="25">
    <w:name w:val="fontstyle01"/>
    <w:basedOn w:val="12"/>
    <w:qFormat/>
    <w:uiPriority w:val="0"/>
    <w:rPr>
      <w:rFonts w:hint="default" w:ascii="Lato-Bold" w:hAnsi="Lato-Bold"/>
      <w:b/>
      <w:bCs/>
      <w:color w:val="242021"/>
      <w:sz w:val="24"/>
      <w:szCs w:val="24"/>
    </w:rPr>
  </w:style>
  <w:style w:type="character" w:customStyle="1" w:styleId="26">
    <w:name w:val="批注框文本 字符"/>
    <w:basedOn w:val="12"/>
    <w:link w:val="5"/>
    <w:qFormat/>
    <w:uiPriority w:val="0"/>
    <w:rPr>
      <w:rFonts w:ascii="Segoe UI" w:hAnsi="Segoe UI" w:cs="Segoe UI"/>
      <w:sz w:val="18"/>
      <w:szCs w:val="18"/>
    </w:rPr>
  </w:style>
  <w:style w:type="paragraph" w:customStyle="1" w:styleId="27">
    <w:name w:val="Revision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8">
    <w:name w:val="EndNote Bibliography Title"/>
    <w:basedOn w:val="1"/>
    <w:link w:val="29"/>
    <w:qFormat/>
    <w:uiPriority w:val="0"/>
    <w:pPr>
      <w:jc w:val="center"/>
    </w:pPr>
    <w:rPr>
      <w:rFonts w:ascii="Calibri" w:hAnsi="Calibri" w:cs="Calibri"/>
      <w:sz w:val="20"/>
    </w:rPr>
  </w:style>
  <w:style w:type="character" w:customStyle="1" w:styleId="29">
    <w:name w:val="EndNote Bibliography Title 字符"/>
    <w:basedOn w:val="12"/>
    <w:link w:val="28"/>
    <w:qFormat/>
    <w:uiPriority w:val="0"/>
    <w:rPr>
      <w:rFonts w:ascii="Calibri" w:hAnsi="Calibri" w:cs="Calibri"/>
      <w:sz w:val="20"/>
    </w:rPr>
  </w:style>
  <w:style w:type="paragraph" w:customStyle="1" w:styleId="30">
    <w:name w:val="EndNote Bibliography"/>
    <w:basedOn w:val="1"/>
    <w:link w:val="31"/>
    <w:qFormat/>
    <w:uiPriority w:val="0"/>
    <w:rPr>
      <w:rFonts w:ascii="Calibri" w:hAnsi="Calibri" w:cs="Calibri"/>
      <w:sz w:val="20"/>
    </w:rPr>
  </w:style>
  <w:style w:type="character" w:customStyle="1" w:styleId="31">
    <w:name w:val="EndNote Bibliography 字符"/>
    <w:basedOn w:val="12"/>
    <w:link w:val="30"/>
    <w:qFormat/>
    <w:uiPriority w:val="0"/>
    <w:rPr>
      <w:rFonts w:ascii="Calibri" w:hAnsi="Calibri" w:cs="Calibri"/>
      <w:sz w:val="20"/>
    </w:rPr>
  </w:style>
  <w:style w:type="paragraph" w:styleId="32">
    <w:name w:val="List Paragraph"/>
    <w:basedOn w:val="1"/>
    <w:qFormat/>
    <w:uiPriority w:val="34"/>
    <w:pPr>
      <w:ind w:firstLine="420" w:firstLineChars="200"/>
    </w:pPr>
  </w:style>
  <w:style w:type="table" w:customStyle="1" w:styleId="33">
    <w:name w:val="Grid Table 2 - Accent 61"/>
    <w:basedOn w:val="10"/>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paragraph" w:customStyle="1" w:styleId="34">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2F8D4-FB73-4016-9B98-E4649953F110}">
  <ds:schemaRefs/>
</ds:datastoreItem>
</file>

<file path=docProps/app.xml><?xml version="1.0" encoding="utf-8"?>
<Properties xmlns="http://schemas.openxmlformats.org/officeDocument/2006/extended-properties" xmlns:vt="http://schemas.openxmlformats.org/officeDocument/2006/docPropsVTypes">
  <Template>Normal</Template>
  <Company>Liverpool School of Tropical Medicine</Company>
  <Pages>11</Pages>
  <Words>1816</Words>
  <Characters>12012</Characters>
  <Lines>89</Lines>
  <Paragraphs>25</Paragraphs>
  <TotalTime>0</TotalTime>
  <ScaleCrop>false</ScaleCrop>
  <LinksUpToDate>false</LinksUpToDate>
  <CharactersWithSpaces>13335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2022-10-18T17:26:00Z</dcterms:created>
  <dc:creator>俊豪</dc:creator>
  <cp:lastModifiedBy>萨摩迷之微笑</cp:lastModifiedBy>
  <dcterms:modified xsi:type="dcterms:W3CDTF">2022-12-22T03:08:56Z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2EABFF40C94E42058EF0106E0523B618</vt:lpwstr>
  </property>
  <property fmtid="{D5CDD505-2E9C-101B-9397-08002B2CF9AE}" pid="4" name="GrammarlyDocumentId">
    <vt:lpwstr>b0372147d720921fb29a03e8cd09a8383128da0872daf48540ee27b7b40cebbc</vt:lpwstr>
  </property>
</Properties>
</file>