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7 Correlation between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serum levels of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IL-28B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and SLE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linical features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(quantitative variables)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tbl>
      <w:tblPr>
        <w:tblStyle w:val="2"/>
        <w:tblW w:w="73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7"/>
        <w:gridCol w:w="2345"/>
        <w:gridCol w:w="2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Clinical features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s</w:t>
            </w:r>
          </w:p>
        </w:tc>
        <w:tc>
          <w:tcPr>
            <w:tcW w:w="2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C3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C4 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ESR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RF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-0.233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IgA 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IgM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IgG 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CRP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SLEDAI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S</w:t>
      </w:r>
      <w:r>
        <w:rPr>
          <w:rFonts w:ascii="Times New Roman" w:hAnsi="Times New Roman" w:cs="Times New Roman"/>
          <w:color w:val="000000"/>
          <w:szCs w:val="21"/>
        </w:rPr>
        <w:t>LE, systemic lupus erythematosustis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ESR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, e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 xml:space="preserve">rythrocyte sedimentation rate;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RF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, rheumatoid factors;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CRP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, 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 xml:space="preserve">C-reactive protein;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SLEDAI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, systemic lupus erythematosus disease activity index.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NGNmYzg0NDhlMzY4NDIxZjkwNTVhNmNlZTlhOGUifQ=="/>
  </w:docVars>
  <w:rsids>
    <w:rsidRoot w:val="453F06E9"/>
    <w:rsid w:val="02987B74"/>
    <w:rsid w:val="14103A0E"/>
    <w:rsid w:val="143E6705"/>
    <w:rsid w:val="1CEE68B6"/>
    <w:rsid w:val="21681A4F"/>
    <w:rsid w:val="24B97852"/>
    <w:rsid w:val="35BB4230"/>
    <w:rsid w:val="3D8F3346"/>
    <w:rsid w:val="44F31176"/>
    <w:rsid w:val="453F06E9"/>
    <w:rsid w:val="599D0A72"/>
    <w:rsid w:val="59C45D2A"/>
    <w:rsid w:val="63366C71"/>
    <w:rsid w:val="69FA386E"/>
    <w:rsid w:val="6AEF5FF1"/>
    <w:rsid w:val="70102641"/>
    <w:rsid w:val="770078FB"/>
    <w:rsid w:val="7C840729"/>
    <w:rsid w:val="7F66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412</Characters>
  <Lines>0</Lines>
  <Paragraphs>0</Paragraphs>
  <TotalTime>31</TotalTime>
  <ScaleCrop>false</ScaleCrop>
  <LinksUpToDate>false</LinksUpToDate>
  <CharactersWithSpaces>452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2022-10-03T05:53:00Z</dcterms:created>
  <dc:creator>2069与你</dc:creator>
  <cp:lastModifiedBy>Administrator</cp:lastModifiedBy>
  <dcterms:modified xsi:type="dcterms:W3CDTF">2022-10-31T00:48:44Z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1D6DA51500C0436480D62B41D68D6AB9</vt:lpwstr>
  </property>
</Properties>
</file>