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ind w:firstLine="3935" w:firstLineChars="700"/>
        <w:jc w:val="left"/>
        <w:rPr>
          <w:rFonts w:hint="default" w:eastAsia="宋体" w:cs="Times New Roman" w:asciiTheme="majorAscii" w:hAnsiTheme="majorAscii"/>
          <w:b/>
          <w:bCs/>
          <w:color w:val="auto"/>
          <w:sz w:val="56"/>
          <w:szCs w:val="56"/>
          <w:highlight w:val="none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ind w:firstLine="3935" w:firstLineChars="700"/>
        <w:jc w:val="left"/>
        <w:rPr>
          <w:rFonts w:hint="default" w:eastAsia="宋体" w:cs="Times New Roman" w:asciiTheme="majorAscii" w:hAnsiTheme="majorAscii"/>
          <w:b/>
          <w:bCs/>
          <w:color w:val="auto"/>
          <w:sz w:val="56"/>
          <w:szCs w:val="56"/>
          <w:highlight w:val="none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ind w:firstLine="3935" w:firstLineChars="700"/>
        <w:jc w:val="left"/>
        <w:rPr>
          <w:rFonts w:hint="default" w:eastAsia="宋体" w:cs="Times New Roman" w:asciiTheme="majorAscii" w:hAnsiTheme="majorAscii"/>
          <w:b/>
          <w:bCs/>
          <w:color w:val="auto"/>
          <w:sz w:val="56"/>
          <w:szCs w:val="56"/>
          <w:highlight w:val="none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ind w:firstLine="3935" w:firstLineChars="700"/>
        <w:jc w:val="left"/>
        <w:rPr>
          <w:rFonts w:hint="default" w:eastAsia="宋体" w:cs="Times New Roman" w:asciiTheme="majorAscii" w:hAnsiTheme="majorAscii"/>
          <w:b/>
          <w:bCs/>
          <w:color w:val="auto"/>
          <w:sz w:val="56"/>
          <w:szCs w:val="56"/>
          <w:highlight w:val="none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ind w:firstLine="3935" w:firstLineChars="700"/>
        <w:jc w:val="left"/>
        <w:rPr>
          <w:rFonts w:hint="default" w:eastAsia="宋体" w:cs="Times New Roman" w:asciiTheme="majorAscii" w:hAnsiTheme="majorAscii"/>
          <w:b/>
          <w:bCs/>
          <w:color w:val="auto"/>
          <w:sz w:val="56"/>
          <w:szCs w:val="56"/>
          <w:highlight w:val="none"/>
        </w:rPr>
      </w:pPr>
      <w:r>
        <w:rPr>
          <w:rFonts w:hint="default" w:eastAsia="宋体" w:cs="Times New Roman" w:asciiTheme="majorAscii" w:hAnsiTheme="majorAscii"/>
          <w:b/>
          <w:bCs/>
          <w:color w:val="auto"/>
          <w:sz w:val="56"/>
          <w:szCs w:val="56"/>
          <w:highlight w:val="none"/>
          <w:lang w:bidi="ar"/>
        </w:rPr>
        <w:t>Supplementary materials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eastAsia="宋体" w:cs="Times New Roman" w:asciiTheme="majorAscii" w:hAnsiTheme="majorAscii"/>
          <w:color w:val="auto"/>
          <w:sz w:val="24"/>
          <w:highlight w:val="none"/>
        </w:rPr>
      </w:pPr>
      <w:bookmarkStart w:id="2" w:name="_GoBack"/>
      <w:bookmarkEnd w:id="2"/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bidi="ar"/>
        </w:rPr>
        <w:t>sT</w:t>
      </w: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val="en-US" w:eastAsia="zh-CN" w:bidi="ar"/>
        </w:rPr>
        <w:t>able</w:t>
      </w: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bidi="ar"/>
        </w:rPr>
        <w:t xml:space="preserve"> 1</w:t>
      </w:r>
      <w:r>
        <w:rPr>
          <w:rFonts w:hint="default" w:eastAsia="宋体" w:cs="Times New Roman" w:asciiTheme="majorAscii" w:hAnsiTheme="majorAscii"/>
          <w:b/>
          <w:bCs/>
          <w:color w:val="auto"/>
          <w:sz w:val="24"/>
          <w:highlight w:val="none"/>
          <w:lang w:bidi="ar"/>
        </w:rPr>
        <w:t xml:space="preserve"> </w:t>
      </w:r>
      <w:r>
        <w:rPr>
          <w:rFonts w:hint="default" w:eastAsia="宋体" w:cs="Times New Roman" w:asciiTheme="majorAscii" w:hAnsiTheme="majorAscii"/>
          <w:color w:val="auto"/>
          <w:sz w:val="24"/>
          <w:highlight w:val="none"/>
          <w:lang w:bidi="ar"/>
        </w:rPr>
        <w:t>Univariable and multivariable logistic regression analysis for postoperative delirium in patients with esophageal cancer after radical esophagectomy (n=699).</w:t>
      </w:r>
    </w:p>
    <w:tbl>
      <w:tblPr>
        <w:tblStyle w:val="3"/>
        <w:tblW w:w="0" w:type="auto"/>
        <w:tblInd w:w="0" w:type="dxa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1"/>
        <w:gridCol w:w="1067"/>
        <w:gridCol w:w="2304"/>
        <w:gridCol w:w="1179"/>
        <w:gridCol w:w="240"/>
        <w:gridCol w:w="1181"/>
        <w:gridCol w:w="2096"/>
        <w:gridCol w:w="1343"/>
      </w:tblGrid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Variables</w:t>
            </w:r>
          </w:p>
        </w:tc>
        <w:tc>
          <w:tcPr>
            <w:tcW w:w="45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  <w:lang w:bidi="ar"/>
              </w:rPr>
              <w:t>Univariable analysis</w:t>
            </w:r>
          </w:p>
        </w:tc>
        <w:tc>
          <w:tcPr>
            <w:tcW w:w="24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  <w:lang w:bidi="ar"/>
              </w:rPr>
              <w:t>Multivariable analysis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vMerge w:val="continue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cs="Times New Roman" w:asciiTheme="majorAscii" w:hAnsiTheme="majorAscii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</w:t>
            </w: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OR (95% CI)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  <w:lang w:bidi="ar"/>
              </w:rPr>
              <w:t>P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 value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</w:t>
            </w:r>
          </w:p>
        </w:tc>
        <w:tc>
          <w:tcPr>
            <w:tcW w:w="209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OR (95% CI)</w:t>
            </w:r>
          </w:p>
        </w:tc>
        <w:tc>
          <w:tcPr>
            <w:tcW w:w="134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  <w:lang w:bidi="ar"/>
              </w:rPr>
              <w:t>P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 value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Demographics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Gender, female vs. male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0.248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1.281 (0.655-2.506)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0.469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Age, &gt; 75 vs. 65-75, years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-0.122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0.885 (0.368-2.131)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0.786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sz w:val="24"/>
                <w:highlight w:val="none"/>
                <w:lang w:bidi="ar"/>
              </w:rPr>
              <w:t>ASA classification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Ⅲ vs. ≤ Ⅱ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1.605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4.977 (2.951-8.394)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0.926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2.524(1.420-4.487)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0.002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Ⅳ vs. ≤ Ⅱ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-0.104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0.901 (0.205-3.964)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0.890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-0.896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0.408(0.090-1.851)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0.245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BMI, kg/m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vertAlign w:val="superscript"/>
                <w:lang w:bidi="ar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25-30 vs. ≤ 25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0.142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1.152 (0.677-1.962)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0.601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&gt; 30 vs. ≤ 25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0.853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2.347 (0.750-7.345)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0.143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Smoking history, yes vs.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0.350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1.419 (0.835-2.411)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0.196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Drinking history, yes vs.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-0.133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0.876 (0.501-1.530)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0.642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Surgical approaches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McKeow vs. Ivor Lewis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  <w:t>-0.596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  <w:t>0.515(0.127-2.401)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  <w:t>0.427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Extent of lymphadenectomy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  <w:lang w:val="en-US" w:eastAsia="zh-CN"/>
              </w:rPr>
              <w:t>T</w:t>
            </w: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 xml:space="preserve">hree-field vs. </w:t>
            </w: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  <w:lang w:val="en-US" w:eastAsia="zh-CN"/>
              </w:rPr>
              <w:t>T</w:t>
            </w: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wo field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  <w:t>-0.951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  <w:t>0.385(0.065-2.290)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  <w:t>0.551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Resection margin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R1 vs. R0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  <w:t>0.291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  <w:t>1.338(0.814-2.290)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  <w:t>0.251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Location of cancer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Upper vs. Middle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  <w:t>1.844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  <w:t>6.320(0.731-54.610)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  <w:t>0.940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val="en-US" w:eastAsia="zh-CN" w:bidi="ar"/>
              </w:rPr>
              <w:t>U</w:t>
            </w: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pper vs. Lower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Cs w:val="21"/>
                <w:highlight w:val="none"/>
                <w:lang w:bidi="ar"/>
              </w:rPr>
              <w:t>1.098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  <w:t>2.998(0.330-27.814)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  <w:lang w:bidi="ar"/>
              </w:rPr>
              <w:t>0.329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Intraoperative information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Anesthesia method, inhalation vs. general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19.128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202935754 (0.0-NA)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Estimated blood loss, per ml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0.000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1.000 (0.998-1.002)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0.816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Operative duration, per min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0.002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1.002 (0.999-1.004)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Anesthesia duration, per min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0.002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1.002 (0.999-1.004)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0.156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Surgical procedure, MIS vs. thoracotomy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-0.162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0.851 (0.500-1.446)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0.550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Pathological diagnosis type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adeno vs. squamous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-0.041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0.960 (0.574-1.606)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0.877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others vs. squamous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-0.975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0.377 (0.050-2.864)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0.346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Comorbidity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Coronary heart disease, yes vs.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0.596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1.815 (0.877-3.756)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0.108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Myocardial infarction, yes vs.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1.431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4.182 (0.753-23.227)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Cerebrovascular disease, yes vs.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0.462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1.588 (0.795-3.173)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0.190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Asthma, yes vs.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1.452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4.271 (1.255-14.536)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Malignant tumor, yes vs.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-19.127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0.000 (0.000-NA)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Renal insufficiency, yes vs. no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1.720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5.586 (0.918-33.972)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0.062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mFI-5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P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refrail vs. 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R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obust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1.742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5.710 (2.697-12.087)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1.353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3.869(1.732-8.640)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F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rail vs. 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R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obust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2.268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9.663 (4.689-19.913)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1.919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6.815(3.119-14.888)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Laboratory testing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Hemoglobin, per g/L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-0.001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0.999 (0.984-1.014)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0.896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RBC, per 10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vertAlign w:val="superscript"/>
                <w:lang w:bidi="ar"/>
              </w:rPr>
              <w:t>12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/L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0.021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1.021 (0.616-1.692)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0.936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Serum albumin, per g/L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0.011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1.011 (0.946-1.081)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0.742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Leukocyte count, per 10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vertAlign w:val="superscript"/>
                <w:lang w:bidi="ar"/>
              </w:rPr>
              <w:t>9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/L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0.131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1.140 (1.000-1.299)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0.049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Serum potassium, per mmol/L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-0.003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0.997 (0.469-2.119)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0.995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Blood sodium, per mmol/L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-0.101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0.904 (0.822-0.993)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0.035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TBIL, per μmol/L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0.011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1.011 (0.957-1.067)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0.697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28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Preoperative MAP, per mmHg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0.009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1.009 (0.987-1.031)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0.437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691" w:type="dxa"/>
            <w:gridSpan w:val="8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eastAsia="宋体" w:cs="Times New Roman" w:asciiTheme="majorAscii" w:hAnsiTheme="majorAscii"/>
          <w:color w:val="auto"/>
          <w:sz w:val="24"/>
          <w:highlight w:val="none"/>
        </w:rPr>
      </w:pP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bidi="ar"/>
        </w:rPr>
        <w:t>sT</w:t>
      </w: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val="en-US" w:eastAsia="zh-CN" w:bidi="ar"/>
        </w:rPr>
        <w:t>able</w:t>
      </w: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bidi="ar"/>
        </w:rPr>
        <w:t xml:space="preserve"> 2 </w:t>
      </w:r>
      <w:r>
        <w:rPr>
          <w:rFonts w:hint="default" w:eastAsia="宋体" w:cs="Times New Roman" w:asciiTheme="majorAscii" w:hAnsiTheme="majorAscii"/>
          <w:color w:val="auto"/>
          <w:sz w:val="24"/>
          <w:highlight w:val="none"/>
          <w:lang w:bidi="ar"/>
        </w:rPr>
        <w:t>Univariable and multivariable logistic regression analysis for postoperative pneumonia in patients with esophageal cancer after radical esophagectomy (n=699).</w:t>
      </w:r>
    </w:p>
    <w:tbl>
      <w:tblPr>
        <w:tblStyle w:val="3"/>
        <w:tblW w:w="0" w:type="auto"/>
        <w:tblInd w:w="0" w:type="dxa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3"/>
        <w:gridCol w:w="943"/>
        <w:gridCol w:w="2390"/>
        <w:gridCol w:w="979"/>
        <w:gridCol w:w="240"/>
        <w:gridCol w:w="972"/>
        <w:gridCol w:w="2400"/>
        <w:gridCol w:w="1254"/>
      </w:tblGrid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bookmarkStart w:id="0" w:name="OLE_LINK3"/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Variables</w:t>
            </w:r>
            <w:bookmarkEnd w:id="0"/>
          </w:p>
        </w:tc>
        <w:tc>
          <w:tcPr>
            <w:tcW w:w="431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  <w:lang w:bidi="ar"/>
              </w:rPr>
              <w:t>Univariable analysis</w:t>
            </w:r>
          </w:p>
        </w:tc>
        <w:tc>
          <w:tcPr>
            <w:tcW w:w="24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62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  <w:lang w:bidi="ar"/>
              </w:rPr>
              <w:t>Multivariable analysis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cs="Times New Roman" w:asciiTheme="majorAscii" w:hAnsiTheme="majorAscii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</w:t>
            </w:r>
          </w:p>
        </w:tc>
        <w:tc>
          <w:tcPr>
            <w:tcW w:w="23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OR (95% CI)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  <w:lang w:bidi="ar"/>
              </w:rPr>
              <w:t>P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 value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</w:t>
            </w:r>
          </w:p>
        </w:tc>
        <w:tc>
          <w:tcPr>
            <w:tcW w:w="24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OR (95% CI)</w:t>
            </w:r>
          </w:p>
        </w:tc>
        <w:tc>
          <w:tcPr>
            <w:tcW w:w="125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  <w:lang w:bidi="ar"/>
              </w:rPr>
              <w:t>P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 value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Demographics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Gender, male vs. female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2.918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18.503 (4.515-75.832)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2.749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15.632 (3.759-65.003)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Age, &gt; 75 vs. 65-75, years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-0.528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0.590 (0.274-1.271)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sz w:val="24"/>
                <w:highlight w:val="none"/>
                <w:lang w:bidi="ar"/>
              </w:rPr>
              <w:t>ASA classification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Ⅲ vs. ≤ Ⅱ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0.376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1.457 (0.976-2.174)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0.066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0.722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1.022 (0.911-3.914)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0.092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Ⅳ vs. ≤ Ⅱ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1.062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2.893 (1.459-5.737)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2.018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1.842 (0.831-3.179)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0.061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BMI, kg/m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vertAlign w:val="superscript"/>
                <w:lang w:bidi="ar"/>
              </w:rPr>
              <w:t>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25-30 vs. ≤ 25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-0.223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0.800 (0.516-1.241)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0.319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&gt; 30 vs. ≤ 25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0.835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2.304 (0.884-6.004)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0.088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Smoking history, yes vs. no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0.160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1.173 (0.762-1.806)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0.468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Drinking history, yes vs. no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0.413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1.512 (1.009-2.267)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Surgical approaches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McKeow vs. Ivor Lewis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0.109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1.115(0.462-2.693)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Extent of lymphadenectomy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  <w:lang w:val="en-US" w:eastAsia="zh-CN"/>
              </w:rPr>
              <w:t>T</w:t>
            </w: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 xml:space="preserve">hree-field vs. </w:t>
            </w: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  <w:lang w:val="en-US" w:eastAsia="zh-CN"/>
              </w:rPr>
              <w:t>T</w:t>
            </w: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wo field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-0.291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0.747(0.239-2.333)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0.616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Resection margin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R1 vs. R0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0.246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1.279(0.864-1.895)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0.219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Location of cancer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Upper vs. Middle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-0.462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0.955(0.359-2.542)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Upper vs. Lower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-0.600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0.549(0.195-1.542)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0.255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Intraoperative information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Anesthesia method, inhalation vs. general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-0.154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0.857 (0.278-2.647)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0.789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Estimated blood loss, per ml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0.002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1.002 (1.000-1.003)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Operative duration, per min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0.006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1.006 (1.004-1.008)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Anesthesia duration, per min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0.006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1.006 (1.004-1.008)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0.006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1.006 (1.004-1.009)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Surgical procedure, MIS vs. thoracotomy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0.748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2.113 (1.439-3.101)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Pathological diagnosis type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adeno vs. squamous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-0.434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0.648 (0.424-0.989)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0.044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others vs. squamous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-1.803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0.165 (0.022-1.240)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Comorbidity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Coronary heart disease, yes vs. no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0.385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1.469 (0.790-2.730)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0.224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Myocardial infarction, yes vs. no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1.419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4.133 (0.825-20.705)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0.084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Cerebrovascular disease, yes vs. no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0.188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1.207 (0.668-2.178)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0.533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Asthma, yes vs. no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-19.822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0.000 (0.000-NA)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Malignant tumor, yes vs. no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-0.625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0.535 (0.121-2.369)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0.410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Renal insufficiency, yes vs. no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1.826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6.211 (1.028-37.539)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0.047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mFI-5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P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refrail vs. 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R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obust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0.799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2.222 (1.367-3.614)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0.931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2.536 (1.510-4.261)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F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rail vs. 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R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obust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1.446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4.248 (2.681-6.730)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1.415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4.118 (2.523-6.722)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Laboratory testing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Hemoglobin, per g/L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0.015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1.015 (1.003-1.027)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RBC, per 10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vertAlign w:val="superscript"/>
                <w:lang w:bidi="ar"/>
              </w:rPr>
              <w:t>12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/L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0.526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1.692 (1.124-2.545)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0.012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Serum albumin, per g/L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-0.001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0.999 (0.948-1.053)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0.969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Leukocyte count, per 10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vertAlign w:val="superscript"/>
                <w:lang w:bidi="ar"/>
              </w:rPr>
              <w:t>9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/L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0.155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1.168 (1.051-1.297)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0.004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0.126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1.134 (1.009-1.275)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0.035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Serum potassium, per mmol/L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0.252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1.286 (0.715-2.315)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0.401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Blood sodium, per mmol/L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-0.064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0.938 (0.870-1.011)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0.093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TBIL, per μmol/L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0.019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1.019 (0.977-1.064)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0.374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Preoperative MAP, per mmHg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0.012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1.012 (0.995-1.030)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0.161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eastAsia="宋体" w:cs="Times New Roman" w:asciiTheme="majorAscii" w:hAnsiTheme="majorAscii"/>
          <w:color w:val="auto"/>
          <w:sz w:val="24"/>
          <w:highlight w:val="none"/>
        </w:rPr>
      </w:pP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bidi="ar"/>
        </w:rPr>
        <w:t>sT</w:t>
      </w: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val="en-US" w:eastAsia="zh-CN" w:bidi="ar"/>
        </w:rPr>
        <w:t>able</w:t>
      </w:r>
      <w:r>
        <w:rPr>
          <w:rFonts w:hint="eastAsia" w:ascii="Calibri" w:hAnsi="Calibri" w:eastAsia="宋体" w:cs="Calibri"/>
          <w:b/>
          <w:bCs/>
          <w:color w:val="auto"/>
          <w:sz w:val="24"/>
          <w:highlight w:val="none"/>
          <w:lang w:val="en-US" w:eastAsia="zh-CN" w:bidi="ar"/>
        </w:rPr>
        <w:t xml:space="preserve"> </w:t>
      </w: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bidi="ar"/>
        </w:rPr>
        <w:t xml:space="preserve">3 </w:t>
      </w:r>
      <w:r>
        <w:rPr>
          <w:rFonts w:hint="default" w:eastAsia="宋体" w:cs="Times New Roman" w:asciiTheme="majorAscii" w:hAnsiTheme="majorAscii"/>
          <w:color w:val="auto"/>
          <w:sz w:val="24"/>
          <w:highlight w:val="none"/>
          <w:lang w:bidi="ar"/>
        </w:rPr>
        <w:t>Univariable and multivariable logistic regression analysis for postoperative 30-day mortality in patients with esophageal cancer after radical esophagectomy (n=699).</w:t>
      </w:r>
    </w:p>
    <w:tbl>
      <w:tblPr>
        <w:tblStyle w:val="3"/>
        <w:tblW w:w="13889" w:type="dxa"/>
        <w:tblInd w:w="135" w:type="dxa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0"/>
        <w:gridCol w:w="1057"/>
        <w:gridCol w:w="2572"/>
        <w:gridCol w:w="1007"/>
        <w:gridCol w:w="240"/>
        <w:gridCol w:w="1134"/>
        <w:gridCol w:w="2752"/>
        <w:gridCol w:w="1467"/>
      </w:tblGrid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bookmarkStart w:id="1" w:name="OLE_LINK4"/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Variables</w:t>
            </w:r>
            <w:bookmarkEnd w:id="1"/>
          </w:p>
        </w:tc>
        <w:tc>
          <w:tcPr>
            <w:tcW w:w="463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  <w:lang w:bidi="ar"/>
              </w:rPr>
              <w:t>Univariable analysis</w:t>
            </w:r>
          </w:p>
        </w:tc>
        <w:tc>
          <w:tcPr>
            <w:tcW w:w="24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535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/>
                <w:bCs/>
                <w:iCs/>
                <w:color w:val="auto"/>
                <w:kern w:val="0"/>
                <w:sz w:val="24"/>
                <w:highlight w:val="none"/>
                <w:lang w:bidi="ar"/>
              </w:rPr>
              <w:t>Multivariable analysis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cs="Times New Roman" w:asciiTheme="majorAscii" w:hAnsiTheme="majorAscii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</w:t>
            </w:r>
          </w:p>
        </w:tc>
        <w:tc>
          <w:tcPr>
            <w:tcW w:w="25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OR (95% CI)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  <w:lang w:bidi="ar"/>
              </w:rPr>
              <w:t>P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 value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</w:t>
            </w:r>
          </w:p>
        </w:tc>
        <w:tc>
          <w:tcPr>
            <w:tcW w:w="275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OR (95% CI)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i/>
                <w:iCs/>
                <w:color w:val="auto"/>
                <w:kern w:val="0"/>
                <w:sz w:val="24"/>
                <w:highlight w:val="none"/>
                <w:lang w:bidi="ar"/>
              </w:rPr>
              <w:t>P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 value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Demographics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Gender, male vs. female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-0.052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0.949 (0.383-2.351)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Age, &gt; 75 vs. 65-75, years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0.047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1.048 (0.310-3.540)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ind w:left="220" w:hanging="221" w:hangingChars="100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sz w:val="22"/>
                <w:szCs w:val="22"/>
                <w:highlight w:val="none"/>
                <w:lang w:bidi="ar"/>
              </w:rPr>
              <w:t>ASA classification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Ⅲ vs. ≤ Ⅱ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1.707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5.513 (2.414-12.593)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1.022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1.042(0.972-2.812)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0.923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Ⅳ vs. ≤ Ⅱ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1.419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4.135 (1.053-16.237)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0.042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1.311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2.431(0.568-4.619)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  <w:t>0.713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BMI, kg/m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vertAlign w:val="superscript"/>
                <w:lang w:bidi="ar"/>
              </w:rPr>
              <w:t>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25-30 vs. ≤ 25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-0.201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0.818 (0.362-1.846)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0.628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&gt; 30 vs. ≤ 25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-18.280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0.000 (0.000-NA)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Smoking history, yes vs. no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0.394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1.483 (0.691-3.184)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0.312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Drinking history, yes vs. no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-0.472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0.623 (0.253-1.535)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0.304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Surgical approaches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McKeow vs. Ivor Lewis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0.256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1.292(0.161-10.363)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Extent of lymphadenectomy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  <w:lang w:val="en-US" w:eastAsia="zh-CN"/>
              </w:rPr>
              <w:t>T</w:t>
            </w: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 xml:space="preserve">hree-field vs. </w:t>
            </w: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  <w:lang w:val="en-US" w:eastAsia="zh-CN"/>
              </w:rPr>
              <w:t>T</w:t>
            </w: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wo field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17.137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1.492(0.561-3.100)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Resection margin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R1 vs. R0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0.027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1.027(0.374-2.896)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0.575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textAlignment w:val="bottom"/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Location of cancer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微软雅黑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Upper vs. Middle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16.251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0.568(0.476-3.619)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0.329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default" w:eastAsia="微软雅黑" w:cs="Times New Roman" w:asciiTheme="majorAscii" w:hAnsiTheme="majorAscii"/>
                <w:b/>
                <w:bCs/>
                <w:color w:val="auto"/>
                <w:szCs w:val="21"/>
                <w:highlight w:val="none"/>
              </w:rPr>
              <w:t>Upper vs. Lower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12.362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0.971(0.173-1.007)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0.581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Intraoperative information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Anesthesia method, inhalation vs. general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-0.176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0.838 (0.108-6.497)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0.866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Estimated blood loss, per ml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0.000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1.000 (0.997-1.003)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0.951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Operative duration, per min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-0.003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0.997 (0.993-1.001)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0.163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Anesthesia duration, per min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-0.002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0.998 (0.994-1.002)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0.276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Surgical procedure, MIS vs. thoracotomy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-1.206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0.300 (0.104-0.863)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-1.361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0.256 (0.084-0.782)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0.017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Pathological diagnosis type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adeno vs. squamous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-0.231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0.794 (0.361-1.745)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0.565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others vs. squamous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-0.112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0.894 (0.115-6.944)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Comorbidity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Coronary heart disease, yes vs. no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-0.353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0.703 (0.164-3.014)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0.635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Myocardial infarction, yes vs. no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2.368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10.677 (1.883-60.540)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0.007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2.012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7.477 (1.010-55.335)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0.049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Cerebrovascular disease, yes vs. no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-0.129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0.879 (0.261-2.958)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0.836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Asthma, yes vs. no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1.443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4.232 (0.889-20.147)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0.070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Malignant tumor, yes vs. no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-18.224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0.000 (0.000-NA)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0.999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Renal insufficiency, yes vs. no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1.643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5.172 (0.562-47.611)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0.147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mFI-5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P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refrail vs. 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R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obust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0.337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1.401 (0.310-6.326)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0.661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0.283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1.328 (0.292-6.031)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0.714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F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 xml:space="preserve">rail vs. 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R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obust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2.704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14.946 (5.125-43.587)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2.660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14.303(4.867-42.031)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Laboratory testing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Hemoglobin, per g/L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-0.002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0.998 (0.977-1.020)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0.889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RBC, per 10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vertAlign w:val="superscript"/>
                <w:lang w:bidi="ar"/>
              </w:rPr>
              <w:t>12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/L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0.331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1.392 (0.654-2.965)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0.391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Serum albumin, per g/L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-0.016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0.984 (0.892-1.086)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0.749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Leukocyte count, per 10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vertAlign w:val="superscript"/>
                <w:lang w:bidi="ar"/>
              </w:rPr>
              <w:t>9</w:t>
            </w: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/L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0.135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1.144 (0.949-1.380)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0.158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Serum potassium, per mmol/L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0.074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1.077 (0.357-3.248)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0.895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Blood sodium, per mmol/L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-0.104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0.901 (0.786-1.032)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0.133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TBIL, per μmol/L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0.061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1.063 (0.990-1.142)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0.095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b w:val="0"/>
                <w:bCs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6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Preoperative MAP, per mmHg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0.016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1.016 (0.984-1.048)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0.333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rPr>
                <w:rFonts w:hint="default" w:eastAsia="等线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  <w:sectPr>
          <w:pgSz w:w="16838" w:h="11906" w:orient="landscape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eastAsia="宋体" w:cs="Times New Roman" w:asciiTheme="majorAscii" w:hAnsiTheme="majorAscii"/>
          <w:color w:val="auto"/>
          <w:sz w:val="24"/>
          <w:highlight w:val="none"/>
        </w:rPr>
      </w:pP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bidi="ar"/>
        </w:rPr>
        <w:t>sT</w:t>
      </w: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val="en-US" w:eastAsia="zh-CN" w:bidi="ar"/>
        </w:rPr>
        <w:t>able</w:t>
      </w:r>
      <w:r>
        <w:rPr>
          <w:rFonts w:hint="default" w:ascii="Calibri" w:hAnsi="Calibri" w:eastAsia="宋体" w:cs="Calibri"/>
          <w:b/>
          <w:bCs/>
          <w:color w:val="auto"/>
          <w:sz w:val="24"/>
          <w:highlight w:val="none"/>
          <w:lang w:bidi="ar"/>
        </w:rPr>
        <w:t xml:space="preserve"> 4</w:t>
      </w:r>
      <w:r>
        <w:rPr>
          <w:rFonts w:hint="default" w:eastAsia="宋体" w:cs="Times New Roman" w:asciiTheme="majorAscii" w:hAnsiTheme="majorAscii"/>
          <w:b/>
          <w:bCs/>
          <w:color w:val="auto"/>
          <w:sz w:val="24"/>
          <w:highlight w:val="none"/>
          <w:lang w:bidi="ar"/>
        </w:rPr>
        <w:t xml:space="preserve"> </w:t>
      </w:r>
      <w:r>
        <w:rPr>
          <w:rFonts w:hint="default" w:eastAsia="宋体" w:cs="Times New Roman" w:asciiTheme="majorAscii" w:hAnsiTheme="majorAscii"/>
          <w:color w:val="auto"/>
          <w:sz w:val="24"/>
          <w:highlight w:val="none"/>
          <w:lang w:bidi="ar"/>
        </w:rPr>
        <w:t>Comparison of different variables in predicting postoperative delirium, pneumonia, and 30-day mortality.</w:t>
      </w:r>
    </w:p>
    <w:tbl>
      <w:tblPr>
        <w:tblStyle w:val="3"/>
        <w:tblW w:w="4350" w:type="pct"/>
        <w:tblInd w:w="0" w:type="dxa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  <w:gridCol w:w="4276"/>
      </w:tblGrid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1" w:hRule="atLeast"/>
        </w:trPr>
        <w:tc>
          <w:tcPr>
            <w:tcW w:w="2354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color w:val="auto"/>
                <w:kern w:val="0"/>
                <w:sz w:val="24"/>
                <w:highlight w:val="none"/>
                <w:lang w:bidi="ar"/>
              </w:rPr>
              <w:t>Outcomes</w:t>
            </w:r>
          </w:p>
        </w:tc>
        <w:tc>
          <w:tcPr>
            <w:tcW w:w="2646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color w:val="auto"/>
                <w:kern w:val="0"/>
                <w:sz w:val="24"/>
                <w:highlight w:val="none"/>
                <w:lang w:bidi="ar"/>
              </w:rPr>
              <w:t>AUC (95% CI)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Postoperative delirium</w:t>
            </w:r>
          </w:p>
        </w:tc>
        <w:tc>
          <w:tcPr>
            <w:tcW w:w="2646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Age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0.529 (0.463-0.595)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 xml:space="preserve">ASA </w:t>
            </w: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sz w:val="24"/>
                <w:highlight w:val="none"/>
                <w:lang w:bidi="ar"/>
              </w:rPr>
              <w:t>classification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0.656 (0.594-0.717)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mFI-5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0.727 (0.672-0.782)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 xml:space="preserve">ASA </w:t>
            </w: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sz w:val="24"/>
                <w:highlight w:val="none"/>
                <w:lang w:bidi="ar"/>
              </w:rPr>
              <w:t>classification</w:t>
            </w: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 xml:space="preserve"> +mFI-5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0.770 (0.716-0.823)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 xml:space="preserve">ASA </w:t>
            </w: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sz w:val="24"/>
                <w:highlight w:val="none"/>
                <w:lang w:bidi="ar"/>
              </w:rPr>
              <w:t>classification</w:t>
            </w: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 xml:space="preserve"> +Age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0.692 (0.631-0.754)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 xml:space="preserve">ASA </w:t>
            </w: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sz w:val="24"/>
                <w:highlight w:val="none"/>
                <w:lang w:bidi="ar"/>
              </w:rPr>
              <w:t>classification</w:t>
            </w: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 xml:space="preserve"> +Age+mFI-5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0.778 (0.731-0.825)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Postoperative pneumonia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Age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0.522 (0.469-0.574)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 xml:space="preserve">ASA </w:t>
            </w: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sz w:val="24"/>
                <w:highlight w:val="none"/>
                <w:lang w:bidi="ar"/>
              </w:rPr>
              <w:t>classification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0.569 (0.514-0.624)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mFI-5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0.660 (0.609-0.711)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ASA+mFI-5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0.665 (0.612-0.719)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ASA+Age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0.577 (0.522-0.632)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ASA+Age+mFI-5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0.661 (0.606-0.715)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Postoperative 30-day mortality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Age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0.529 (0.430-0.629)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 xml:space="preserve">ASA </w:t>
            </w: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sz w:val="24"/>
                <w:highlight w:val="none"/>
                <w:lang w:bidi="ar"/>
              </w:rPr>
              <w:t>classification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0.689 (0.601-0.776)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mFI-5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0.790 (0.711-0.869)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ASA+mFI-5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0.836 (0.775-0.897)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ASA+Age</w:t>
            </w:r>
          </w:p>
        </w:tc>
        <w:tc>
          <w:tcPr>
            <w:tcW w:w="2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0.693 (0.603-0.784)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ind w:firstLine="241" w:firstLineChars="100"/>
              <w:jc w:val="left"/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b/>
                <w:bCs w:val="0"/>
                <w:color w:val="auto"/>
                <w:kern w:val="0"/>
                <w:sz w:val="24"/>
                <w:highlight w:val="none"/>
                <w:lang w:bidi="ar"/>
              </w:rPr>
              <w:t>ASA+Age+mFI-5</w:t>
            </w:r>
          </w:p>
        </w:tc>
        <w:tc>
          <w:tcPr>
            <w:tcW w:w="2646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pacing w:line="240" w:lineRule="auto"/>
              <w:jc w:val="left"/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eastAsia="宋体" w:cs="Times New Roman" w:asciiTheme="majorAscii" w:hAnsiTheme="majorAscii"/>
                <w:color w:val="auto"/>
                <w:kern w:val="0"/>
                <w:sz w:val="24"/>
                <w:highlight w:val="none"/>
                <w:lang w:bidi="ar"/>
              </w:rPr>
              <w:t>0.838 (0.777-0.899)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eastAsia="宋体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240" w:lineRule="auto"/>
        <w:jc w:val="left"/>
        <w:rPr>
          <w:rFonts w:hint="default" w:cs="Times New Roman" w:asciiTheme="majorAscii" w:hAnsiTheme="majorAscii"/>
          <w:color w:val="auto"/>
          <w:sz w:val="24"/>
          <w:highlight w:val="none"/>
        </w:rPr>
      </w:pPr>
    </w:p>
    <w:p/>
    <w:sectPr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1NjU3NWMxYmRjYTMzZTNiMzAwMzkwMzEzZDNkZGMifQ=="/>
  </w:docVars>
  <w:rsids>
    <w:rsidRoot w:val="1576020E"/>
    <w:rsid w:val="1576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2023-01-13T00:44:00Z</dcterms:created>
  <dc:creator>Xinyu Hao</dc:creator>
  <cp:lastModifiedBy>Xinyu Hao</cp:lastModifiedBy>
  <dcterms:modified xsi:type="dcterms:W3CDTF">2023-01-13T00:45:21Z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071807FEF521457585DCFE2433C27D89</vt:lpwstr>
  </property>
</Properties>
</file>