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B6B8FA" w14:textId="77777777" w:rsidR="00AA03D4" w:rsidRPr="00BD2412" w:rsidRDefault="00AA03D4" w:rsidP="00AA03D4">
      <w:pPr>
        <w:spacing w:line="360" w:lineRule="auto"/>
        <w:jc w:val="both"/>
        <w:rPr>
          <w:rFonts w:ascii="Times New Roman" w:hAnsi="Times New Roman" w:cs="Times New Roman"/>
          <w:lang w:val="en-GB"/>
        </w:rPr>
      </w:pPr>
      <w:r w:rsidRPr="00A53D2C">
        <w:rPr>
          <w:rFonts w:ascii="Times New Roman" w:hAnsi="Times New Roman" w:cs="Times New Roman"/>
          <w:b/>
          <w:bCs/>
          <w:lang w:val="en-GB"/>
        </w:rPr>
        <w:t xml:space="preserve">Supplementary materials: </w:t>
      </w:r>
      <w:r w:rsidRPr="00BD2412">
        <w:rPr>
          <w:rFonts w:ascii="Times New Roman" w:hAnsi="Times New Roman" w:cs="Times New Roman"/>
          <w:lang w:val="en-GB"/>
        </w:rPr>
        <w:t xml:space="preserve">The following are available online at www.mdpi.com/xxx/s1, </w:t>
      </w:r>
    </w:p>
    <w:p w14:paraId="28E30CCA" w14:textId="77777777" w:rsidR="00AA03D4" w:rsidRPr="00A53D2C" w:rsidRDefault="00AA03D4" w:rsidP="00AA03D4">
      <w:pPr>
        <w:spacing w:before="240" w:line="276" w:lineRule="auto"/>
        <w:jc w:val="both"/>
        <w:rPr>
          <w:rFonts w:ascii="Times New Roman" w:hAnsi="Times New Roman" w:cs="Times New Roman"/>
          <w:sz w:val="20"/>
          <w:szCs w:val="20"/>
          <w:lang w:val="en-GB"/>
        </w:rPr>
      </w:pPr>
      <w:r w:rsidRPr="00A53D2C">
        <w:rPr>
          <w:rFonts w:ascii="Times New Roman" w:hAnsi="Times New Roman" w:cs="Times New Roman"/>
          <w:b/>
          <w:bCs/>
          <w:sz w:val="20"/>
          <w:szCs w:val="20"/>
          <w:lang w:val="en-GB"/>
        </w:rPr>
        <w:t>Table S1.</w:t>
      </w:r>
      <w:r w:rsidRPr="00A53D2C">
        <w:rPr>
          <w:rFonts w:ascii="Times New Roman" w:hAnsi="Times New Roman" w:cs="Times New Roman"/>
          <w:sz w:val="20"/>
          <w:szCs w:val="20"/>
          <w:lang w:val="en-GB"/>
        </w:rPr>
        <w:t xml:space="preserve"> Division of clinical samples into 3 separate groups based on spectroscopic studies: calcified (CAL) group, lipid (LIP) group and mixed (MIX) group.</w:t>
      </w:r>
    </w:p>
    <w:p w14:paraId="296E5D2D" w14:textId="77777777" w:rsidR="00AA03D4" w:rsidRPr="00A53D2C" w:rsidRDefault="00AA03D4" w:rsidP="00AA03D4">
      <w:pPr>
        <w:spacing w:before="240" w:line="276" w:lineRule="auto"/>
        <w:jc w:val="both"/>
        <w:rPr>
          <w:rFonts w:ascii="Times New Roman" w:hAnsi="Times New Roman" w:cs="Times New Roman"/>
          <w:sz w:val="20"/>
          <w:szCs w:val="20"/>
          <w:lang w:val="en-GB"/>
        </w:rPr>
      </w:pPr>
      <w:r w:rsidRPr="00A53D2C">
        <w:rPr>
          <w:rFonts w:ascii="Times New Roman" w:hAnsi="Times New Roman" w:cs="Times New Roman"/>
          <w:b/>
          <w:bCs/>
          <w:sz w:val="20"/>
          <w:szCs w:val="20"/>
          <w:lang w:val="en-GB"/>
        </w:rPr>
        <w:t>Figure S1.</w:t>
      </w:r>
      <w:r w:rsidRPr="00A53D2C">
        <w:rPr>
          <w:rFonts w:ascii="Times New Roman" w:hAnsi="Times New Roman" w:cs="Times New Roman"/>
          <w:sz w:val="20"/>
          <w:szCs w:val="20"/>
          <w:lang w:val="en-GB"/>
        </w:rPr>
        <w:t xml:space="preserve"> Chart presenting the numbers of  human and bacterial proteins groups at 1% FDR with minimum 2 different peptides (bar graph) and the numbers of bacteria species from which the bacterial proteins were detected in each sample (blue curve).</w:t>
      </w:r>
    </w:p>
    <w:p w14:paraId="09F95F3E" w14:textId="77777777" w:rsidR="00AA03D4" w:rsidRPr="00A53D2C" w:rsidRDefault="00AA03D4" w:rsidP="00AA03D4">
      <w:pPr>
        <w:tabs>
          <w:tab w:val="left" w:pos="2590"/>
        </w:tabs>
        <w:spacing w:line="276" w:lineRule="auto"/>
        <w:jc w:val="both"/>
        <w:rPr>
          <w:rFonts w:ascii="Times New Roman" w:hAnsi="Times New Roman" w:cs="Times New Roman"/>
          <w:sz w:val="20"/>
          <w:szCs w:val="20"/>
          <w:lang w:val="en-GB"/>
        </w:rPr>
      </w:pPr>
      <w:r w:rsidRPr="00A53D2C">
        <w:rPr>
          <w:rFonts w:ascii="Times New Roman" w:hAnsi="Times New Roman" w:cs="Times New Roman"/>
          <w:b/>
          <w:bCs/>
          <w:sz w:val="20"/>
          <w:szCs w:val="20"/>
          <w:lang w:val="en-GB"/>
        </w:rPr>
        <w:t>Table S2.</w:t>
      </w:r>
      <w:r w:rsidRPr="00A53D2C">
        <w:rPr>
          <w:rFonts w:ascii="Times New Roman" w:hAnsi="Times New Roman" w:cs="Times New Roman"/>
          <w:sz w:val="20"/>
          <w:szCs w:val="20"/>
          <w:lang w:val="en-GB"/>
        </w:rPr>
        <w:t xml:space="preserve"> All of the bacteria species, from which the proteins at 1% FDR with minimum 2 different peptides were detected. </w:t>
      </w:r>
    </w:p>
    <w:p w14:paraId="3EC78379" w14:textId="77777777" w:rsidR="00AA03D4" w:rsidRPr="00A53D2C" w:rsidRDefault="00AA03D4" w:rsidP="00AA03D4">
      <w:pPr>
        <w:spacing w:before="240" w:line="276" w:lineRule="auto"/>
        <w:jc w:val="both"/>
        <w:rPr>
          <w:rFonts w:ascii="Times New Roman" w:hAnsi="Times New Roman" w:cs="Times New Roman"/>
          <w:sz w:val="20"/>
          <w:szCs w:val="20"/>
          <w:lang w:val="en-GB"/>
        </w:rPr>
      </w:pPr>
      <w:bookmarkStart w:id="0" w:name="_Hlk118364724"/>
      <w:r w:rsidRPr="00A53D2C">
        <w:rPr>
          <w:rFonts w:ascii="Times New Roman" w:hAnsi="Times New Roman" w:cs="Times New Roman"/>
          <w:b/>
          <w:bCs/>
          <w:sz w:val="20"/>
          <w:szCs w:val="20"/>
          <w:lang w:val="en-GB"/>
        </w:rPr>
        <w:t>Table S3.</w:t>
      </w:r>
      <w:r w:rsidRPr="00A53D2C">
        <w:rPr>
          <w:rFonts w:ascii="Times New Roman" w:hAnsi="Times New Roman" w:cs="Times New Roman"/>
          <w:sz w:val="20"/>
          <w:szCs w:val="20"/>
          <w:lang w:val="en-GB"/>
        </w:rPr>
        <w:t xml:space="preserve"> A table with the number of up-regulated and down-regulated proteins for each clinical sample from the CAL group, which are statistically significant (q&lt;0.05) and the log2FC≥0.45 for up-regulated proteins and log2FC≤-0.45 for down-regulated proteins. </w:t>
      </w:r>
      <w:bookmarkEnd w:id="0"/>
    </w:p>
    <w:p w14:paraId="070B8A68" w14:textId="77777777" w:rsidR="00AA03D4" w:rsidRPr="00A53D2C" w:rsidRDefault="00AA03D4" w:rsidP="00AA03D4">
      <w:pPr>
        <w:spacing w:before="240" w:line="276" w:lineRule="auto"/>
        <w:jc w:val="both"/>
        <w:rPr>
          <w:rFonts w:ascii="Times New Roman" w:hAnsi="Times New Roman" w:cs="Times New Roman"/>
          <w:sz w:val="20"/>
          <w:szCs w:val="20"/>
          <w:lang w:val="en-GB"/>
        </w:rPr>
      </w:pPr>
      <w:r w:rsidRPr="00A53D2C">
        <w:rPr>
          <w:rFonts w:ascii="Times New Roman" w:hAnsi="Times New Roman" w:cs="Times New Roman"/>
          <w:b/>
          <w:bCs/>
          <w:sz w:val="20"/>
          <w:szCs w:val="20"/>
          <w:lang w:val="en-GB"/>
        </w:rPr>
        <w:t>Table S4.</w:t>
      </w:r>
      <w:r w:rsidRPr="00A53D2C">
        <w:rPr>
          <w:rFonts w:ascii="Times New Roman" w:hAnsi="Times New Roman" w:cs="Times New Roman"/>
          <w:sz w:val="20"/>
          <w:szCs w:val="20"/>
          <w:lang w:val="en-GB"/>
        </w:rPr>
        <w:t xml:space="preserve"> A table with the number of up-regulated and down-regulated proteins for each clinical sample from the LIP group, which are statistically significant (q&lt;0.05) and the log2FC≥0.45 for up-regulated proteins and log2FC≤-0.45 for down-regulated proteins.</w:t>
      </w:r>
    </w:p>
    <w:p w14:paraId="60C97C44" w14:textId="77777777" w:rsidR="00AA03D4" w:rsidRPr="00A53D2C" w:rsidRDefault="00AA03D4" w:rsidP="00AA03D4">
      <w:pPr>
        <w:spacing w:before="240" w:line="276" w:lineRule="auto"/>
        <w:jc w:val="both"/>
        <w:rPr>
          <w:rFonts w:ascii="Times New Roman" w:hAnsi="Times New Roman" w:cs="Times New Roman"/>
          <w:sz w:val="20"/>
          <w:szCs w:val="20"/>
          <w:lang w:val="en-GB"/>
        </w:rPr>
      </w:pPr>
      <w:r w:rsidRPr="00A53D2C">
        <w:rPr>
          <w:rFonts w:ascii="Times New Roman" w:hAnsi="Times New Roman" w:cs="Times New Roman"/>
          <w:b/>
          <w:bCs/>
          <w:sz w:val="20"/>
          <w:szCs w:val="20"/>
          <w:lang w:val="en-GB"/>
        </w:rPr>
        <w:t>Table S5.</w:t>
      </w:r>
      <w:r w:rsidRPr="00A53D2C">
        <w:rPr>
          <w:rFonts w:ascii="Times New Roman" w:hAnsi="Times New Roman" w:cs="Times New Roman"/>
          <w:sz w:val="20"/>
          <w:szCs w:val="20"/>
          <w:lang w:val="en-GB"/>
        </w:rPr>
        <w:t xml:space="preserve"> A table with the number of up-regulated and down-regulated proteins for each clinical sample from the MIX group, which are statistically significant (q&lt;0.05) and the log2FC≥0.45 for up-regulated proteins and log2FC≤-0.45 for down-regulated proteins.</w:t>
      </w:r>
    </w:p>
    <w:p w14:paraId="2CB1174B" w14:textId="77777777" w:rsidR="00AA03D4" w:rsidRPr="00A53D2C" w:rsidRDefault="00AA03D4" w:rsidP="00AA03D4">
      <w:pPr>
        <w:spacing w:after="0"/>
        <w:jc w:val="both"/>
        <w:rPr>
          <w:rFonts w:ascii="Times New Roman" w:hAnsi="Times New Roman" w:cs="Times New Roman"/>
          <w:sz w:val="20"/>
          <w:szCs w:val="20"/>
          <w:lang w:val="en-GB"/>
        </w:rPr>
      </w:pPr>
      <w:r w:rsidRPr="00A53D2C">
        <w:rPr>
          <w:rFonts w:ascii="Times New Roman" w:hAnsi="Times New Roman" w:cs="Times New Roman"/>
          <w:b/>
          <w:bCs/>
          <w:sz w:val="20"/>
          <w:szCs w:val="20"/>
          <w:lang w:val="en-GB"/>
        </w:rPr>
        <w:t>Figure S2.</w:t>
      </w:r>
      <w:r w:rsidRPr="00A53D2C">
        <w:rPr>
          <w:rFonts w:ascii="Times New Roman" w:hAnsi="Times New Roman" w:cs="Times New Roman"/>
          <w:sz w:val="20"/>
          <w:szCs w:val="20"/>
          <w:lang w:val="en-GB"/>
        </w:rPr>
        <w:t xml:space="preserve"> PCA analysis of all the clinical sialolith and pooled samples were used in relative quantitative analysis. Data were normalised using the total area sums (TAS) approach, and technical replicates of samples were averaged. </w:t>
      </w:r>
    </w:p>
    <w:p w14:paraId="086ECF0B" w14:textId="77777777" w:rsidR="00E1715D" w:rsidRDefault="00AA03D4"/>
    <w:sectPr w:rsidR="00E171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3D4"/>
    <w:rsid w:val="001942F0"/>
    <w:rsid w:val="002C0857"/>
    <w:rsid w:val="003F01F8"/>
    <w:rsid w:val="00884728"/>
    <w:rsid w:val="008E2845"/>
    <w:rsid w:val="00AA03D4"/>
    <w:rsid w:val="00D00B5E"/>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55236"/>
  <w15:chartTrackingRefBased/>
  <w15:docId w15:val="{417A897F-2FDC-4991-B777-8C79E3DB8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03D4"/>
    <w:rPr>
      <w:lang w:val="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1387</Characters>
  <Application>Microsoft Office Word</Application>
  <DocSecurity>0</DocSecurity>
  <Lines>11</Lines>
  <Paragraphs>3</Paragraphs>
  <ScaleCrop>false</ScaleCrop>
  <Company>Springer Nature</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2023-01-16T22:38:00Z</dcterms:created>
  <dcterms:modified xsi:type="dcterms:W3CDTF">2023-01-16T22:39:00Z</dcterms:modified>
</cp:coreProperties>
</file>