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804C" w14:textId="233BCAD6" w:rsidR="009601D3" w:rsidRPr="00DF096F" w:rsidRDefault="00DF096F">
      <w:pPr>
        <w:rPr>
          <w:rFonts w:ascii="Times New Roman" w:hAnsi="Times New Roman" w:cs="Times New Roman"/>
          <w:b/>
          <w:bCs/>
        </w:rPr>
      </w:pPr>
      <w:r w:rsidRPr="00DF096F">
        <w:rPr>
          <w:rFonts w:ascii="Times New Roman" w:hAnsi="Times New Roman" w:cs="Times New Roman"/>
          <w:b/>
          <w:bCs/>
        </w:rPr>
        <w:t>Supplemental Digital Content</w:t>
      </w:r>
    </w:p>
    <w:p w14:paraId="4A19D71A" w14:textId="77777777" w:rsidR="009862C6" w:rsidRDefault="009862C6" w:rsidP="00DF096F">
      <w:pPr>
        <w:spacing w:line="480" w:lineRule="auto"/>
        <w:rPr>
          <w:rFonts w:ascii="Times New Roman" w:hAnsi="Times New Roman" w:cs="Times New Roman"/>
        </w:rPr>
      </w:pPr>
    </w:p>
    <w:p w14:paraId="1E3E9402" w14:textId="70250290" w:rsidR="009862C6" w:rsidRDefault="009862C6" w:rsidP="009862C6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</w:t>
      </w:r>
      <w:r w:rsidRPr="00E676B6">
        <w:rPr>
          <w:rFonts w:ascii="Times New Roman" w:hAnsi="Times New Roman" w:cs="Times New Roman"/>
        </w:rPr>
        <w:t>Table</w:t>
      </w:r>
      <w:proofErr w:type="spellEnd"/>
      <w:r w:rsidRPr="00E67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E676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Multivariable logistic regression models for major adverse events</w:t>
      </w:r>
    </w:p>
    <w:p w14:paraId="61C0D80E" w14:textId="77777777" w:rsidR="009862C6" w:rsidRDefault="009862C6" w:rsidP="009862C6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984"/>
        <w:gridCol w:w="1843"/>
        <w:gridCol w:w="1559"/>
      </w:tblGrid>
      <w:tr w:rsidR="009862C6" w:rsidRPr="00DA4DB1" w14:paraId="0CD5C426" w14:textId="77777777" w:rsidTr="00170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E2D8E4B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1418" w:type="dxa"/>
          </w:tcPr>
          <w:p w14:paraId="74B89ABA" w14:textId="77777777" w:rsidR="009862C6" w:rsidRPr="00DA4DB1" w:rsidRDefault="009862C6" w:rsidP="0017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OR</w:t>
            </w:r>
          </w:p>
        </w:tc>
        <w:tc>
          <w:tcPr>
            <w:tcW w:w="1984" w:type="dxa"/>
          </w:tcPr>
          <w:p w14:paraId="6914B659" w14:textId="77777777" w:rsidR="009862C6" w:rsidRPr="00DA4DB1" w:rsidRDefault="009862C6" w:rsidP="0017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b w:val="0"/>
                <w:bCs w:val="0"/>
                <w:color w:val="101010"/>
                <w:sz w:val="20"/>
                <w:szCs w:val="20"/>
                <w:u w:color="101010"/>
              </w:rPr>
              <w:t>Lower 95% CI</w:t>
            </w:r>
          </w:p>
        </w:tc>
        <w:tc>
          <w:tcPr>
            <w:tcW w:w="1843" w:type="dxa"/>
          </w:tcPr>
          <w:p w14:paraId="5AA45A02" w14:textId="77777777" w:rsidR="009862C6" w:rsidRPr="00DA4DB1" w:rsidRDefault="009862C6" w:rsidP="0017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b w:val="0"/>
                <w:bCs w:val="0"/>
                <w:color w:val="101010"/>
                <w:sz w:val="20"/>
                <w:szCs w:val="20"/>
                <w:u w:color="101010"/>
              </w:rPr>
              <w:t>Upper 95% CI</w:t>
            </w:r>
          </w:p>
        </w:tc>
        <w:tc>
          <w:tcPr>
            <w:tcW w:w="1559" w:type="dxa"/>
          </w:tcPr>
          <w:p w14:paraId="6E1DEB38" w14:textId="77777777" w:rsidR="009862C6" w:rsidRPr="00DA4DB1" w:rsidRDefault="009862C6" w:rsidP="00170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b w:val="0"/>
                <w:bCs w:val="0"/>
                <w:color w:val="101010"/>
                <w:sz w:val="20"/>
                <w:szCs w:val="20"/>
                <w:u w:color="101010"/>
              </w:rPr>
              <w:t>p-value</w:t>
            </w:r>
          </w:p>
        </w:tc>
      </w:tr>
      <w:tr w:rsidR="009862C6" w:rsidRPr="00DA4DB1" w14:paraId="6AF5C576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FD2A291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Pre-CPB ScO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</w:tcPr>
          <w:p w14:paraId="4EB3A0CB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984" w:type="dxa"/>
          </w:tcPr>
          <w:p w14:paraId="5C2C58FF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843" w:type="dxa"/>
          </w:tcPr>
          <w:p w14:paraId="2C5F12E4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559" w:type="dxa"/>
          </w:tcPr>
          <w:p w14:paraId="56649004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9862C6" w:rsidRPr="00DA4DB1" w14:paraId="70046082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1A5422A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Pre-CPB variability of ScO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8" w:type="dxa"/>
          </w:tcPr>
          <w:p w14:paraId="6BE840AA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984" w:type="dxa"/>
          </w:tcPr>
          <w:p w14:paraId="480599E4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843" w:type="dxa"/>
          </w:tcPr>
          <w:p w14:paraId="19ED9B78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559" w:type="dxa"/>
          </w:tcPr>
          <w:p w14:paraId="4B7203B0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9862C6" w:rsidRPr="00DA4DB1" w14:paraId="2395A353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2F758CE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Pre-CPB eO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ave 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</w:tcPr>
          <w:p w14:paraId="1616C129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984" w:type="dxa"/>
          </w:tcPr>
          <w:p w14:paraId="01FD1226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843" w:type="dxa"/>
          </w:tcPr>
          <w:p w14:paraId="64ADDD85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559" w:type="dxa"/>
          </w:tcPr>
          <w:p w14:paraId="7D182D7A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9862C6" w:rsidRPr="00DA4DB1" w14:paraId="3DA2F4F2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EA76053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Post-CPB ScO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</w:tcPr>
          <w:p w14:paraId="36271A55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984" w:type="dxa"/>
          </w:tcPr>
          <w:p w14:paraId="152A01FA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843" w:type="dxa"/>
          </w:tcPr>
          <w:p w14:paraId="079A9829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559" w:type="dxa"/>
          </w:tcPr>
          <w:p w14:paraId="50CC032F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862C6" w:rsidRPr="00DA4DB1" w14:paraId="3F73F3CF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9BBDB5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Post-CPB variability of ScO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8" w:type="dxa"/>
          </w:tcPr>
          <w:p w14:paraId="04C9A1C6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984" w:type="dxa"/>
          </w:tcPr>
          <w:p w14:paraId="464FD450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843" w:type="dxa"/>
          </w:tcPr>
          <w:p w14:paraId="7F90E16B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559" w:type="dxa"/>
          </w:tcPr>
          <w:p w14:paraId="7424B656" w14:textId="77777777" w:rsidR="009862C6" w:rsidRPr="00DA4DB1" w:rsidRDefault="009862C6" w:rsidP="00170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9862C6" w:rsidRPr="00DA4DB1" w14:paraId="7F33733F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E5D1BB2" w14:textId="77777777" w:rsidR="009862C6" w:rsidRPr="00DA4DB1" w:rsidRDefault="009862C6" w:rsidP="00170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Post-CPB eO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DA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ave</w:t>
            </w: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</w:tcPr>
          <w:p w14:paraId="34FC7127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984" w:type="dxa"/>
          </w:tcPr>
          <w:p w14:paraId="538DB7D0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843" w:type="dxa"/>
          </w:tcPr>
          <w:p w14:paraId="7ED18DCF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559" w:type="dxa"/>
          </w:tcPr>
          <w:p w14:paraId="483A49F1" w14:textId="77777777" w:rsidR="009862C6" w:rsidRPr="00DA4DB1" w:rsidRDefault="009862C6" w:rsidP="00170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4DB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73D929C6" w14:textId="77777777" w:rsidR="009862C6" w:rsidRDefault="009862C6" w:rsidP="009862C6">
      <w:pPr>
        <w:spacing w:line="480" w:lineRule="auto"/>
        <w:rPr>
          <w:rFonts w:ascii="Times New Roman" w:hAnsi="Times New Roman" w:cs="Times New Roman"/>
        </w:rPr>
      </w:pPr>
    </w:p>
    <w:p w14:paraId="6D2494BA" w14:textId="77777777" w:rsidR="009862C6" w:rsidRDefault="009862C6" w:rsidP="009862C6">
      <w:pPr>
        <w:spacing w:line="480" w:lineRule="auto"/>
        <w:rPr>
          <w:rFonts w:ascii="Times New Roman" w:hAnsi="Times New Roman" w:cs="Times New Roman"/>
        </w:rPr>
      </w:pPr>
      <w:r w:rsidRPr="008524A2">
        <w:rPr>
          <w:rFonts w:ascii="Times New Roman" w:hAnsi="Times New Roman" w:cs="Times New Roman"/>
        </w:rPr>
        <w:t xml:space="preserve">Abbreviations: </w:t>
      </w:r>
      <w:proofErr w:type="gramStart"/>
      <w:r>
        <w:rPr>
          <w:rFonts w:ascii="Times New Roman" w:hAnsi="Times New Roman" w:cs="Times New Roman"/>
        </w:rPr>
        <w:t>OR,</w:t>
      </w:r>
      <w:proofErr w:type="gramEnd"/>
      <w:r>
        <w:rPr>
          <w:rFonts w:ascii="Times New Roman" w:hAnsi="Times New Roman" w:cs="Times New Roman"/>
        </w:rPr>
        <w:t xml:space="preserve"> odds ratio; CI, confidence interval; MAE, major adverse event; </w:t>
      </w:r>
      <w:r w:rsidRPr="0091111E">
        <w:rPr>
          <w:rFonts w:ascii="Times New Roman" w:hAnsi="Times New Roman" w:cs="Times New Roman"/>
        </w:rPr>
        <w:t>IQR, interquartile range; RACHS</w:t>
      </w:r>
      <w:r w:rsidRPr="008524A2">
        <w:rPr>
          <w:rFonts w:ascii="Times New Roman" w:hAnsi="Times New Roman" w:cs="Times New Roman"/>
        </w:rPr>
        <w:t>-1, Risk-Adjusted Classification for Congenital Heart Surgery Version 1</w:t>
      </w:r>
      <w:r>
        <w:rPr>
          <w:rFonts w:ascii="Times New Roman" w:hAnsi="Times New Roman" w:cs="Times New Roman"/>
        </w:rPr>
        <w:t>; CPB, cardiopulmonary bypass; ScO</w:t>
      </w:r>
      <w:r w:rsidRPr="00656964">
        <w:rPr>
          <w:rFonts w:ascii="Times New Roman" w:hAnsi="Times New Roman" w:cs="Times New Roman"/>
          <w:vertAlign w:val="subscript"/>
        </w:rPr>
        <w:t>2ave</w:t>
      </w:r>
      <w:r>
        <w:rPr>
          <w:rFonts w:ascii="Times New Roman" w:hAnsi="Times New Roman" w:cs="Times New Roman"/>
        </w:rPr>
        <w:t xml:space="preserve">, average </w:t>
      </w:r>
      <w:r>
        <w:rPr>
          <w:rFonts w:ascii="Times New Roman" w:hAnsi="Times New Roman" w:cs="Times New Roman"/>
          <w:bCs/>
          <w:color w:val="000000"/>
        </w:rPr>
        <w:t>r</w:t>
      </w:r>
      <w:r w:rsidRPr="0066441F">
        <w:rPr>
          <w:rFonts w:ascii="Times New Roman" w:hAnsi="Times New Roman" w:cs="Times New Roman"/>
          <w:bCs/>
          <w:color w:val="000000"/>
        </w:rPr>
        <w:t>egional cerebral oxygen saturation</w:t>
      </w:r>
      <w:r>
        <w:rPr>
          <w:rFonts w:ascii="Times New Roman" w:hAnsi="Times New Roman" w:cs="Times New Roman"/>
          <w:bCs/>
          <w:color w:val="000000"/>
        </w:rPr>
        <w:t>; eO</w:t>
      </w:r>
      <w:r w:rsidRPr="00656964">
        <w:rPr>
          <w:rFonts w:ascii="Times New Roman" w:hAnsi="Times New Roman" w:cs="Times New Roman"/>
          <w:bCs/>
          <w:color w:val="000000"/>
          <w:vertAlign w:val="subscript"/>
        </w:rPr>
        <w:t>2</w:t>
      </w:r>
      <w:r>
        <w:rPr>
          <w:rFonts w:ascii="Times New Roman" w:hAnsi="Times New Roman" w:cs="Times New Roman"/>
          <w:bCs/>
          <w:color w:val="000000"/>
        </w:rPr>
        <w:t>ER</w:t>
      </w:r>
      <w:r w:rsidRPr="00656964">
        <w:rPr>
          <w:rFonts w:ascii="Times New Roman" w:hAnsi="Times New Roman" w:cs="Times New Roman"/>
          <w:bCs/>
          <w:color w:val="000000"/>
          <w:vertAlign w:val="subscript"/>
        </w:rPr>
        <w:t>ave</w:t>
      </w:r>
      <w:r>
        <w:rPr>
          <w:rFonts w:ascii="Times New Roman" w:hAnsi="Times New Roman" w:cs="Times New Roman"/>
          <w:bCs/>
          <w:color w:val="000000"/>
        </w:rPr>
        <w:t xml:space="preserve">, average </w:t>
      </w:r>
      <w:r w:rsidRPr="0066441F">
        <w:rPr>
          <w:rFonts w:ascii="Times New Roman" w:hAnsi="Times New Roman" w:cs="Times New Roman"/>
        </w:rPr>
        <w:t>estimated oxygen extraction ratio</w:t>
      </w:r>
    </w:p>
    <w:p w14:paraId="2F6A90E4" w14:textId="77777777" w:rsidR="009862C6" w:rsidRDefault="009862C6" w:rsidP="009862C6">
      <w:pPr>
        <w:spacing w:line="480" w:lineRule="auto"/>
      </w:pPr>
      <w:r>
        <w:rPr>
          <w:rStyle w:val="None"/>
          <w:rFonts w:ascii="Times New Roman" w:hAnsi="Times New Roman" w:cs="Times New Roman"/>
        </w:rPr>
        <w:t xml:space="preserve">* Each model was adjusted for </w:t>
      </w:r>
      <w:r w:rsidRPr="004F6B4B">
        <w:rPr>
          <w:rStyle w:val="None"/>
          <w:rFonts w:ascii="Times New Roman" w:hAnsi="Times New Roman" w:cs="Times New Roman"/>
        </w:rPr>
        <w:t xml:space="preserve">weight, </w:t>
      </w:r>
      <w:r w:rsidRPr="004F6B4B">
        <w:rPr>
          <w:rFonts w:ascii="Times New Roman" w:hAnsi="Times New Roman" w:cs="Times New Roman"/>
        </w:rPr>
        <w:t xml:space="preserve">cyanotic CHD, and </w:t>
      </w:r>
      <w:r w:rsidRPr="004F6B4B">
        <w:rPr>
          <w:rStyle w:val="None"/>
          <w:rFonts w:ascii="Times New Roman" w:hAnsi="Times New Roman" w:cs="Times New Roman"/>
        </w:rPr>
        <w:t>RACHS-1 score</w:t>
      </w:r>
      <w:r>
        <w:rPr>
          <w:rStyle w:val="None"/>
          <w:rFonts w:ascii="Times New Roman" w:hAnsi="Times New Roman" w:cs="Times New Roman"/>
        </w:rPr>
        <w:t xml:space="preserve">. Only the variables of interest are shown in the table. </w:t>
      </w:r>
    </w:p>
    <w:p w14:paraId="187D6955" w14:textId="26455545" w:rsidR="009862C6" w:rsidRDefault="009862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5EEFD4" w14:textId="2700FC90" w:rsidR="00DF096F" w:rsidRDefault="00DF096F" w:rsidP="00DF096F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e</w:t>
      </w:r>
      <w:r w:rsidRPr="005B230D">
        <w:rPr>
          <w:rFonts w:ascii="Times New Roman" w:hAnsi="Times New Roman" w:cs="Times New Roman"/>
        </w:rPr>
        <w:t>Table</w:t>
      </w:r>
      <w:proofErr w:type="spellEnd"/>
      <w:r w:rsidRPr="005B230D">
        <w:rPr>
          <w:rFonts w:ascii="Times New Roman" w:hAnsi="Times New Roman" w:cs="Times New Roman"/>
        </w:rPr>
        <w:t xml:space="preserve"> </w:t>
      </w:r>
      <w:r w:rsidR="009862C6">
        <w:rPr>
          <w:rFonts w:ascii="Times New Roman" w:hAnsi="Times New Roman" w:cs="Times New Roman"/>
        </w:rPr>
        <w:t>2</w:t>
      </w:r>
      <w:r w:rsidRPr="005B230D">
        <w:rPr>
          <w:rFonts w:ascii="Times New Roman" w:hAnsi="Times New Roman" w:cs="Times New Roman"/>
        </w:rPr>
        <w:t xml:space="preserve">.  </w:t>
      </w:r>
      <w:r w:rsidRPr="005B230D">
        <w:rPr>
          <w:rStyle w:val="CommentTextChar"/>
        </w:rPr>
        <w:t>Receiver operating curve</w:t>
      </w:r>
      <w:r>
        <w:rPr>
          <w:rStyle w:val="CommentTextChar"/>
        </w:rPr>
        <w:t xml:space="preserve"> </w:t>
      </w:r>
      <w:r w:rsidRPr="005B230D">
        <w:rPr>
          <w:rFonts w:ascii="Times New Roman" w:hAnsi="Times New Roman" w:cs="Times New Roman"/>
        </w:rPr>
        <w:t xml:space="preserve">analyses for predicting </w:t>
      </w:r>
      <w:r>
        <w:rPr>
          <w:rFonts w:ascii="Times New Roman" w:hAnsi="Times New Roman" w:cs="Times New Roman"/>
        </w:rPr>
        <w:t>major adverse events</w:t>
      </w:r>
      <w:r w:rsidRPr="005B230D">
        <w:rPr>
          <w:rFonts w:ascii="Times New Roman" w:hAnsi="Times New Roman" w:cs="Times New Roman"/>
        </w:rPr>
        <w:t xml:space="preserve"> in subgroups of patients with the use of each </w:t>
      </w:r>
      <w:r>
        <w:rPr>
          <w:rFonts w:ascii="Times New Roman" w:hAnsi="Times New Roman" w:cs="Times New Roman"/>
          <w:bCs/>
          <w:color w:val="000000"/>
        </w:rPr>
        <w:t>n</w:t>
      </w:r>
      <w:r w:rsidRPr="005B230D">
        <w:rPr>
          <w:rFonts w:ascii="Times New Roman" w:hAnsi="Times New Roman" w:cs="Times New Roman"/>
          <w:bCs/>
          <w:color w:val="000000"/>
        </w:rPr>
        <w:t xml:space="preserve">ear-infrared spectroscopy </w:t>
      </w:r>
      <w:r w:rsidRPr="005B230D">
        <w:rPr>
          <w:rFonts w:ascii="Times New Roman" w:hAnsi="Times New Roman" w:cs="Times New Roman"/>
        </w:rPr>
        <w:t>device</w:t>
      </w:r>
      <w:r>
        <w:rPr>
          <w:rFonts w:ascii="Times New Roman" w:hAnsi="Times New Roman" w:cs="Times New Roman"/>
        </w:rPr>
        <w:t>.</w:t>
      </w:r>
    </w:p>
    <w:p w14:paraId="2C236126" w14:textId="77777777" w:rsidR="00DF096F" w:rsidRDefault="00DF096F" w:rsidP="00DF096F">
      <w:pPr>
        <w:spacing w:line="480" w:lineRule="auto"/>
        <w:rPr>
          <w:rFonts w:ascii="Times New Roman" w:hAnsi="Times New Roman" w:cs="Times New Roman"/>
        </w:rPr>
      </w:pPr>
    </w:p>
    <w:p w14:paraId="6452AD11" w14:textId="77777777" w:rsidR="00DF096F" w:rsidRDefault="00DF096F" w:rsidP="00DF096F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F096F" w:rsidRPr="00622473" w14:paraId="3B7EB430" w14:textId="77777777" w:rsidTr="00170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2C66334" w14:textId="424CD4F7" w:rsidR="00DF096F" w:rsidRPr="00622473" w:rsidRDefault="00435DA7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Device</w:t>
            </w:r>
          </w:p>
        </w:tc>
        <w:tc>
          <w:tcPr>
            <w:tcW w:w="2337" w:type="dxa"/>
          </w:tcPr>
          <w:p w14:paraId="1FD8AFAA" w14:textId="77777777" w:rsidR="00DF096F" w:rsidRPr="00622473" w:rsidRDefault="00DF096F" w:rsidP="0017015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2338" w:type="dxa"/>
          </w:tcPr>
          <w:p w14:paraId="56D7C434" w14:textId="77777777" w:rsidR="00DF096F" w:rsidRPr="00622473" w:rsidRDefault="00DF096F" w:rsidP="0017015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AUROC</w:t>
            </w:r>
          </w:p>
        </w:tc>
        <w:tc>
          <w:tcPr>
            <w:tcW w:w="2338" w:type="dxa"/>
          </w:tcPr>
          <w:p w14:paraId="2E8EE89E" w14:textId="77777777" w:rsidR="00DF096F" w:rsidRPr="00622473" w:rsidRDefault="00DF096F" w:rsidP="0017015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DF096F" w:rsidRPr="00622473" w14:paraId="5237231F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6D37786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O3 oximetry system</w:t>
            </w:r>
          </w:p>
        </w:tc>
        <w:tc>
          <w:tcPr>
            <w:tcW w:w="2337" w:type="dxa"/>
          </w:tcPr>
          <w:p w14:paraId="799CFA3C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</w:p>
        </w:tc>
        <w:tc>
          <w:tcPr>
            <w:tcW w:w="2338" w:type="dxa"/>
          </w:tcPr>
          <w:p w14:paraId="1638D699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2338" w:type="dxa"/>
          </w:tcPr>
          <w:p w14:paraId="1D8D565E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0.618 – 0.970</w:t>
            </w:r>
          </w:p>
        </w:tc>
      </w:tr>
      <w:tr w:rsidR="00DF096F" w:rsidRPr="00622473" w14:paraId="7D444EBC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84B4756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AFC775F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variability of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38" w:type="dxa"/>
          </w:tcPr>
          <w:p w14:paraId="727C5C23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2338" w:type="dxa"/>
          </w:tcPr>
          <w:p w14:paraId="27E7A8D2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0.363 – 0.749</w:t>
            </w:r>
          </w:p>
        </w:tc>
      </w:tr>
      <w:tr w:rsidR="00DF096F" w:rsidRPr="00622473" w14:paraId="3522882F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08D8951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0D9CE8E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eO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ave</w:t>
            </w:r>
          </w:p>
        </w:tc>
        <w:tc>
          <w:tcPr>
            <w:tcW w:w="2338" w:type="dxa"/>
          </w:tcPr>
          <w:p w14:paraId="0ED5E72B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2338" w:type="dxa"/>
          </w:tcPr>
          <w:p w14:paraId="3F121E55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0.509 – 0.928</w:t>
            </w:r>
          </w:p>
        </w:tc>
      </w:tr>
      <w:tr w:rsidR="00DF096F" w:rsidRPr="00622473" w14:paraId="240E8809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8CF3CBC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1599A9E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338" w:type="dxa"/>
          </w:tcPr>
          <w:p w14:paraId="358D5A38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2338" w:type="dxa"/>
          </w:tcPr>
          <w:p w14:paraId="0ACAE060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0.708 – 0.918</w:t>
            </w:r>
          </w:p>
        </w:tc>
      </w:tr>
      <w:tr w:rsidR="00DF096F" w:rsidRPr="00622473" w14:paraId="671B4C3E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C858DD8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0A9F89BD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variability of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38" w:type="dxa"/>
          </w:tcPr>
          <w:p w14:paraId="2573CB36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2338" w:type="dxa"/>
          </w:tcPr>
          <w:p w14:paraId="6647AF41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0.415 – 0.750</w:t>
            </w:r>
          </w:p>
        </w:tc>
      </w:tr>
      <w:tr w:rsidR="00DF096F" w:rsidRPr="00622473" w14:paraId="1FAF5134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48DB7D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0F1912A5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eO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ave</w:t>
            </w:r>
          </w:p>
        </w:tc>
        <w:tc>
          <w:tcPr>
            <w:tcW w:w="2338" w:type="dxa"/>
          </w:tcPr>
          <w:p w14:paraId="4FECFB50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2338" w:type="dxa"/>
          </w:tcPr>
          <w:p w14:paraId="51720ED1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0.589 – 0.865</w:t>
            </w:r>
          </w:p>
        </w:tc>
      </w:tr>
      <w:tr w:rsidR="00DF096F" w:rsidRPr="00622473" w14:paraId="20699E43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3CAF33C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NIRO spectrometer</w:t>
            </w:r>
          </w:p>
        </w:tc>
        <w:tc>
          <w:tcPr>
            <w:tcW w:w="2337" w:type="dxa"/>
          </w:tcPr>
          <w:p w14:paraId="3BE2193E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</w:p>
        </w:tc>
        <w:tc>
          <w:tcPr>
            <w:tcW w:w="2338" w:type="dxa"/>
          </w:tcPr>
          <w:p w14:paraId="6BEF2E32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2338" w:type="dxa"/>
          </w:tcPr>
          <w:p w14:paraId="51CC29BA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0.362 – 0.818</w:t>
            </w:r>
          </w:p>
        </w:tc>
      </w:tr>
      <w:tr w:rsidR="00DF096F" w:rsidRPr="00622473" w14:paraId="330A327A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EE93414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237F9E89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variability of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38" w:type="dxa"/>
          </w:tcPr>
          <w:p w14:paraId="71F1BB3E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2338" w:type="dxa"/>
          </w:tcPr>
          <w:p w14:paraId="61A932AE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0.685 – 0.862</w:t>
            </w:r>
          </w:p>
        </w:tc>
      </w:tr>
      <w:tr w:rsidR="00DF096F" w:rsidRPr="00622473" w14:paraId="00B03F8B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93F3010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823A30F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Pre-CPB eO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ave</w:t>
            </w:r>
          </w:p>
        </w:tc>
        <w:tc>
          <w:tcPr>
            <w:tcW w:w="2338" w:type="dxa"/>
          </w:tcPr>
          <w:p w14:paraId="0A338112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2338" w:type="dxa"/>
          </w:tcPr>
          <w:p w14:paraId="74EB4483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0.572 – 0.980</w:t>
            </w:r>
          </w:p>
        </w:tc>
      </w:tr>
      <w:tr w:rsidR="00DF096F" w:rsidRPr="00622473" w14:paraId="0188CB14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48264FB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968AE7B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2ave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338" w:type="dxa"/>
          </w:tcPr>
          <w:p w14:paraId="5FFA539F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2338" w:type="dxa"/>
          </w:tcPr>
          <w:p w14:paraId="2166D868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0.699 – 0.864</w:t>
            </w:r>
          </w:p>
        </w:tc>
      </w:tr>
      <w:tr w:rsidR="00DF096F" w:rsidRPr="00622473" w14:paraId="366F4703" w14:textId="77777777" w:rsidTr="0017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7E361B4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928335F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variability of ScO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38" w:type="dxa"/>
          </w:tcPr>
          <w:p w14:paraId="4647A7FE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2338" w:type="dxa"/>
          </w:tcPr>
          <w:p w14:paraId="46048501" w14:textId="77777777" w:rsidR="00DF096F" w:rsidRPr="00622473" w:rsidRDefault="00DF096F" w:rsidP="0017015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0.482 – 0.806</w:t>
            </w:r>
          </w:p>
        </w:tc>
      </w:tr>
      <w:tr w:rsidR="00DF096F" w:rsidRPr="00622473" w14:paraId="7110C6F1" w14:textId="77777777" w:rsidTr="0017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6041B26" w14:textId="77777777" w:rsidR="00DF096F" w:rsidRPr="00622473" w:rsidRDefault="00DF096F" w:rsidP="001701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46927192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Post-CPB eO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62247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ave</w:t>
            </w:r>
          </w:p>
        </w:tc>
        <w:tc>
          <w:tcPr>
            <w:tcW w:w="2338" w:type="dxa"/>
          </w:tcPr>
          <w:p w14:paraId="7B1BD609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2338" w:type="dxa"/>
          </w:tcPr>
          <w:p w14:paraId="75EF1BF7" w14:textId="77777777" w:rsidR="00DF096F" w:rsidRPr="00622473" w:rsidRDefault="00DF096F" w:rsidP="0017015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sz w:val="20"/>
                <w:szCs w:val="20"/>
              </w:rPr>
              <w:t>0.655 – 0.920</w:t>
            </w:r>
          </w:p>
        </w:tc>
      </w:tr>
    </w:tbl>
    <w:p w14:paraId="2BAD0144" w14:textId="77777777" w:rsidR="00DF096F" w:rsidRDefault="00DF096F" w:rsidP="00DF096F">
      <w:pPr>
        <w:spacing w:line="360" w:lineRule="auto"/>
        <w:rPr>
          <w:rFonts w:ascii="Times New Roman" w:hAnsi="Times New Roman" w:cs="Times New Roman"/>
        </w:rPr>
      </w:pPr>
    </w:p>
    <w:p w14:paraId="27164EF8" w14:textId="77777777" w:rsidR="00DF096F" w:rsidRDefault="00DF096F" w:rsidP="00DF096F">
      <w:pPr>
        <w:spacing w:line="480" w:lineRule="auto"/>
        <w:rPr>
          <w:rFonts w:ascii="Times New Roman" w:hAnsi="Times New Roman" w:cs="Times New Roman"/>
        </w:rPr>
      </w:pPr>
    </w:p>
    <w:p w14:paraId="1DE03B97" w14:textId="7E7FD9F1" w:rsidR="00DF096F" w:rsidRDefault="00DF096F" w:rsidP="00DF096F">
      <w:pPr>
        <w:spacing w:line="480" w:lineRule="auto"/>
        <w:rPr>
          <w:rFonts w:ascii="Times New Roman" w:hAnsi="Times New Roman" w:cs="Times New Roman"/>
        </w:rPr>
      </w:pPr>
      <w:r w:rsidRPr="008524A2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AUROC, </w:t>
      </w:r>
      <w:r w:rsidRPr="005B230D">
        <w:rPr>
          <w:rStyle w:val="None"/>
          <w:rFonts w:ascii="Times New Roman" w:hAnsi="Times New Roman" w:cs="Times New Roman"/>
        </w:rPr>
        <w:t>Area under the receiver operating curve</w:t>
      </w:r>
      <w:r>
        <w:rPr>
          <w:rStyle w:val="None"/>
          <w:rFonts w:ascii="Times New Roman" w:hAnsi="Times New Roman" w:cs="Times New Roman"/>
        </w:rPr>
        <w:t xml:space="preserve">; CI, </w:t>
      </w:r>
      <w:r>
        <w:rPr>
          <w:rFonts w:ascii="Times New Roman" w:hAnsi="Times New Roman" w:cs="Times New Roman"/>
        </w:rPr>
        <w:t>confidence interval; CPB, cardiopulmonary bypass; ScO</w:t>
      </w:r>
      <w:r w:rsidRPr="00656964">
        <w:rPr>
          <w:rFonts w:ascii="Times New Roman" w:hAnsi="Times New Roman" w:cs="Times New Roman"/>
          <w:vertAlign w:val="subscript"/>
        </w:rPr>
        <w:t>2ave</w:t>
      </w:r>
      <w:r>
        <w:rPr>
          <w:rFonts w:ascii="Times New Roman" w:hAnsi="Times New Roman" w:cs="Times New Roman"/>
        </w:rPr>
        <w:t xml:space="preserve">, average </w:t>
      </w:r>
      <w:r>
        <w:rPr>
          <w:rFonts w:ascii="Times New Roman" w:hAnsi="Times New Roman" w:cs="Times New Roman"/>
          <w:bCs/>
          <w:color w:val="000000"/>
        </w:rPr>
        <w:t>r</w:t>
      </w:r>
      <w:r w:rsidRPr="0066441F">
        <w:rPr>
          <w:rFonts w:ascii="Times New Roman" w:hAnsi="Times New Roman" w:cs="Times New Roman"/>
          <w:bCs/>
          <w:color w:val="000000"/>
        </w:rPr>
        <w:t>egional cerebral oxygen saturation</w:t>
      </w:r>
      <w:r>
        <w:rPr>
          <w:rFonts w:ascii="Times New Roman" w:hAnsi="Times New Roman" w:cs="Times New Roman"/>
          <w:bCs/>
          <w:color w:val="000000"/>
        </w:rPr>
        <w:t>;</w:t>
      </w:r>
      <w:r w:rsidRPr="00201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ScO</w:t>
      </w:r>
      <w:r w:rsidRPr="0065696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  <w:color w:val="000000"/>
        </w:rPr>
        <w:t>r</w:t>
      </w:r>
      <w:r w:rsidRPr="0066441F">
        <w:rPr>
          <w:rFonts w:ascii="Times New Roman" w:hAnsi="Times New Roman" w:cs="Times New Roman"/>
          <w:bCs/>
          <w:color w:val="000000"/>
        </w:rPr>
        <w:t>egional cerebral oxygen saturation</w:t>
      </w:r>
      <w:r>
        <w:rPr>
          <w:rFonts w:ascii="Times New Roman" w:hAnsi="Times New Roman" w:cs="Times New Roman"/>
          <w:bCs/>
          <w:color w:val="000000"/>
        </w:rPr>
        <w:t>; eO</w:t>
      </w:r>
      <w:r w:rsidRPr="00656964">
        <w:rPr>
          <w:rFonts w:ascii="Times New Roman" w:hAnsi="Times New Roman" w:cs="Times New Roman"/>
          <w:bCs/>
          <w:color w:val="000000"/>
          <w:vertAlign w:val="subscript"/>
        </w:rPr>
        <w:t>2</w:t>
      </w:r>
      <w:r>
        <w:rPr>
          <w:rFonts w:ascii="Times New Roman" w:hAnsi="Times New Roman" w:cs="Times New Roman"/>
          <w:bCs/>
          <w:color w:val="000000"/>
        </w:rPr>
        <w:t>ER</w:t>
      </w:r>
      <w:r w:rsidRPr="00656964">
        <w:rPr>
          <w:rFonts w:ascii="Times New Roman" w:hAnsi="Times New Roman" w:cs="Times New Roman"/>
          <w:bCs/>
          <w:color w:val="000000"/>
          <w:vertAlign w:val="subscript"/>
        </w:rPr>
        <w:t>ave</w:t>
      </w:r>
      <w:r>
        <w:rPr>
          <w:rFonts w:ascii="Times New Roman" w:hAnsi="Times New Roman" w:cs="Times New Roman"/>
          <w:bCs/>
          <w:color w:val="000000"/>
        </w:rPr>
        <w:t xml:space="preserve">, average </w:t>
      </w:r>
      <w:r w:rsidRPr="0066441F">
        <w:rPr>
          <w:rFonts w:ascii="Times New Roman" w:hAnsi="Times New Roman" w:cs="Times New Roman"/>
        </w:rPr>
        <w:t>estimated oxygen extraction ratio</w:t>
      </w:r>
    </w:p>
    <w:p w14:paraId="09D8E93E" w14:textId="61789835" w:rsidR="00C930EE" w:rsidRDefault="00C930EE" w:rsidP="00DF096F">
      <w:pPr>
        <w:spacing w:line="480" w:lineRule="auto"/>
        <w:rPr>
          <w:rFonts w:ascii="Times New Roman" w:hAnsi="Times New Roman" w:cs="Times New Roman"/>
        </w:rPr>
      </w:pPr>
    </w:p>
    <w:p w14:paraId="253A29B6" w14:textId="15055582" w:rsidR="00DF096F" w:rsidRDefault="00DF096F"/>
    <w:sectPr w:rsidR="00DF096F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144B" w14:textId="77777777" w:rsidR="00226D02" w:rsidRDefault="00226D02" w:rsidP="00DF096F">
      <w:r>
        <w:separator/>
      </w:r>
    </w:p>
  </w:endnote>
  <w:endnote w:type="continuationSeparator" w:id="0">
    <w:p w14:paraId="2C5185C1" w14:textId="77777777" w:rsidR="00226D02" w:rsidRDefault="00226D02" w:rsidP="00DF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123696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6F2DB7" w14:textId="1D11F96B" w:rsidR="00DF096F" w:rsidRDefault="00DF096F" w:rsidP="00D429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A1EF8A" w14:textId="77777777" w:rsidR="00DF096F" w:rsidRDefault="00DF096F" w:rsidP="00DF09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773505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DCE2AC" w14:textId="268252A1" w:rsidR="00DF096F" w:rsidRDefault="00DF096F" w:rsidP="00D429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7FAB56" w14:textId="77777777" w:rsidR="00DF096F" w:rsidRDefault="00DF096F" w:rsidP="00DF09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403E" w14:textId="77777777" w:rsidR="00226D02" w:rsidRDefault="00226D02" w:rsidP="00DF096F">
      <w:r>
        <w:separator/>
      </w:r>
    </w:p>
  </w:footnote>
  <w:footnote w:type="continuationSeparator" w:id="0">
    <w:p w14:paraId="39BE1890" w14:textId="77777777" w:rsidR="00226D02" w:rsidRDefault="00226D02" w:rsidP="00DF0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6F"/>
    <w:rsid w:val="00001CC6"/>
    <w:rsid w:val="000170E8"/>
    <w:rsid w:val="0002495B"/>
    <w:rsid w:val="00056018"/>
    <w:rsid w:val="000D0B81"/>
    <w:rsid w:val="0011181B"/>
    <w:rsid w:val="001576A5"/>
    <w:rsid w:val="00157C44"/>
    <w:rsid w:val="0019016C"/>
    <w:rsid w:val="001A1DA4"/>
    <w:rsid w:val="001A6098"/>
    <w:rsid w:val="00207512"/>
    <w:rsid w:val="00226D02"/>
    <w:rsid w:val="00245AFE"/>
    <w:rsid w:val="002506BD"/>
    <w:rsid w:val="00370532"/>
    <w:rsid w:val="003E6AF1"/>
    <w:rsid w:val="003F3086"/>
    <w:rsid w:val="003F488F"/>
    <w:rsid w:val="0043598D"/>
    <w:rsid w:val="00435DA7"/>
    <w:rsid w:val="00462C25"/>
    <w:rsid w:val="00467513"/>
    <w:rsid w:val="004B5032"/>
    <w:rsid w:val="00516591"/>
    <w:rsid w:val="00603546"/>
    <w:rsid w:val="00603FDF"/>
    <w:rsid w:val="00606695"/>
    <w:rsid w:val="00633842"/>
    <w:rsid w:val="00655E3D"/>
    <w:rsid w:val="006A435E"/>
    <w:rsid w:val="006D74BE"/>
    <w:rsid w:val="0070015A"/>
    <w:rsid w:val="007022C9"/>
    <w:rsid w:val="00710754"/>
    <w:rsid w:val="00751B02"/>
    <w:rsid w:val="00772E61"/>
    <w:rsid w:val="007974DD"/>
    <w:rsid w:val="007D6382"/>
    <w:rsid w:val="00807445"/>
    <w:rsid w:val="00861120"/>
    <w:rsid w:val="0086235E"/>
    <w:rsid w:val="00883EFE"/>
    <w:rsid w:val="009364B8"/>
    <w:rsid w:val="00937893"/>
    <w:rsid w:val="00945DCD"/>
    <w:rsid w:val="00950639"/>
    <w:rsid w:val="009601D3"/>
    <w:rsid w:val="009617FC"/>
    <w:rsid w:val="009862C6"/>
    <w:rsid w:val="009B18DB"/>
    <w:rsid w:val="009B2D25"/>
    <w:rsid w:val="009D4927"/>
    <w:rsid w:val="00A64F32"/>
    <w:rsid w:val="00A7452B"/>
    <w:rsid w:val="00AC6407"/>
    <w:rsid w:val="00AE79AD"/>
    <w:rsid w:val="00AF2726"/>
    <w:rsid w:val="00B063C8"/>
    <w:rsid w:val="00B06B92"/>
    <w:rsid w:val="00B4671B"/>
    <w:rsid w:val="00B62394"/>
    <w:rsid w:val="00B90577"/>
    <w:rsid w:val="00BB7CD4"/>
    <w:rsid w:val="00BC0701"/>
    <w:rsid w:val="00BC52BB"/>
    <w:rsid w:val="00BD0D1D"/>
    <w:rsid w:val="00BF73F7"/>
    <w:rsid w:val="00C309E0"/>
    <w:rsid w:val="00C613FB"/>
    <w:rsid w:val="00C930EE"/>
    <w:rsid w:val="00CC3A57"/>
    <w:rsid w:val="00CD40AF"/>
    <w:rsid w:val="00CD4563"/>
    <w:rsid w:val="00D55214"/>
    <w:rsid w:val="00D72A46"/>
    <w:rsid w:val="00DA513E"/>
    <w:rsid w:val="00DB2A2D"/>
    <w:rsid w:val="00DB3977"/>
    <w:rsid w:val="00DE32F5"/>
    <w:rsid w:val="00DF096F"/>
    <w:rsid w:val="00E15ADF"/>
    <w:rsid w:val="00ED7368"/>
    <w:rsid w:val="00F566E8"/>
    <w:rsid w:val="00F9276B"/>
    <w:rsid w:val="00FC3097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2BDB2"/>
  <w15:chartTrackingRefBased/>
  <w15:docId w15:val="{71D69BE5-0EFA-0944-9665-072CE481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96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DF096F"/>
  </w:style>
  <w:style w:type="paragraph" w:styleId="CommentText">
    <w:name w:val="annotation text"/>
    <w:basedOn w:val="Normal"/>
    <w:link w:val="CommentTextChar"/>
    <w:uiPriority w:val="99"/>
    <w:unhideWhenUsed/>
    <w:rsid w:val="00DF096F"/>
    <w:pPr>
      <w:widowControl w:val="0"/>
    </w:pPr>
    <w:rPr>
      <w:rFonts w:ascii="Times New Roman" w:hAnsi="Times New Roman" w:cs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96F"/>
    <w:rPr>
      <w:rFonts w:ascii="Times New Roman" w:hAnsi="Times New Roman" w:cs="Times New Roman"/>
      <w:lang w:val="en-US" w:eastAsia="en-US"/>
    </w:rPr>
  </w:style>
  <w:style w:type="table" w:styleId="PlainTable1">
    <w:name w:val="Plain Table 1"/>
    <w:basedOn w:val="TableNormal"/>
    <w:uiPriority w:val="41"/>
    <w:rsid w:val="00DF096F"/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DF0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96F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F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MS Mincho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Kimura, Satoshi</dc:creator>
  <cp:keywords/>
  <dc:description/>
  <cp:lastModifiedBy>Kimura, Satoshi</cp:lastModifiedBy>
  <cp:revision>5</cp:revision>
  <dcterms:created xsi:type="dcterms:W3CDTF">2022-10-07T11:57:00Z</dcterms:created>
  <dcterms:modified xsi:type="dcterms:W3CDTF">2022-10-12T12:17:00Z</dcterms:modified>
</cp:coreProperties>
</file>