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06BA8" w14:textId="77777777" w:rsidR="00BF51FE" w:rsidRPr="009C685E" w:rsidRDefault="00BF51FE" w:rsidP="00BF51FE">
      <w:pPr>
        <w:pStyle w:val="Paragraph"/>
        <w:spacing w:before="0" w:line="360" w:lineRule="auto"/>
        <w:ind w:left="720" w:firstLine="0"/>
        <w:jc w:val="both"/>
        <w:rPr>
          <w:rFonts w:eastAsiaTheme="minorEastAsia"/>
          <w:b/>
          <w:bCs/>
          <w:i/>
          <w:sz w:val="20"/>
          <w:szCs w:val="20"/>
          <w:lang w:eastAsia="zh-CN"/>
        </w:rPr>
      </w:pPr>
      <w:r w:rsidRPr="009C685E">
        <w:rPr>
          <w:rFonts w:eastAsiaTheme="minorEastAsia"/>
          <w:b/>
          <w:bCs/>
          <w:i/>
          <w:sz w:val="20"/>
          <w:szCs w:val="20"/>
          <w:lang w:eastAsia="zh-CN"/>
        </w:rPr>
        <w:t>Table. S1 O-</w:t>
      </w:r>
      <w:proofErr w:type="spellStart"/>
      <w:r w:rsidRPr="009C685E">
        <w:rPr>
          <w:rFonts w:eastAsiaTheme="minorEastAsia"/>
          <w:b/>
          <w:bCs/>
          <w:i/>
          <w:sz w:val="20"/>
          <w:szCs w:val="20"/>
          <w:lang w:eastAsia="zh-CN"/>
        </w:rPr>
        <w:t>GlcNAcylated</w:t>
      </w:r>
      <w:proofErr w:type="spellEnd"/>
      <w:r w:rsidRPr="009C685E">
        <w:rPr>
          <w:rFonts w:eastAsiaTheme="minorEastAsia"/>
          <w:b/>
          <w:bCs/>
          <w:i/>
          <w:sz w:val="20"/>
          <w:szCs w:val="20"/>
          <w:lang w:eastAsia="zh-CN"/>
        </w:rPr>
        <w:t xml:space="preserve"> proteins in meiosis</w:t>
      </w:r>
    </w:p>
    <w:tbl>
      <w:tblPr>
        <w:tblStyle w:val="a7"/>
        <w:tblpPr w:leftFromText="180" w:rightFromText="180" w:vertAnchor="text" w:tblpY="1"/>
        <w:tblOverlap w:val="never"/>
        <w:tblW w:w="0" w:type="auto"/>
        <w:tblLook w:val="04A0" w:firstRow="1" w:lastRow="0" w:firstColumn="1" w:lastColumn="0" w:noHBand="0" w:noVBand="1"/>
      </w:tblPr>
      <w:tblGrid>
        <w:gridCol w:w="1507"/>
        <w:gridCol w:w="2085"/>
        <w:gridCol w:w="1678"/>
        <w:gridCol w:w="1404"/>
        <w:gridCol w:w="1622"/>
      </w:tblGrid>
      <w:tr w:rsidR="00BF51FE" w:rsidRPr="009C685E" w14:paraId="0AE320DA" w14:textId="77777777" w:rsidTr="00DE380F">
        <w:tc>
          <w:tcPr>
            <w:tcW w:w="1507" w:type="dxa"/>
          </w:tcPr>
          <w:p w14:paraId="4E7EE712" w14:textId="77777777" w:rsidR="00BF51FE" w:rsidRPr="009C685E" w:rsidRDefault="00BF51FE" w:rsidP="00DE380F">
            <w:pPr>
              <w:spacing w:line="360" w:lineRule="auto"/>
              <w:jc w:val="both"/>
            </w:pPr>
            <w:bookmarkStart w:id="0" w:name="_Hlk121269115"/>
            <w:r w:rsidRPr="009C685E">
              <w:t>Protein name</w:t>
            </w:r>
          </w:p>
        </w:tc>
        <w:tc>
          <w:tcPr>
            <w:tcW w:w="2085" w:type="dxa"/>
          </w:tcPr>
          <w:p w14:paraId="75736B9D" w14:textId="77777777" w:rsidR="00BF51FE" w:rsidRPr="009C685E" w:rsidRDefault="00BF51FE" w:rsidP="00DE380F">
            <w:pPr>
              <w:spacing w:line="360" w:lineRule="auto"/>
              <w:jc w:val="both"/>
            </w:pPr>
            <w:r w:rsidRPr="009C685E">
              <w:t>Meiotic role</w:t>
            </w:r>
          </w:p>
        </w:tc>
        <w:tc>
          <w:tcPr>
            <w:tcW w:w="1678" w:type="dxa"/>
          </w:tcPr>
          <w:p w14:paraId="67F44A36" w14:textId="77777777" w:rsidR="00BF51FE" w:rsidRPr="009C685E" w:rsidRDefault="00BF51FE" w:rsidP="00DE380F">
            <w:pPr>
              <w:spacing w:line="360" w:lineRule="auto"/>
              <w:jc w:val="both"/>
            </w:pPr>
            <w:r w:rsidRPr="009C685E">
              <w:t>O-GlcNAc site</w:t>
            </w:r>
          </w:p>
        </w:tc>
        <w:tc>
          <w:tcPr>
            <w:tcW w:w="1404" w:type="dxa"/>
          </w:tcPr>
          <w:p w14:paraId="21CFF447" w14:textId="77777777" w:rsidR="00BF51FE" w:rsidRPr="009C685E" w:rsidRDefault="00BF51FE" w:rsidP="00DE380F">
            <w:pPr>
              <w:spacing w:line="360" w:lineRule="auto"/>
              <w:jc w:val="both"/>
            </w:pPr>
            <w:r w:rsidRPr="009C685E">
              <w:t>validation</w:t>
            </w:r>
          </w:p>
        </w:tc>
        <w:tc>
          <w:tcPr>
            <w:tcW w:w="1622" w:type="dxa"/>
          </w:tcPr>
          <w:p w14:paraId="41DB0888" w14:textId="77777777" w:rsidR="00BF51FE" w:rsidRPr="009C685E" w:rsidRDefault="00BF51FE" w:rsidP="00DE380F">
            <w:pPr>
              <w:spacing w:line="360" w:lineRule="auto"/>
              <w:jc w:val="both"/>
            </w:pPr>
            <w:r w:rsidRPr="009C685E">
              <w:t>Reference</w:t>
            </w:r>
          </w:p>
        </w:tc>
      </w:tr>
      <w:tr w:rsidR="00BF51FE" w:rsidRPr="009C685E" w14:paraId="69C7A475" w14:textId="77777777" w:rsidTr="00DE380F">
        <w:tc>
          <w:tcPr>
            <w:tcW w:w="1507" w:type="dxa"/>
          </w:tcPr>
          <w:p w14:paraId="466FFDB2" w14:textId="77777777" w:rsidR="00BF51FE" w:rsidRPr="009C685E" w:rsidRDefault="00BF51FE" w:rsidP="00DE380F">
            <w:pPr>
              <w:spacing w:line="360" w:lineRule="auto"/>
              <w:jc w:val="both"/>
            </w:pPr>
            <w:r w:rsidRPr="009C685E">
              <w:t>ATR</w:t>
            </w:r>
          </w:p>
        </w:tc>
        <w:tc>
          <w:tcPr>
            <w:tcW w:w="2085" w:type="dxa"/>
          </w:tcPr>
          <w:p w14:paraId="51647FD6" w14:textId="77777777" w:rsidR="00BF51FE" w:rsidRPr="009C685E" w:rsidRDefault="00BF51FE" w:rsidP="00DE380F">
            <w:pPr>
              <w:spacing w:line="360" w:lineRule="auto"/>
              <w:jc w:val="both"/>
            </w:pPr>
            <w:r w:rsidRPr="009C685E">
              <w:t>DNA damage sensing</w:t>
            </w:r>
          </w:p>
        </w:tc>
        <w:tc>
          <w:tcPr>
            <w:tcW w:w="1678" w:type="dxa"/>
          </w:tcPr>
          <w:p w14:paraId="17891D58" w14:textId="77777777" w:rsidR="00BF51FE" w:rsidRPr="009C685E" w:rsidRDefault="00BF51FE" w:rsidP="00DE380F">
            <w:pPr>
              <w:spacing w:line="360" w:lineRule="auto"/>
              <w:jc w:val="both"/>
            </w:pPr>
            <w:r w:rsidRPr="009C685E">
              <w:t>S2075,S2414</w:t>
            </w:r>
          </w:p>
        </w:tc>
        <w:tc>
          <w:tcPr>
            <w:tcW w:w="1404" w:type="dxa"/>
          </w:tcPr>
          <w:p w14:paraId="02378254" w14:textId="77777777" w:rsidR="00BF51FE" w:rsidRPr="009C685E" w:rsidRDefault="00BF51FE" w:rsidP="00DE380F">
            <w:pPr>
              <w:spacing w:line="360" w:lineRule="auto"/>
              <w:jc w:val="both"/>
            </w:pPr>
            <w:r w:rsidRPr="009C685E">
              <w:t>Mass spectrometry</w:t>
            </w:r>
          </w:p>
        </w:tc>
        <w:tc>
          <w:tcPr>
            <w:tcW w:w="1622" w:type="dxa"/>
          </w:tcPr>
          <w:p w14:paraId="268F7D53"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34A08170" w14:textId="77777777" w:rsidTr="00DE380F">
        <w:tc>
          <w:tcPr>
            <w:tcW w:w="1507" w:type="dxa"/>
          </w:tcPr>
          <w:p w14:paraId="2AFCFC0A" w14:textId="77777777" w:rsidR="00BF51FE" w:rsidRPr="009C685E" w:rsidRDefault="00BF51FE" w:rsidP="00DE380F">
            <w:pPr>
              <w:spacing w:line="360" w:lineRule="auto"/>
              <w:jc w:val="both"/>
            </w:pPr>
            <w:r w:rsidRPr="009C685E">
              <w:t>ATRIP</w:t>
            </w:r>
          </w:p>
        </w:tc>
        <w:tc>
          <w:tcPr>
            <w:tcW w:w="2085" w:type="dxa"/>
          </w:tcPr>
          <w:p w14:paraId="465DD5D0" w14:textId="77777777" w:rsidR="00BF51FE" w:rsidRPr="009C685E" w:rsidRDefault="00BF51FE" w:rsidP="00DE380F">
            <w:pPr>
              <w:spacing w:line="360" w:lineRule="auto"/>
              <w:jc w:val="both"/>
            </w:pPr>
            <w:r w:rsidRPr="009C685E">
              <w:t>Interacts with ATR</w:t>
            </w:r>
          </w:p>
        </w:tc>
        <w:tc>
          <w:tcPr>
            <w:tcW w:w="1678" w:type="dxa"/>
          </w:tcPr>
          <w:p w14:paraId="18E05FA9" w14:textId="77777777" w:rsidR="00BF51FE" w:rsidRPr="009C685E" w:rsidRDefault="00BF51FE" w:rsidP="00DE380F">
            <w:pPr>
              <w:spacing w:line="360" w:lineRule="auto"/>
              <w:jc w:val="both"/>
            </w:pPr>
          </w:p>
        </w:tc>
        <w:tc>
          <w:tcPr>
            <w:tcW w:w="1404" w:type="dxa"/>
          </w:tcPr>
          <w:p w14:paraId="72C29ABA" w14:textId="77777777" w:rsidR="00BF51FE" w:rsidRPr="009C685E" w:rsidRDefault="00BF51FE" w:rsidP="00DE380F">
            <w:pPr>
              <w:spacing w:line="360" w:lineRule="auto"/>
              <w:jc w:val="both"/>
            </w:pPr>
            <w:r w:rsidRPr="009C685E">
              <w:t>Mass spectrometry</w:t>
            </w:r>
          </w:p>
        </w:tc>
        <w:tc>
          <w:tcPr>
            <w:tcW w:w="1622" w:type="dxa"/>
          </w:tcPr>
          <w:p w14:paraId="2EB6C496"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-1","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mendeley":{"formattedCitation":"[40]","plainTextFormattedCitation":"[40]","previouslyFormattedCitation":"[40]"},"properties":{"noteIndex":0},"schema":"https://github.com/citation-style-language/schema/raw/master/csl-citation.json"}</w:instrText>
            </w:r>
            <w:r w:rsidRPr="009C685E">
              <w:fldChar w:fldCharType="separate"/>
            </w:r>
            <w:r w:rsidRPr="009C685E">
              <w:t>[40]</w:t>
            </w:r>
            <w:r w:rsidRPr="009C685E">
              <w:fldChar w:fldCharType="end"/>
            </w:r>
          </w:p>
        </w:tc>
      </w:tr>
      <w:tr w:rsidR="00BF51FE" w:rsidRPr="009C685E" w14:paraId="12FC3A49" w14:textId="77777777" w:rsidTr="00DE380F">
        <w:tc>
          <w:tcPr>
            <w:tcW w:w="1507" w:type="dxa"/>
          </w:tcPr>
          <w:p w14:paraId="0C928274" w14:textId="77777777" w:rsidR="00BF51FE" w:rsidRPr="009C685E" w:rsidRDefault="00BF51FE" w:rsidP="00DE380F">
            <w:pPr>
              <w:spacing w:line="360" w:lineRule="auto"/>
              <w:jc w:val="both"/>
            </w:pPr>
            <w:r w:rsidRPr="009C685E">
              <w:t>FBX47</w:t>
            </w:r>
          </w:p>
        </w:tc>
        <w:tc>
          <w:tcPr>
            <w:tcW w:w="2085" w:type="dxa"/>
          </w:tcPr>
          <w:p w14:paraId="6BA34AAB" w14:textId="77777777" w:rsidR="00BF51FE" w:rsidRPr="009C685E" w:rsidRDefault="00BF51FE" w:rsidP="00DE380F">
            <w:pPr>
              <w:spacing w:line="360" w:lineRule="auto"/>
              <w:jc w:val="both"/>
            </w:pPr>
            <w:r w:rsidRPr="009C685E">
              <w:t xml:space="preserve">Regulates the stability of the telomeric </w:t>
            </w:r>
            <w:proofErr w:type="spellStart"/>
            <w:r w:rsidRPr="009C685E">
              <w:t>shelterin</w:t>
            </w:r>
            <w:proofErr w:type="spellEnd"/>
            <w:r w:rsidRPr="009C685E">
              <w:t xml:space="preserve"> complex</w:t>
            </w:r>
          </w:p>
        </w:tc>
        <w:tc>
          <w:tcPr>
            <w:tcW w:w="1678" w:type="dxa"/>
          </w:tcPr>
          <w:p w14:paraId="72747A9A" w14:textId="77777777" w:rsidR="00BF51FE" w:rsidRPr="009C685E" w:rsidRDefault="00BF51FE" w:rsidP="00DE380F">
            <w:pPr>
              <w:spacing w:line="360" w:lineRule="auto"/>
              <w:jc w:val="both"/>
            </w:pPr>
            <w:r w:rsidRPr="009C685E">
              <w:t>S65</w:t>
            </w:r>
          </w:p>
        </w:tc>
        <w:tc>
          <w:tcPr>
            <w:tcW w:w="1404" w:type="dxa"/>
          </w:tcPr>
          <w:p w14:paraId="79906924" w14:textId="77777777" w:rsidR="00BF51FE" w:rsidRPr="009C685E" w:rsidRDefault="00BF51FE" w:rsidP="00DE380F">
            <w:pPr>
              <w:spacing w:line="360" w:lineRule="auto"/>
              <w:jc w:val="both"/>
            </w:pPr>
            <w:r w:rsidRPr="009C685E">
              <w:t>Mass spectrometry</w:t>
            </w:r>
          </w:p>
        </w:tc>
        <w:tc>
          <w:tcPr>
            <w:tcW w:w="1622" w:type="dxa"/>
          </w:tcPr>
          <w:p w14:paraId="341E8C61"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6D35B784" w14:textId="77777777" w:rsidTr="00DE380F">
        <w:tc>
          <w:tcPr>
            <w:tcW w:w="1507" w:type="dxa"/>
          </w:tcPr>
          <w:p w14:paraId="7154BC36" w14:textId="77777777" w:rsidR="00BF51FE" w:rsidRPr="009C685E" w:rsidRDefault="00BF51FE" w:rsidP="00DE380F">
            <w:pPr>
              <w:spacing w:line="360" w:lineRule="auto"/>
              <w:jc w:val="both"/>
            </w:pPr>
            <w:r w:rsidRPr="009C685E">
              <w:t>KASH5</w:t>
            </w:r>
          </w:p>
        </w:tc>
        <w:tc>
          <w:tcPr>
            <w:tcW w:w="2085" w:type="dxa"/>
          </w:tcPr>
          <w:p w14:paraId="5AC55E93" w14:textId="77777777" w:rsidR="00BF51FE" w:rsidRPr="009C685E" w:rsidRDefault="00BF51FE" w:rsidP="00DE380F">
            <w:pPr>
              <w:spacing w:line="360" w:lineRule="auto"/>
              <w:jc w:val="both"/>
            </w:pPr>
            <w:r w:rsidRPr="009C685E">
              <w:t>Homolog pairing and recombination</w:t>
            </w:r>
          </w:p>
        </w:tc>
        <w:tc>
          <w:tcPr>
            <w:tcW w:w="1678" w:type="dxa"/>
          </w:tcPr>
          <w:p w14:paraId="60CA0A16" w14:textId="77777777" w:rsidR="00BF51FE" w:rsidRPr="009C685E" w:rsidRDefault="00BF51FE" w:rsidP="00DE380F">
            <w:pPr>
              <w:spacing w:line="360" w:lineRule="auto"/>
              <w:jc w:val="both"/>
            </w:pPr>
            <w:r w:rsidRPr="009C685E">
              <w:t>T189</w:t>
            </w:r>
          </w:p>
        </w:tc>
        <w:tc>
          <w:tcPr>
            <w:tcW w:w="1404" w:type="dxa"/>
          </w:tcPr>
          <w:p w14:paraId="41F1E248" w14:textId="77777777" w:rsidR="00BF51FE" w:rsidRPr="009C685E" w:rsidRDefault="00BF51FE" w:rsidP="00DE380F">
            <w:pPr>
              <w:spacing w:line="360" w:lineRule="auto"/>
              <w:jc w:val="both"/>
            </w:pPr>
            <w:r w:rsidRPr="009C685E">
              <w:t>Mass spectrometry</w:t>
            </w:r>
          </w:p>
        </w:tc>
        <w:tc>
          <w:tcPr>
            <w:tcW w:w="1622" w:type="dxa"/>
          </w:tcPr>
          <w:p w14:paraId="7782BA6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{"citationItems":[{"id":"ITEM-1","itemData":{"DOI":"10.1002/anie.201711710","ISSN":"15213773","PMID":"29237092","abstract":"The unexpected, non-enzymatic S-glycosylation of cysteine residues in various proteins by per-O-acetylated monosaccharides is described. This artificial S-glycosylation greatly compromises the specificity and validity of metabolic glycan labeling in living cells by per-O-acetylated azido and alkynyl sugars, which has been overlooked in the field for decades. It is demonstrated that the use of unacetylated unnatural sugars can avoid the artifact formation and a corrected list of O-GlcNAcylated proteins and O-GlcNAc sites in HeLa cells has been assembled by using N-azidoacetylgalactosamine (GalNAz).","author":[{"dropping-particle":"","family":"Qin","given":"Wei","non-dropping-particle":"","parse-names":false,"suffix":""},{"dropping-particle":"","family":"Qin","given":"Ke","non-dropping-particle":"","parse-names":false,"suffix":""},{"dropping-particle":"","family":"Fan","given":"Xinqi","non-dropping-particle":"","parse-names":false,"suffix":""},{"dropping-particle":"","family":"Peng","given":"Linghang","non-dropping-particle":"","parse-names":false,"suffix":""},{"dropping-particle":"","family":"Hong","given":"Weiyao","non-dropping-particle":"","parse-names":false,"suffix":""},{"dropping-particle":"","family":"Zhu","given":"Yuntao","non-dropping-particle":"","parse-names":false,"suffix":""},{"dropping-particle":"","family":"Lv","given":"Pinou","non-dropping-particle":"","parse-names":false,"suffix":""},{"dropping-particle":"","family":"Du","given":"Yifei","non-dropping-particle":"","parse-names":false,"suffix":""},{"dropping-particle":"","family":"Huang","given":"Rongbing","non-dropping-particle":"","parse-names":false,"suffix":""},{"dropping-particle":"","family":"Han","given":"Mengting","non-dropping-particle":"","parse-names":false,"suffix":""},{"dropping-particle":"","family":"Cheng","given":"Bo","non-dropping-particle":"","parse-names":false,"suffix":""},{"dropping-particle":"","family":"Liu","given":"Yuan","non-dropping-particle":"","parse-names":false,"suffix":""},{"dropping-particle":"","family":"Zhou","given":"Wen","non-dropping-particle":"","parse-names":false,"suffix":""},{"dropping-particle":"","family":"Wang","given":"Chu","non-dropping-particle":"","parse-names":false,"suffix":""},{"dropping-particle":"","family":"Chen","given":"Xing","non-dropping-particle":"","parse-names":false,"suffix":""}],"container-title":"Angewandte Chemie - International Edition","id":"ITEM-1","issue":"7","issued":{"date-parts":[["2018","2","12"]]},"page":"1817-1820","publisher":"Wiley-VCH Verlag","title":"Artificial Cysteine S-Glycosylation Induced by Per-O-Acetylated Unnatural Monosaccharides during Metabolic Glycan Labeling","type":"article-journal","volume":"57"},"uris":["http://www.mendeley.com/documents/?uuid=785c3c6b-37b8-3ca9-81e7-c274089cc569"]}],"mendeley":{"formattedCitation":"[41]","plainTextFormattedCitation":"[41]","previouslyFormattedCitation":"[41]"},"properties":{"noteIndex":0},"schema":"https://github.com/citation-style-language/schema/raw/master/csl-citation.json"}</w:instrText>
            </w:r>
            <w:r w:rsidRPr="009C685E">
              <w:fldChar w:fldCharType="separate"/>
            </w:r>
            <w:r w:rsidRPr="009C685E">
              <w:t>[41]</w:t>
            </w:r>
            <w:r w:rsidRPr="009C685E">
              <w:fldChar w:fldCharType="end"/>
            </w:r>
          </w:p>
        </w:tc>
      </w:tr>
      <w:tr w:rsidR="00BF51FE" w:rsidRPr="009C685E" w14:paraId="5B486532" w14:textId="77777777" w:rsidTr="00DE380F">
        <w:tc>
          <w:tcPr>
            <w:tcW w:w="1507" w:type="dxa"/>
          </w:tcPr>
          <w:p w14:paraId="40CE227D" w14:textId="77777777" w:rsidR="00BF51FE" w:rsidRPr="009C685E" w:rsidRDefault="00BF51FE" w:rsidP="00DE380F">
            <w:pPr>
              <w:spacing w:line="360" w:lineRule="auto"/>
              <w:jc w:val="both"/>
            </w:pPr>
            <w:r w:rsidRPr="009C685E">
              <w:t>MDC1</w:t>
            </w:r>
          </w:p>
        </w:tc>
        <w:tc>
          <w:tcPr>
            <w:tcW w:w="2085" w:type="dxa"/>
          </w:tcPr>
          <w:p w14:paraId="3F0DDFAA" w14:textId="77777777" w:rsidR="00BF51FE" w:rsidRPr="009C685E" w:rsidRDefault="00BF51FE" w:rsidP="00DE380F">
            <w:pPr>
              <w:spacing w:line="360" w:lineRule="auto"/>
              <w:jc w:val="both"/>
            </w:pPr>
            <w:r w:rsidRPr="009C685E">
              <w:t xml:space="preserve">Required for expanding gamma-H2Ax along the entire </w:t>
            </w:r>
            <w:proofErr w:type="spellStart"/>
            <w:r w:rsidRPr="009C685E">
              <w:t>unsynapsed</w:t>
            </w:r>
            <w:proofErr w:type="spellEnd"/>
            <w:r w:rsidRPr="009C685E">
              <w:t xml:space="preserve"> chromatin region</w:t>
            </w:r>
          </w:p>
        </w:tc>
        <w:tc>
          <w:tcPr>
            <w:tcW w:w="1678" w:type="dxa"/>
          </w:tcPr>
          <w:p w14:paraId="124A56D3" w14:textId="77777777" w:rsidR="00BF51FE" w:rsidRPr="009C685E" w:rsidRDefault="00BF51FE" w:rsidP="00DE380F">
            <w:pPr>
              <w:spacing w:line="360" w:lineRule="auto"/>
              <w:jc w:val="both"/>
            </w:pPr>
            <w:r w:rsidRPr="009C685E">
              <w:t>S72, S108, S112, T1116, S1132, T1133, T1138, S1337, S1417, S1419, T1582, S1583</w:t>
            </w:r>
          </w:p>
        </w:tc>
        <w:tc>
          <w:tcPr>
            <w:tcW w:w="1404" w:type="dxa"/>
          </w:tcPr>
          <w:p w14:paraId="48F19CDE" w14:textId="77777777" w:rsidR="00BF51FE" w:rsidRPr="009C685E" w:rsidRDefault="00BF51FE" w:rsidP="00DE380F">
            <w:pPr>
              <w:spacing w:line="360" w:lineRule="auto"/>
              <w:jc w:val="both"/>
            </w:pPr>
            <w:r w:rsidRPr="009C685E">
              <w:t>Mass spectrometry and experimental validation</w:t>
            </w:r>
          </w:p>
        </w:tc>
        <w:tc>
          <w:tcPr>
            <w:tcW w:w="1622" w:type="dxa"/>
          </w:tcPr>
          <w:p w14:paraId="781BBDAC"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{"citationItems":[{"id":"ITEM-1","itemData":{"DOI":"10.1093/nar/gkw663","ISSN":"13624962","PMID":"27458206","abstract":"O-linked N-acetylglucosamine linkage (O-GlcNAcylation) to serine or threonine residues regulates numerous biological processes; however, its role in DNA damage response remains elusive. Here, we found that O-GlcNAcylation is induced by DNA damage response. O-GlcNAc transferase (OGT), the solo enzyme for O-GlcNAcylation, relocates to the sites of DNA damage and induces the O-GlcNAcylation of histone H2AX and mediator of DNA damage checkpoint 1 (MDC1). The O-GlcNAcylation negatively regulates DNA double-strand break-induced phosphorylation of H2AX and MDC1 by restraining the expansion of these phosphorylation events from the sites of DNA damage. Therefore, our study reveals the molecular mechanism and biological function of OGT-dependent O-GlcNAcylation in response to DNA damage.","author":[{"dropping-particle":"","family":"Chen","given":"Qiang","non-dropping-particle":"","parse-names":false,"suffix":""},{"dropping-particle":"","family":"Yu","given":"Xiaochun","non-dropping-particle":"","parse-names":false,"suffix":""}],"container-title":"Nucleic Acids Research","id":"ITEM-1","issue":"19","issued":{"date-parts":[["2016"]]},"page":"9266-9278","title":"OGT restrains the expansion of DNA damage signaling","type":"article-journal","volume":"44"},"uris":["http://www.mendeley.com/documents/?uuid=3f450da6-b317-49ca-9a97-5451c14eed72"]}],"mendeley":{"formattedCitation":"[42]","plainTextFormattedCitation":"[42]","previouslyFormattedCitation":"[42]"},"properties":{"noteIndex":0},"schema":"https://github.com/citation-style-language/schema/raw/master/csl-citation.json"}</w:instrText>
            </w:r>
            <w:r w:rsidRPr="009C685E">
              <w:fldChar w:fldCharType="separate"/>
            </w:r>
            <w:r w:rsidRPr="009C685E">
              <w:t>[42]</w:t>
            </w:r>
            <w:r w:rsidRPr="009C685E">
              <w:fldChar w:fldCharType="end"/>
            </w:r>
          </w:p>
        </w:tc>
      </w:tr>
      <w:tr w:rsidR="00BF51FE" w:rsidRPr="009C685E" w14:paraId="1E68879C" w14:textId="77777777" w:rsidTr="00DE380F">
        <w:tc>
          <w:tcPr>
            <w:tcW w:w="1507" w:type="dxa"/>
          </w:tcPr>
          <w:p w14:paraId="035F16CB" w14:textId="77777777" w:rsidR="00BF51FE" w:rsidRPr="009C685E" w:rsidRDefault="00BF51FE" w:rsidP="00DE380F">
            <w:pPr>
              <w:spacing w:line="360" w:lineRule="auto"/>
              <w:jc w:val="both"/>
            </w:pPr>
            <w:r w:rsidRPr="009C685E">
              <w:t>PDS5A</w:t>
            </w:r>
          </w:p>
        </w:tc>
        <w:tc>
          <w:tcPr>
            <w:tcW w:w="2085" w:type="dxa"/>
          </w:tcPr>
          <w:p w14:paraId="71FA253D" w14:textId="77777777" w:rsidR="00BF51FE" w:rsidRPr="009C685E" w:rsidRDefault="00BF51FE" w:rsidP="00DE380F">
            <w:pPr>
              <w:spacing w:line="360" w:lineRule="auto"/>
              <w:jc w:val="both"/>
            </w:pPr>
            <w:r w:rsidRPr="009C685E">
              <w:t xml:space="preserve">Regulates the </w:t>
            </w:r>
            <w:proofErr w:type="spellStart"/>
            <w:r w:rsidRPr="009C685E">
              <w:t>lenth</w:t>
            </w:r>
            <w:proofErr w:type="spellEnd"/>
            <w:r w:rsidRPr="009C685E">
              <w:t xml:space="preserve"> of meiotic chromosome axis and telomere integrity</w:t>
            </w:r>
          </w:p>
        </w:tc>
        <w:tc>
          <w:tcPr>
            <w:tcW w:w="1678" w:type="dxa"/>
          </w:tcPr>
          <w:p w14:paraId="2473778B" w14:textId="77777777" w:rsidR="00BF51FE" w:rsidRPr="009C685E" w:rsidRDefault="00BF51FE" w:rsidP="00DE380F">
            <w:pPr>
              <w:spacing w:line="360" w:lineRule="auto"/>
              <w:jc w:val="both"/>
            </w:pPr>
            <w:r w:rsidRPr="009C685E">
              <w:t>T170, S865, S1097</w:t>
            </w:r>
          </w:p>
        </w:tc>
        <w:tc>
          <w:tcPr>
            <w:tcW w:w="1404" w:type="dxa"/>
          </w:tcPr>
          <w:p w14:paraId="7CBDD600" w14:textId="77777777" w:rsidR="00BF51FE" w:rsidRPr="009C685E" w:rsidRDefault="00BF51FE" w:rsidP="00DE380F">
            <w:pPr>
              <w:spacing w:line="360" w:lineRule="auto"/>
              <w:jc w:val="both"/>
            </w:pPr>
            <w:r w:rsidRPr="009C685E">
              <w:t>Mass spectrometry</w:t>
            </w:r>
          </w:p>
        </w:tc>
        <w:tc>
          <w:tcPr>
            <w:tcW w:w="1622" w:type="dxa"/>
          </w:tcPr>
          <w:p w14:paraId="19C7BB48"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{"citationItems":[{"id":"ITEM-1","itemData":{"DOI":"10.1002/pmic.202100175","ISSN":"16159861","PMID":"35083852","abstract":"Protein O-GlcNAcylation is a specific form of protein glycosylation that targets a wide range of proteins with important functions. O-GlcNAcylation is known to be deregulated in cancer and has been linked to multiple aspects of cancer pathology. Despite its ubiquity and importance, the current understanding of the role of O-GlcNAcylation in the stress response remains limited. In this study, we performed a quantitative chemical proteomics-based open study of the O-GlcNAcome in HeLa cells, and identified 163 differentially-glycosylated proteins under starvation, involving multiple metabolic pathways. Among them, fatty acid metabolism was found to be targeted and subsequent analysis confirmed that fatty acid synthase (FASN) is O-GlcNAcylated. O-GlcNAcylation led to enhanced de novo fatty acid synthesis (FAS) activity, and fatty acids contributed to the cytoprotective effects of O-GlcNAcylation under starvation. Moreover, dual inhibition of O-GlcNAcylation and FASN displayed a strong synergistic effect in vitro in inducing cell death in cancer cells. Together, the results from this study provide novel insights into the role of O-GlcNAcylation in the nutritional stress response and suggest the potential of combining inhibition of O-GlcNAcylation and FAS in cancer therapy.","author":[{"dropping-particle":"","family":"Wong","given":"Yin Kwan","non-dropping-particle":"","parse-names":false,"suffix":""},{"dropping-particle":"","family":"Wang","given":"Jigang","non-dropping-particle":"","parse-names":false,"suffix":""},{"dropping-particle":"","family":"Lim","given":"Teck Kwang","non-dropping-particle":"","parse-names":false,"suffix":""},{"dropping-particle":"","family":"Lin","given":"Qingsong","non-dropping-particle":"","parse-names":false,"suffix":""},{"dropping-particle":"","family":"Yap","given":"Celestial T.","non-dropping-particle":"","parse-names":false,"suffix":""},{"dropping-particle":"","family":"Shen","given":"Han Ming","non-dropping-particle":"","parse-names":false,"suffix":""}],"container-title":"Proteomics","id":"ITEM-1","issue":"9","issued":{"date-parts":[["2022","5","1"]]},"publisher":"John Wiley and Sons Inc","title":"O-GlcNAcylation promotes fatty acid synthase activity under nutritional stress as a pro-survival mechanism in cancer cells","type":"article-journal","volume":"22"},"uris":["http://www.mendeley.com/documents/?uuid=8f34097f-7f02-3ce4-907e-1ad151db5a21"]}],"mendeley":{"formattedCitation":"[43]","plainTextFormattedCitation":"[43]","previouslyFormattedCitation":"[43]"},"properties":{"noteIndex":0},"schema":"https://github.com/citation-style-language/schema/raw/master/csl-citation.json"}</w:instrText>
            </w:r>
            <w:r w:rsidRPr="009C685E">
              <w:fldChar w:fldCharType="separate"/>
            </w:r>
            <w:r w:rsidRPr="009C685E">
              <w:t>[43]</w:t>
            </w:r>
            <w:r w:rsidRPr="009C685E">
              <w:fldChar w:fldCharType="end"/>
            </w:r>
          </w:p>
        </w:tc>
      </w:tr>
      <w:tr w:rsidR="00BF51FE" w:rsidRPr="009C685E" w14:paraId="19A17BAC" w14:textId="77777777" w:rsidTr="00DE380F">
        <w:tc>
          <w:tcPr>
            <w:tcW w:w="1507" w:type="dxa"/>
          </w:tcPr>
          <w:p w14:paraId="2B2725F8" w14:textId="77777777" w:rsidR="00BF51FE" w:rsidRPr="009C685E" w:rsidRDefault="00BF51FE" w:rsidP="00DE380F">
            <w:pPr>
              <w:spacing w:line="360" w:lineRule="auto"/>
              <w:jc w:val="both"/>
            </w:pPr>
            <w:r w:rsidRPr="009C685E">
              <w:t>PDS5B</w:t>
            </w:r>
          </w:p>
        </w:tc>
        <w:tc>
          <w:tcPr>
            <w:tcW w:w="2085" w:type="dxa"/>
          </w:tcPr>
          <w:p w14:paraId="17E85AB6" w14:textId="77777777" w:rsidR="00BF51FE" w:rsidRPr="009C685E" w:rsidRDefault="00BF51FE" w:rsidP="00DE380F">
            <w:pPr>
              <w:spacing w:line="360" w:lineRule="auto"/>
              <w:jc w:val="both"/>
            </w:pPr>
            <w:r w:rsidRPr="009C685E">
              <w:t xml:space="preserve">Regulates the </w:t>
            </w:r>
            <w:proofErr w:type="spellStart"/>
            <w:r w:rsidRPr="009C685E">
              <w:t>lenth</w:t>
            </w:r>
            <w:proofErr w:type="spellEnd"/>
            <w:r w:rsidRPr="009C685E">
              <w:t xml:space="preserve"> of meiotic chromosome axis and telomere integrity</w:t>
            </w:r>
          </w:p>
        </w:tc>
        <w:tc>
          <w:tcPr>
            <w:tcW w:w="1678" w:type="dxa"/>
          </w:tcPr>
          <w:p w14:paraId="47ECB3C3" w14:textId="77777777" w:rsidR="00BF51FE" w:rsidRPr="009C685E" w:rsidRDefault="00BF51FE" w:rsidP="00DE380F">
            <w:pPr>
              <w:spacing w:line="360" w:lineRule="auto"/>
              <w:jc w:val="both"/>
            </w:pPr>
            <w:r w:rsidRPr="009C685E">
              <w:t>S140, T518</w:t>
            </w:r>
          </w:p>
        </w:tc>
        <w:tc>
          <w:tcPr>
            <w:tcW w:w="1404" w:type="dxa"/>
          </w:tcPr>
          <w:p w14:paraId="5EB909CB" w14:textId="77777777" w:rsidR="00BF51FE" w:rsidRPr="009C685E" w:rsidRDefault="00BF51FE" w:rsidP="00DE380F">
            <w:pPr>
              <w:spacing w:line="360" w:lineRule="auto"/>
              <w:jc w:val="both"/>
            </w:pPr>
            <w:r w:rsidRPr="009C685E">
              <w:t>Mass spectrometry</w:t>
            </w:r>
          </w:p>
        </w:tc>
        <w:tc>
          <w:tcPr>
            <w:tcW w:w="1622" w:type="dxa"/>
          </w:tcPr>
          <w:p w14:paraId="7BB9954C"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{"citationItems":[{"id":"ITEM-1","itemData":{"DOI":"10.1074/mcp.RA117.000261","ISSN":"15359484","PMID":"29351928","abstract":"Post-translational modifications (PTMs) on proteins often function to regulate signaling cascades, with the activation of T cells during an adaptive immune response being a classic example. Mounting evidence indicates that the modification of proteins by O-linked N-acetylglucosamine (O-GlcNAc), the only mammalian glycan found on nuclear and cytoplasmic proteins, helps regulate T cell activation. Yet, a mechanistic understanding of how O-GlcNAc functions in T cell activation remains elusive, partly because of the difficulties in mapping and quantifying O-GlcNAc sites. Thus, to advance insight into the role of O-GlcNAc in T cell activation, we performed glycosite mapping studies via direct glycopeptide measurement on resting and activated primary human T cells with a technique termed Isotope Targeted Glycoproteomics. This approach led to the identification of 2219 intact O-linked glycopeptides across 1045 glycoproteins. A significant proportion (&gt;45%) of the identified O-GlcNAc sites lie near or coincide with a known phosphorylation site, supporting the potential for PTM crosstalk. Consistent with other studies, we find that O-GlcNAc sites in T cells lack a strict consensus sequence. To validate our results, we employed gel shift assays based on conjugating mass tags to O-GlcNAc groups. Notably, we observed that the transcription factors c-JUN and JUNB show higher levels of O-GlcNAc glycosylation and higher levels of expression in activated T cells. Overall, our findings provide a quantitative characterization of O-GlcNAc glycoproteins and their corresponding modification sites in primary human T cells, which will facilitate mechanistic studies into the function of O-GlcNAc in T cell activation.","author":[{"dropping-particle":"","family":"Woo","given":"Christina M.","non-dropping-particle":"","parse-names":false,"suffix":""},{"dropping-particle":"","family":"Lund","given":"Peder J.","non-dropping-particle":"","parse-names":false,"suffix":""},{"dropping-particle":"","family":"Huang","given":"Andrew C.","non-dropping-particle":"","parse-names":false,"suffix":""},{"dropping-particle":"","family":"Davis","given":"Mark M.","non-dropping-particle":"","parse-names":false,"suffix":""},{"dropping-particle":"","family":"Bertozzi","given":"Carolyn R.","non-dropping-particle":"","parse-names":false,"suffix":""},{"dropping-particle":"","family":"Pitteri","given":"Sharon J.","non-dropping-particle":"","parse-names":false,"suffix":""}],"container-title":"Molecular and Cellular Proteomics","id":"ITEM-1","issue":"4","issued":{"date-parts":[["2018","4","1"]]},"page":"764-775","publisher":"American Society for Biochemistry and Molecular Biology Inc.","title":"Mapping and quantification of over 2000 O-linked glycopeptides in activated human T cells with isotope-targeted glycoproteomics (Isotag)","type":"article-journal","volume":"17"},"uris":["http://www.mendeley.com/documents/?uuid=ca659548-89dc-3749-835c-66c0b78b6352"]}],"mendeley":{"formattedCitation":"[44]","plainTextFormattedCitation":"[44]","previouslyFormattedCitation":"[44]"},"properties":{"noteIndex":0},"schema":"https://github.com/citation-style-language/schema/raw/master/csl-citation.json"}</w:instrText>
            </w:r>
            <w:r w:rsidRPr="009C685E">
              <w:fldChar w:fldCharType="separate"/>
            </w:r>
            <w:r w:rsidRPr="009C685E">
              <w:t>[44]</w:t>
            </w:r>
            <w:r w:rsidRPr="009C685E">
              <w:fldChar w:fldCharType="end"/>
            </w:r>
          </w:p>
        </w:tc>
      </w:tr>
      <w:tr w:rsidR="00BF51FE" w:rsidRPr="009C685E" w14:paraId="4914B09F" w14:textId="77777777" w:rsidTr="00DE380F">
        <w:tc>
          <w:tcPr>
            <w:tcW w:w="1507" w:type="dxa"/>
          </w:tcPr>
          <w:p w14:paraId="63124116" w14:textId="77777777" w:rsidR="00BF51FE" w:rsidRPr="009C685E" w:rsidRDefault="00BF51FE" w:rsidP="00DE380F">
            <w:pPr>
              <w:spacing w:line="360" w:lineRule="auto"/>
              <w:jc w:val="both"/>
            </w:pPr>
            <w:r w:rsidRPr="009C685E">
              <w:t>RAD18</w:t>
            </w:r>
          </w:p>
        </w:tc>
        <w:tc>
          <w:tcPr>
            <w:tcW w:w="2085" w:type="dxa"/>
          </w:tcPr>
          <w:p w14:paraId="4E57CD65" w14:textId="77777777" w:rsidR="00BF51FE" w:rsidRPr="009C685E" w:rsidRDefault="00BF51FE" w:rsidP="00DE380F">
            <w:pPr>
              <w:spacing w:line="360" w:lineRule="auto"/>
              <w:jc w:val="both"/>
            </w:pPr>
            <w:r w:rsidRPr="009C685E">
              <w:t>Required for maintaining MSCI</w:t>
            </w:r>
          </w:p>
        </w:tc>
        <w:tc>
          <w:tcPr>
            <w:tcW w:w="1678" w:type="dxa"/>
          </w:tcPr>
          <w:p w14:paraId="196F84D2" w14:textId="77777777" w:rsidR="00BF51FE" w:rsidRPr="009C685E" w:rsidRDefault="00BF51FE" w:rsidP="00DE380F">
            <w:pPr>
              <w:spacing w:line="360" w:lineRule="auto"/>
              <w:jc w:val="both"/>
            </w:pPr>
            <w:r w:rsidRPr="009C685E">
              <w:t>S130, S164, T468</w:t>
            </w:r>
          </w:p>
        </w:tc>
        <w:tc>
          <w:tcPr>
            <w:tcW w:w="1404" w:type="dxa"/>
          </w:tcPr>
          <w:p w14:paraId="664719B2" w14:textId="77777777" w:rsidR="00BF51FE" w:rsidRPr="009C685E" w:rsidRDefault="00BF51FE" w:rsidP="00DE380F">
            <w:pPr>
              <w:spacing w:line="360" w:lineRule="auto"/>
              <w:jc w:val="both"/>
            </w:pPr>
            <w:r w:rsidRPr="009C685E">
              <w:t>Mass spectrometry</w:t>
            </w:r>
          </w:p>
        </w:tc>
        <w:tc>
          <w:tcPr>
            <w:tcW w:w="1622" w:type="dxa"/>
          </w:tcPr>
          <w:p w14:paraId="50B19E5A"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{"citationItems":[{"id":"ITEM-1","itemData":{"DOI":"10.1021/pr300967y","ISSN":"15353893","PMID":"23301498","abstract":"The post-translational modification of proteins with N-acetylglucosamine (O-GlcNAc) is involved in the regulation of a wide variety of cellular processes and associated with a number of chronic diseases. Despite its emerging biological significance, the systematic identification of O-GlcNAc proteins is still challenging. In the present study, we demonstrate a significantly improved O-GlcNAc protein enrichment procedure, which exploits metabolic labeling of cells by azide-modified GlcNAc and copper-mediated Click chemistry for purification of modified proteins on an alkyne-resin. On-resin proteolysis using trypsin followed by LC-MS/MS afforded the identification of around 1500 O-GlcNAc proteins from a single cell line. Subsequent elution of covalently resin bound O-GlcNAc peptides using selective β-elimination enabled the identification of 185 O-GlcNAc modification sites on 80 proteins. To demonstrate the practical utility of the developed approach, we studied the global effects of the O-GlcNAcase inhibitor GlcNAcstatin G on the level of O-GlcNAc modification of cellular proteins. About 200 proteins including several key players involved in the hexosamine signaling pathway showed significantly increased O-GlcNAcylation levels in response to the drug, which further strengthens the link of O-GlcNAc protein modification to cellular nutrient sensing and response. © 2013 American Chemical Society.","author":[{"dropping-particle":"","family":"Hahne","given":"Hannes","non-dropping-particle":"","parse-names":false,"suffix":""},{"dropping-particle":"","family":"Sobotzki","given":"Nadine","non-dropping-particle":"","parse-names":false,"suffix":""},{"dropping-particle":"","family":"Nyberg","given":"Tamara","non-dropping-particle":"","parse-names":false,"suffix":""},{"dropping-particle":"","family":"Helm","given":"Dominic","non-dropping-particle":"","parse-names":false,"suffix":""},{"dropping-particle":"","family":"Borodkin","given":"Vladimir S.","non-dropping-particle":"","parse-names":false,"suffix":""},{"dropping-particle":"","family":"Aalten","given":"Daan M.F.","non-dropping-particle":"Van","parse-names":false,"suffix":""},{"dropping-particle":"","family":"Agnew","given":"Brian","non-dropping-particle":"","parse-names":false,"suffix":""},{"dropping-particle":"","family":"Kuster","given":"Bernhard","non-dropping-particle":"","parse-names":false,"suffix":""}],"container-title":"Journal of Proteome Research","id":"ITEM-1","issue":"2","issued":{"date-parts":[["2013","2","1"]]},"page":"927-936","publisher":"J Proteome Res","title":"Proteome wide purification and identification of O-GlcNAc-modified proteins using click chemistry and mass spectrometry","type":"article-journal","volume":"12"},"uris":["http://www.mendeley.com/documents/?uuid=8289eb93-75b7-33c2-ad19-2c91795e62d8"]}],"mendeley":{"formattedCitation":"[45]","plainTextFormattedCitation":"[45]","previouslyFormattedCitation":"[45]"},"properties":{"noteIndex":0},"schema":"https://github.com/citation-style-language/schema/raw/master/csl-citation.json"}</w:instrText>
            </w:r>
            <w:r w:rsidRPr="009C685E">
              <w:fldChar w:fldCharType="separate"/>
            </w:r>
            <w:r w:rsidRPr="009C685E">
              <w:t>[45]</w:t>
            </w:r>
            <w:r w:rsidRPr="009C685E">
              <w:fldChar w:fldCharType="end"/>
            </w:r>
          </w:p>
        </w:tc>
      </w:tr>
      <w:tr w:rsidR="00BF51FE" w:rsidRPr="009C685E" w14:paraId="55526911" w14:textId="77777777" w:rsidTr="00DE380F">
        <w:tc>
          <w:tcPr>
            <w:tcW w:w="1507" w:type="dxa"/>
          </w:tcPr>
          <w:p w14:paraId="39C89A01" w14:textId="77777777" w:rsidR="00BF51FE" w:rsidRPr="009C685E" w:rsidRDefault="00BF51FE" w:rsidP="00DE380F">
            <w:pPr>
              <w:spacing w:line="360" w:lineRule="auto"/>
              <w:jc w:val="both"/>
            </w:pPr>
            <w:r w:rsidRPr="009C685E">
              <w:t>RAD21</w:t>
            </w:r>
          </w:p>
        </w:tc>
        <w:tc>
          <w:tcPr>
            <w:tcW w:w="2085" w:type="dxa"/>
          </w:tcPr>
          <w:p w14:paraId="5FC8F4D3" w14:textId="77777777" w:rsidR="00BF51FE" w:rsidRPr="009C685E" w:rsidRDefault="00BF51FE" w:rsidP="00DE380F">
            <w:pPr>
              <w:spacing w:line="360" w:lineRule="auto"/>
              <w:jc w:val="both"/>
            </w:pPr>
            <w:r w:rsidRPr="009C685E">
              <w:t xml:space="preserve">Required for establishing cohesion </w:t>
            </w:r>
            <w:r w:rsidRPr="009C685E">
              <w:lastRenderedPageBreak/>
              <w:t>in the premeiotic S phase</w:t>
            </w:r>
          </w:p>
        </w:tc>
        <w:tc>
          <w:tcPr>
            <w:tcW w:w="1678" w:type="dxa"/>
          </w:tcPr>
          <w:p w14:paraId="3B652209" w14:textId="77777777" w:rsidR="00BF51FE" w:rsidRPr="009C685E" w:rsidRDefault="00BF51FE" w:rsidP="00DE380F">
            <w:pPr>
              <w:spacing w:line="360" w:lineRule="auto"/>
              <w:jc w:val="both"/>
            </w:pPr>
          </w:p>
        </w:tc>
        <w:tc>
          <w:tcPr>
            <w:tcW w:w="1404" w:type="dxa"/>
          </w:tcPr>
          <w:p w14:paraId="31D795E0" w14:textId="77777777" w:rsidR="00BF51FE" w:rsidRPr="009C685E" w:rsidRDefault="00BF51FE" w:rsidP="00DE380F">
            <w:pPr>
              <w:spacing w:line="360" w:lineRule="auto"/>
              <w:jc w:val="both"/>
            </w:pPr>
            <w:r w:rsidRPr="009C685E">
              <w:t>Mass spectrometry</w:t>
            </w:r>
          </w:p>
        </w:tc>
        <w:tc>
          <w:tcPr>
            <w:tcW w:w="1622" w:type="dxa"/>
          </w:tcPr>
          <w:p w14:paraId="369D8DB7"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mendeley":{"formattedCitation":"[46]","plainTextFormattedCitation":"[46]","previouslyFormattedCitation":"[46]"},"properties":{"noteIndex":0},"schema":"https://github.com/citation-style-language/schema/raw/master/csl-citation.json"}</w:instrText>
            </w:r>
            <w:r w:rsidRPr="009C685E">
              <w:fldChar w:fldCharType="separate"/>
            </w:r>
            <w:r w:rsidRPr="009C685E">
              <w:t>[46]</w:t>
            </w:r>
            <w:r w:rsidRPr="009C685E">
              <w:fldChar w:fldCharType="end"/>
            </w:r>
          </w:p>
        </w:tc>
      </w:tr>
      <w:tr w:rsidR="00BF51FE" w:rsidRPr="009C685E" w14:paraId="3ADB2961" w14:textId="77777777" w:rsidTr="00DE380F">
        <w:tc>
          <w:tcPr>
            <w:tcW w:w="1507" w:type="dxa"/>
          </w:tcPr>
          <w:p w14:paraId="559584DF" w14:textId="77777777" w:rsidR="00BF51FE" w:rsidRPr="009C685E" w:rsidRDefault="00BF51FE" w:rsidP="00DE380F">
            <w:pPr>
              <w:spacing w:line="360" w:lineRule="auto"/>
              <w:jc w:val="both"/>
            </w:pPr>
            <w:r w:rsidRPr="009C685E">
              <w:t>REC8</w:t>
            </w:r>
          </w:p>
        </w:tc>
        <w:tc>
          <w:tcPr>
            <w:tcW w:w="2085" w:type="dxa"/>
          </w:tcPr>
          <w:p w14:paraId="641734BA" w14:textId="77777777" w:rsidR="00BF51FE" w:rsidRPr="009C685E" w:rsidRDefault="00BF51FE" w:rsidP="00DE380F">
            <w:pPr>
              <w:spacing w:line="360" w:lineRule="auto"/>
              <w:jc w:val="both"/>
            </w:pPr>
            <w:r w:rsidRPr="009C685E">
              <w:t xml:space="preserve">Required for sister chromatid </w:t>
            </w:r>
            <w:proofErr w:type="spellStart"/>
            <w:r w:rsidRPr="009C685E">
              <w:t>cohesin</w:t>
            </w:r>
            <w:proofErr w:type="spellEnd"/>
          </w:p>
        </w:tc>
        <w:tc>
          <w:tcPr>
            <w:tcW w:w="1678" w:type="dxa"/>
          </w:tcPr>
          <w:p w14:paraId="694EBBFA" w14:textId="77777777" w:rsidR="00BF51FE" w:rsidRPr="009C685E" w:rsidRDefault="00BF51FE" w:rsidP="00DE380F">
            <w:pPr>
              <w:spacing w:line="360" w:lineRule="auto"/>
              <w:jc w:val="both"/>
            </w:pPr>
          </w:p>
        </w:tc>
        <w:tc>
          <w:tcPr>
            <w:tcW w:w="1404" w:type="dxa"/>
          </w:tcPr>
          <w:p w14:paraId="0C8E620E" w14:textId="77777777" w:rsidR="00BF51FE" w:rsidRPr="009C685E" w:rsidRDefault="00BF51FE" w:rsidP="00DE380F">
            <w:pPr>
              <w:spacing w:line="360" w:lineRule="auto"/>
              <w:jc w:val="both"/>
            </w:pPr>
            <w:r w:rsidRPr="009C685E">
              <w:t>Mass spectrometry</w:t>
            </w:r>
          </w:p>
        </w:tc>
        <w:tc>
          <w:tcPr>
            <w:tcW w:w="1622" w:type="dxa"/>
          </w:tcPr>
          <w:p w14:paraId="4D546CB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20886AEA" w14:textId="77777777" w:rsidTr="00DE380F">
        <w:tc>
          <w:tcPr>
            <w:tcW w:w="1507" w:type="dxa"/>
          </w:tcPr>
          <w:p w14:paraId="04CF4EFA" w14:textId="77777777" w:rsidR="00BF51FE" w:rsidRPr="009C685E" w:rsidRDefault="00BF51FE" w:rsidP="00DE380F">
            <w:pPr>
              <w:spacing w:line="360" w:lineRule="auto"/>
              <w:jc w:val="both"/>
            </w:pPr>
            <w:r w:rsidRPr="009C685E">
              <w:t>SCML2</w:t>
            </w:r>
          </w:p>
        </w:tc>
        <w:tc>
          <w:tcPr>
            <w:tcW w:w="2085" w:type="dxa"/>
          </w:tcPr>
          <w:p w14:paraId="20156D0B" w14:textId="77777777" w:rsidR="00BF51FE" w:rsidRPr="009C685E" w:rsidRDefault="00BF51FE" w:rsidP="00DE380F">
            <w:pPr>
              <w:spacing w:line="360" w:lineRule="auto"/>
              <w:jc w:val="both"/>
            </w:pPr>
            <w:r w:rsidRPr="009C685E">
              <w:t xml:space="preserve">Required to </w:t>
            </w:r>
            <w:proofErr w:type="spellStart"/>
            <w:r w:rsidRPr="009C685E">
              <w:t>estabilish</w:t>
            </w:r>
            <w:proofErr w:type="spellEnd"/>
            <w:r w:rsidRPr="009C685E">
              <w:t xml:space="preserve"> the unique epigenome of meiotic sex chromosomes</w:t>
            </w:r>
          </w:p>
        </w:tc>
        <w:tc>
          <w:tcPr>
            <w:tcW w:w="1678" w:type="dxa"/>
          </w:tcPr>
          <w:p w14:paraId="7104F684" w14:textId="77777777" w:rsidR="00BF51FE" w:rsidRPr="009C685E" w:rsidRDefault="00BF51FE" w:rsidP="00DE380F">
            <w:pPr>
              <w:spacing w:line="360" w:lineRule="auto"/>
              <w:jc w:val="both"/>
            </w:pPr>
            <w:r w:rsidRPr="009C685E">
              <w:t>T567, S568, S570, S574</w:t>
            </w:r>
          </w:p>
        </w:tc>
        <w:tc>
          <w:tcPr>
            <w:tcW w:w="1404" w:type="dxa"/>
          </w:tcPr>
          <w:p w14:paraId="667216A5" w14:textId="77777777" w:rsidR="00BF51FE" w:rsidRPr="009C685E" w:rsidRDefault="00BF51FE" w:rsidP="00DE380F">
            <w:pPr>
              <w:spacing w:line="360" w:lineRule="auto"/>
              <w:jc w:val="both"/>
            </w:pPr>
            <w:r w:rsidRPr="009C685E">
              <w:t>Mass spectrometry</w:t>
            </w:r>
          </w:p>
        </w:tc>
        <w:tc>
          <w:tcPr>
            <w:tcW w:w="1622" w:type="dxa"/>
          </w:tcPr>
          <w:p w14:paraId="41DB98F9" w14:textId="77777777" w:rsidR="00BF51FE" w:rsidRPr="009C685E" w:rsidRDefault="00BF51FE" w:rsidP="00DE380F">
            <w:pPr>
              <w:spacing w:line="360" w:lineRule="auto"/>
              <w:jc w:val="both"/>
            </w:pPr>
            <w:r w:rsidRPr="009C685E">
              <w:fldChar w:fldCharType="begin" w:fldLock="1"/>
            </w:r>
            <w:r w:rsidRPr="009C685E">
              <w:instrText xml:space="preserve">ADDIN CSL_CITATION {"citationItems":[{"id":"ITEM-1","itemData":{"DOI":"10.1021/acschembio.1c00981","ISSN":"15548937","PMID":"35254053","abstract":"O-linked-β-N-acetylglucosamine (O-GlcNAc) glycosylation is a ubiquitous protein post-translational modification of the emerging importance in metazoans. Of the thousands of O-GlcNAcylated proteins identified, many carry multiple modification sites with varied stoichiometry. To better match the scale of O-GlcNAc sites and their dynamic nature, we herein report an optimized strategy, termed isotopic photocleavable tagging for O-GlcNAc profiling (isoPTOP), which enables quantitative and site-specific profiling of O-GlcNAcylation with excellent specificity and sensitivity. In HeLa cells, </w:instrText>
            </w:r>
            <w:r w:rsidRPr="009C685E">
              <w:rPr>
                <w:rFonts w:ascii="Cambria Math" w:hAnsi="Cambria Math" w:cs="Cambria Math"/>
              </w:rPr>
              <w:instrText>∼</w:instrText>
            </w:r>
            <w:r w:rsidRPr="009C685E">
              <w:instrText xml:space="preserve">1500 O-GlcNAcylation sites were identified with the optimized procedures, which led to quantification of </w:instrText>
            </w:r>
            <w:r w:rsidRPr="009C685E">
              <w:rPr>
                <w:rFonts w:ascii="Cambria Math" w:hAnsi="Cambria Math" w:cs="Cambria Math"/>
              </w:rPr>
              <w:instrText>∼</w:instrText>
            </w:r>
            <w:r w:rsidRPr="009C685E">
              <w:instrText>1000 O-GlcNAcylation sites with isoPTOP. Furthermore, we apply isoPTOP to probe the O-GlcNAcylation dynamics in a pair of colorectal cancer (CRC) cell lines, SW480 and SW620 cells, which represent primary carcinoma and metastatic cells, representatively. The stoichiometric differences of 625 O-GlcNAcylation sites are quantified. Of these quantified sites, many occur on important regulators involved in tumor progression and metastasis. Our results provide a valuable database for understanding the functional role of O-GlcNAc in CRC. IsoPTOP should be applicable for investigating O-GlcNAcylation dynamics in various pathophysiological processes.","author":[{"dropping-particle":"","family":"Liu","given":"Jialin","non-dropping-particle":"","parse-names":false,"suffix":""},{"dropping-particle":"","family":"Hao","given":"Yi","non-dropping-particle":"","parse-names":false,"suffix":""},{"dropping-particle":"","family":"Wang","given":"Chunting","non-dropping-particle":"","parse-names":false,"suffix":""},{"dropping-particle":"","family":"Jin","given":"Yangya'Nan","non-dropping-particle":"","parse-names":false,"suffix":""},{"dropping-particle":"","family":"Yang","given":"Yong","non-dropping-particle":"","parse-names":false,"suffix":""},{"dropping-particle":"","family":"Gu","given":"Jin","non-dropping-particle":"","parse-names":false,"suffix":""},{"dropping-particle":"","family":"Chen","given":"Xing","non-dropping-particle":"","parse-names":false,"suffix":""}],"container-title":"ACS Chemical Biology","id":"ITEM-1","issue":"3","issued":{"date-parts":[["2022","3","18"]]},"page":"513-520","publisher":"American Chemical Society","title":"An Optimized Isotopic Photocleavable Tagging Strategy for Site-Specific and Quantitative Profiling of Protein O-GlcNAcylation in Colorectal Cancer Metastasis","type":"article-journal","volume":"17"},"uris":["http://www.mendeley.com/documents/?uuid=b5c76ef3-9833-3790-9e88-405e9d189efd"]},{"id":"ITEM-2","itemData":{"DOI":"10.1002/anie.202117849","ISSN":"15213773","PMID":"35289036","abstract":"To selectively enrich O-linked β-N-acetylglucosamine (O-GlcNAc) peptides in their original form from complex samples, we report the first reversible chemoenzymatic labeling approach for proteomic analysis. In this strategy, the O-GlcNAc moieties are ligated with long N-glycans using an Endo-M mutant, which enables the enrichment of the labeled glycopeptides by hydrophilic interaction liquid chromatography (HILIC). The attached glycans on the enriched glycopeptides are removed by wild-type Endo-M/S to restore the O-GlcNAc moiety. Compared with classic chemoenzymatic labeling, this approach enables the tag-free identification, and eliminates the interference of bulky tags in glycopeptide detection. This approach presents a unique avenue for the proteome-wide analysis of protein O-GlcNAcylation to promote its mechanism research.","author":[{"dropping-particle":"","family":"Chen","given":"Yao","non-dropping-particle":"","parse-names":false,"suffix":""},{"dropping-particle":"","family":"Tang","given":"Feng","non-dropping-particle":"","parse-names":false,"suffix":""},{"dropping-particle":"","family":"Qin","given":"Hongqiang","non-dropping-particle":"","parse-names":false,"suffix":""},{"dropping-particle":"","family":"Yue","given":"Xuyang","non-dropping-particle":"","parse-names":false,"suffix":""},{"dropping-particle":"","family":"Nie","given":"Yongzhan","non-dropping-particle":"","parse-names":false,"suffix":""},{"dropping-particle":"","family":"Huang","given":"Wei","non-dropping-particle":"","parse-names":false,"suffix":""},{"dropping-particle":"","family":"Ye","given":"Mingliang","non-dropping-particle":"","parse-names":false,"suffix":""}],"container-title":"Angewandte Chemie - International Edition","id":"ITEM-2","issue":"23","issued":{"date-parts":[["2022","6","7"]]},"publisher":"John Wiley and Sons Inc","title":"Endo-M Mediated Chemoenzymatic Approach Enables Reversible Glycopeptide Labeling for O-GlcNAcylation Analysis","type":"article-journal","volume":"61"},"uris":["http://www.mendeley.com/documents/?uuid=1a64d949-facb-33a4-bdd4-69c25d2e9bf5"]}],"mendeley":{"formattedCitation":"[47], [48]","plainTextFormattedCitation":"[47], [48]","previouslyFormattedCitation":"[47], [48]"},"properties":{"noteIndex":0},"schema":"https://github.com/citation-style-language/schema/raw/master/csl-citation.json"}</w:instrText>
            </w:r>
            <w:r w:rsidRPr="009C685E">
              <w:fldChar w:fldCharType="separate"/>
            </w:r>
            <w:r w:rsidRPr="009C685E">
              <w:t>[47], [48]</w:t>
            </w:r>
            <w:r w:rsidRPr="009C685E">
              <w:fldChar w:fldCharType="end"/>
            </w:r>
          </w:p>
        </w:tc>
      </w:tr>
      <w:tr w:rsidR="00BF51FE" w:rsidRPr="009C685E" w14:paraId="03171D53" w14:textId="77777777" w:rsidTr="00DE380F">
        <w:tc>
          <w:tcPr>
            <w:tcW w:w="1507" w:type="dxa"/>
          </w:tcPr>
          <w:p w14:paraId="2C7A6069" w14:textId="77777777" w:rsidR="00BF51FE" w:rsidRPr="009C685E" w:rsidRDefault="00BF51FE" w:rsidP="00DE380F">
            <w:pPr>
              <w:spacing w:line="360" w:lineRule="auto"/>
              <w:jc w:val="both"/>
            </w:pPr>
            <w:r w:rsidRPr="009C685E">
              <w:t>SETDB1</w:t>
            </w:r>
          </w:p>
        </w:tc>
        <w:tc>
          <w:tcPr>
            <w:tcW w:w="2085" w:type="dxa"/>
          </w:tcPr>
          <w:p w14:paraId="6DD167F8" w14:textId="77777777" w:rsidR="00BF51FE" w:rsidRPr="009C685E" w:rsidRDefault="00BF51FE" w:rsidP="00DE380F">
            <w:pPr>
              <w:spacing w:line="360" w:lineRule="auto"/>
              <w:jc w:val="both"/>
            </w:pPr>
            <w:r w:rsidRPr="009C685E">
              <w:t>Facilitates the sex chromosome remodeling. Required for establishing MSCI</w:t>
            </w:r>
          </w:p>
        </w:tc>
        <w:tc>
          <w:tcPr>
            <w:tcW w:w="1678" w:type="dxa"/>
          </w:tcPr>
          <w:p w14:paraId="158E8E68" w14:textId="77777777" w:rsidR="00BF51FE" w:rsidRPr="009C685E" w:rsidRDefault="00BF51FE" w:rsidP="00DE380F">
            <w:pPr>
              <w:spacing w:line="360" w:lineRule="auto"/>
              <w:jc w:val="both"/>
            </w:pPr>
          </w:p>
        </w:tc>
        <w:tc>
          <w:tcPr>
            <w:tcW w:w="1404" w:type="dxa"/>
          </w:tcPr>
          <w:p w14:paraId="18F9E242" w14:textId="77777777" w:rsidR="00BF51FE" w:rsidRPr="009C685E" w:rsidRDefault="00BF51FE" w:rsidP="00DE380F">
            <w:pPr>
              <w:spacing w:line="360" w:lineRule="auto"/>
              <w:jc w:val="both"/>
            </w:pPr>
            <w:bookmarkStart w:id="1" w:name="OLE_LINK1"/>
            <w:r w:rsidRPr="009C685E">
              <w:t>Mass spectrometr</w:t>
            </w:r>
            <w:bookmarkEnd w:id="1"/>
            <w:r w:rsidRPr="009C685E">
              <w:t>y</w:t>
            </w:r>
          </w:p>
        </w:tc>
        <w:tc>
          <w:tcPr>
            <w:tcW w:w="1622" w:type="dxa"/>
          </w:tcPr>
          <w:p w14:paraId="4569B37A"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adaptation","type":"article-journal","volume":"1865"},"uris":["http://www.mendeley.com/documents/?uuid=33afb42e-546e-3e10-a1c6-243f8afb7fa0"]},{"id":"ITEM-2","itemData":{"DOI":"10.1021/pr300967y","ISSN":"15353893","PMID":"23301498","abstract":"The post-translational modification of proteins with N-acetylglucosamine (O-GlcNAc) is involved in the regulation of a wide variety of cellular processes and associated with a number of chronic diseases. Despite its emerging biological significance, the systematic identification of O-GlcNAc proteins is still challenging. In the present study, we demonstrate a significantly improved O-GlcNAc protein enrichment procedure, which exploits metabolic labeling of cells by azide-modified GlcNAc and copper-mediated Click chemistry for purification of modified proteins on an alkyne-resin. On-resin proteolysis using trypsin followed by LC-MS/MS afforded the identification of around 1500 O-GlcNAc proteins from a single cell line. Subsequent elution of covalently resin bound O-GlcNAc peptides using selective β-elimination enabled the identification of 185 O-GlcNAc modification sites on 80 proteins. To demonstrate the practical utility of the developed approach, we studied the global effects of the O-GlcNAcase inhibitor GlcNAcstatin G on the level of O-GlcNAc modification of cellular proteins. About 200 proteins including several key players involved in the hexosamine signaling pathway showed significantly increased O-GlcNAcylation levels in response to the drug, which further strengthens the link of O-GlcNAc protein modification to cellular nutrient sensing and response. © 2013 American Chemical Society.","author":[{"dropping-particle":"","family":"Hahne","given":"Hannes","non-dropping-particle":"","parse-names":false,"suffix":""},{"dropping-particle":"","family":"Sobotzki","given":"Nadine","non-dropping-particle":"","parse-names":false,"suffix":""},{"dropping-particle":"","family":"Nyberg","given":"Tamara","non-dropping-particle":"","parse-names":false,"suffix":""},{"dropping-particle":"","family":"Helm","given":"Dominic","non-dropping-particle":"","parse-names":false,"suffix":""},{"dropping-particle":"","family":"Borodkin","given":"Vladimir S.","non-dropping-particle":"","parse-names":false,"suffix":""},{"dropping-particle":"","family":"Aalten","given":"Daan M.F.","non-dropping-particle":"Van","parse-names":false,"suffix":""},{"dropping-particle":"","family":"Agnew","given":"Brian","non-dropping-particle":"","parse-names":false,"suffix":""},{"dropping-particle":"","family":"Kuster","given":"Bernhard","non-dropping-particle":"","parse-names":false,"suffix":""}],"container-title":"Journal of Proteome Research","id":"ITEM-2","issue":"2","issued":{"date-parts":[["2013","2","1"]]},"page":"927-936","publisher":"J Proteome Res","title":"Proteome wide purification and identification of O-GlcNAc-modified proteins using click chemistry and mass spectrometry","type":"article-journal","volume":"12"},"uris":["http://www.mendeley.com/documents/?uuid=8289eb93-75b7-33c2-ad19-2c91795e62d8"]}],"mendeley":{"formattedCitation":"[45], [46]","plainTextFormattedCitation":"[45], [46]","previouslyFormattedCitation":"[45], [46]"},"properties":{"noteIndex":0},"schema":"https://github.com/citation-style-language/schema/raw/master/csl-citation.json"}</w:instrText>
            </w:r>
            <w:r w:rsidRPr="009C685E">
              <w:fldChar w:fldCharType="separate"/>
            </w:r>
            <w:r w:rsidRPr="009C685E">
              <w:t>[45], [46]</w:t>
            </w:r>
            <w:r w:rsidRPr="009C685E">
              <w:fldChar w:fldCharType="end"/>
            </w:r>
          </w:p>
        </w:tc>
      </w:tr>
      <w:tr w:rsidR="00BF51FE" w:rsidRPr="009C685E" w14:paraId="5689F32B" w14:textId="77777777" w:rsidTr="00DE380F">
        <w:tc>
          <w:tcPr>
            <w:tcW w:w="1507" w:type="dxa"/>
          </w:tcPr>
          <w:p w14:paraId="28CCB000" w14:textId="77777777" w:rsidR="00BF51FE" w:rsidRPr="009C685E" w:rsidRDefault="00BF51FE" w:rsidP="00DE380F">
            <w:pPr>
              <w:spacing w:line="360" w:lineRule="auto"/>
              <w:jc w:val="both"/>
            </w:pPr>
            <w:r w:rsidRPr="009C685E">
              <w:t>SGOL2</w:t>
            </w:r>
          </w:p>
        </w:tc>
        <w:tc>
          <w:tcPr>
            <w:tcW w:w="2085" w:type="dxa"/>
          </w:tcPr>
          <w:p w14:paraId="4F88C858" w14:textId="77777777" w:rsidR="00BF51FE" w:rsidRPr="009C685E" w:rsidRDefault="00BF51FE" w:rsidP="00DE380F">
            <w:pPr>
              <w:spacing w:line="360" w:lineRule="auto"/>
              <w:jc w:val="both"/>
            </w:pPr>
            <w:r w:rsidRPr="009C685E">
              <w:t xml:space="preserve">Regulates meiotic centromeric </w:t>
            </w:r>
            <w:proofErr w:type="spellStart"/>
            <w:r w:rsidRPr="009C685E">
              <w:t>cohesin</w:t>
            </w:r>
            <w:proofErr w:type="spellEnd"/>
          </w:p>
        </w:tc>
        <w:tc>
          <w:tcPr>
            <w:tcW w:w="1678" w:type="dxa"/>
          </w:tcPr>
          <w:p w14:paraId="4D7AA85E" w14:textId="77777777" w:rsidR="00BF51FE" w:rsidRPr="009C685E" w:rsidRDefault="00BF51FE" w:rsidP="00DE380F">
            <w:pPr>
              <w:spacing w:line="360" w:lineRule="auto"/>
              <w:jc w:val="both"/>
            </w:pPr>
          </w:p>
        </w:tc>
        <w:tc>
          <w:tcPr>
            <w:tcW w:w="1404" w:type="dxa"/>
          </w:tcPr>
          <w:p w14:paraId="7599F42A" w14:textId="77777777" w:rsidR="00BF51FE" w:rsidRPr="009C685E" w:rsidRDefault="00BF51FE" w:rsidP="00DE380F">
            <w:pPr>
              <w:spacing w:line="360" w:lineRule="auto"/>
              <w:jc w:val="both"/>
            </w:pPr>
            <w:r w:rsidRPr="009C685E">
              <w:t>Mass spectrometry</w:t>
            </w:r>
          </w:p>
        </w:tc>
        <w:tc>
          <w:tcPr>
            <w:tcW w:w="1622" w:type="dxa"/>
          </w:tcPr>
          <w:p w14:paraId="2E38DD2E"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47A52B01" w14:textId="77777777" w:rsidTr="00DE380F">
        <w:tc>
          <w:tcPr>
            <w:tcW w:w="1507" w:type="dxa"/>
          </w:tcPr>
          <w:p w14:paraId="0542A113" w14:textId="77777777" w:rsidR="00BF51FE" w:rsidRPr="009C685E" w:rsidRDefault="00BF51FE" w:rsidP="00DE380F">
            <w:pPr>
              <w:spacing w:line="360" w:lineRule="auto"/>
              <w:jc w:val="both"/>
            </w:pPr>
            <w:r w:rsidRPr="009C685E">
              <w:t>SIX6OS1</w:t>
            </w:r>
          </w:p>
        </w:tc>
        <w:tc>
          <w:tcPr>
            <w:tcW w:w="2085" w:type="dxa"/>
          </w:tcPr>
          <w:p w14:paraId="682A1151" w14:textId="77777777" w:rsidR="00BF51FE" w:rsidRPr="009C685E" w:rsidRDefault="00BF51FE" w:rsidP="00DE380F">
            <w:pPr>
              <w:spacing w:line="360" w:lineRule="auto"/>
              <w:jc w:val="both"/>
            </w:pPr>
            <w:r w:rsidRPr="009C685E">
              <w:t>Required to initiate the assembly of the synaptonemal complex</w:t>
            </w:r>
          </w:p>
        </w:tc>
        <w:tc>
          <w:tcPr>
            <w:tcW w:w="1678" w:type="dxa"/>
          </w:tcPr>
          <w:p w14:paraId="30E75234" w14:textId="77777777" w:rsidR="00BF51FE" w:rsidRPr="009C685E" w:rsidRDefault="00BF51FE" w:rsidP="00DE380F">
            <w:pPr>
              <w:spacing w:line="360" w:lineRule="auto"/>
              <w:jc w:val="both"/>
            </w:pPr>
          </w:p>
        </w:tc>
        <w:tc>
          <w:tcPr>
            <w:tcW w:w="1404" w:type="dxa"/>
          </w:tcPr>
          <w:p w14:paraId="35495F72" w14:textId="77777777" w:rsidR="00BF51FE" w:rsidRPr="009C685E" w:rsidRDefault="00BF51FE" w:rsidP="00DE380F">
            <w:pPr>
              <w:spacing w:line="360" w:lineRule="auto"/>
              <w:jc w:val="both"/>
            </w:pPr>
            <w:r w:rsidRPr="009C685E">
              <w:t>Mass spectrometry</w:t>
            </w:r>
          </w:p>
        </w:tc>
        <w:tc>
          <w:tcPr>
            <w:tcW w:w="1622" w:type="dxa"/>
          </w:tcPr>
          <w:p w14:paraId="5ADF67FD"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20A31147" w14:textId="77777777" w:rsidTr="00DE380F">
        <w:tc>
          <w:tcPr>
            <w:tcW w:w="1507" w:type="dxa"/>
          </w:tcPr>
          <w:p w14:paraId="266F93E4" w14:textId="77777777" w:rsidR="00BF51FE" w:rsidRPr="009C685E" w:rsidRDefault="00BF51FE" w:rsidP="00DE380F">
            <w:pPr>
              <w:spacing w:line="360" w:lineRule="auto"/>
              <w:jc w:val="both"/>
            </w:pPr>
            <w:r w:rsidRPr="009C685E">
              <w:t>SKP1</w:t>
            </w:r>
          </w:p>
        </w:tc>
        <w:tc>
          <w:tcPr>
            <w:tcW w:w="2085" w:type="dxa"/>
          </w:tcPr>
          <w:p w14:paraId="21895318" w14:textId="77777777" w:rsidR="00BF51FE" w:rsidRPr="009C685E" w:rsidRDefault="00BF51FE" w:rsidP="00DE380F">
            <w:pPr>
              <w:spacing w:line="360" w:lineRule="auto"/>
              <w:jc w:val="both"/>
            </w:pPr>
            <w:r w:rsidRPr="009C685E">
              <w:t>Required for TRIP13 abundance or stability</w:t>
            </w:r>
          </w:p>
        </w:tc>
        <w:tc>
          <w:tcPr>
            <w:tcW w:w="1678" w:type="dxa"/>
          </w:tcPr>
          <w:p w14:paraId="2C457B37" w14:textId="77777777" w:rsidR="00BF51FE" w:rsidRPr="009C685E" w:rsidRDefault="00BF51FE" w:rsidP="00DE380F">
            <w:pPr>
              <w:spacing w:line="360" w:lineRule="auto"/>
              <w:jc w:val="both"/>
            </w:pPr>
          </w:p>
        </w:tc>
        <w:tc>
          <w:tcPr>
            <w:tcW w:w="1404" w:type="dxa"/>
          </w:tcPr>
          <w:p w14:paraId="0094A901" w14:textId="77777777" w:rsidR="00BF51FE" w:rsidRPr="009C685E" w:rsidRDefault="00BF51FE" w:rsidP="00DE380F">
            <w:pPr>
              <w:spacing w:line="360" w:lineRule="auto"/>
              <w:jc w:val="both"/>
            </w:pPr>
            <w:r w:rsidRPr="009C685E">
              <w:t>Mass spectrometry</w:t>
            </w:r>
          </w:p>
        </w:tc>
        <w:tc>
          <w:tcPr>
            <w:tcW w:w="1622" w:type="dxa"/>
          </w:tcPr>
          <w:p w14:paraId="62242B6E"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{"citationItems":[{"id":"ITEM-1","itemData":{"DOI":"10.1021/pr300967y","ISSN":"15353893","PMID":"23301498","abstract":"The post-translational modification of proteins with N-acetylglucosamine (O-GlcNAc) is involved in the regulation of a wide variety of cellular processes and associated with a number of chronic diseases. Despite its emerging biological significance, the systematic identification of O-GlcNAc proteins is still challenging. In the present study, we demonstrate a significantly improved O-GlcNAc protein enrichment procedure, which exploits metabolic labeling of cells by azide-modified GlcNAc and copper-mediated Click chemistry for purification of modified proteins on an alkyne-resin. On-resin proteolysis using trypsin followed by LC-MS/MS afforded the identification of around 1500 O-GlcNAc proteins from a single cell line. Subsequent elution of covalently resin bound O-GlcNAc peptides using selective β-elimination enabled the identification of 185 O-GlcNAc modification sites on 80 proteins. To demonstrate the practical utility of the developed approach, we studied the global effects of the O-GlcNAcase inhibitor GlcNAcstatin G on the level of O-GlcNAc modification of cellular proteins. About 200 proteins including several key players involved in the hexosamine signaling pathway showed significantly increased O-GlcNAcylation levels in response to the drug, which further strengthens the link of O-GlcNAc protein modification to cellular nutrient sensing and response. © 2013 American Chemical Society.","author":[{"dropping-particle":"","family":"Hahne","given":"Hannes","non-dropping-particle":"","parse-names":false,"suffix":""},{"dropping-particle":"","family":"Sobotzki","given":"Nadine","non-dropping-particle":"","parse-names":false,"suffix":""},{"dropping-particle":"","family":"Nyberg","given":"Tamara","non-dropping-particle":"","parse-names":false,"suffix":""},{"dropping-particle":"","family":"Helm","given":"Dominic","non-dropping-particle":"","parse-names":false,"suffix":""},{"dropping-particle":"","family":"Borodkin","given":"Vladimir S.","non-dropping-particle":"","parse-names":false,"suffix":""},{"dropping-particle":"","family":"Aalten","given":"Daan M.F.","non-dropping-particle":"Van","parse-names":false,"suffix":""},{"dropping-particle":"","family":"Agnew","given":"Brian","non-dropping-particle":"","parse-names":false,"suffix":""},{"dropping-particle":"","family":"Kuster","given":"Bernhard","non-dropping-particle":"","parse-names":false,"suffix":""}],"container-title":"Journal of Proteome Research","id":"ITEM-1","issue":"2","issued":{"date-parts":[["2013","2","1"]]},"page":"927-936","publisher":"J Proteome Res","title":"Proteome wide purification and identification of O-GlcNAc-modified proteins using click chemistry and mass spectrometry","type":"article-journal","volume":"12"},"uris":["http://www.mendeley.com/documents/?uuid=8289eb93-75b7-33c2-ad19-2c91795e62d8"]},{"id":"ITEM-2","itemData":{"DOI":"10.1021/acs.analchem.6b04960","ISSN":"15206882","PMID":"28510447","abstract":"O-linked β-N-acetylglucosamine (O-GlcNAc) is a ubiquitous post-translational modification of proteins in eukaryotic cells. Despite their low abundance, O-GlcNAc-modified proteins play many important roles in regulating gene expression, signal transduction, and cell cycle. Aberrant O-GlcNAc proteins are correlated with many major human diseases, such as Alzheimer's disease, diabetes, and cancer. Because of the extremely low stoichiometry of O-GlcNAc proteins, enrichment is required before mass spectrometry analysis for large-scale identification and in-depth understanding of their cellular function. In this work, we designed and synthesized a novel thermosensitive immobilized triarylphosphine reagent as a convenient tool for efficient enrichment of azide-labeled O-GlcNAc proteins from complex biological samples. Immobilization of triarylphosphine on highly water-soluble thermosensitive polymer largely increases its solubility and reactivity in aqueous solution. As a result, facilitated coupling is achieved between triarylphosphine and azide-labeled O-GlcNAc proteins via Staudinger ligation, due to the increased triarylphosphine concentration, reduced interfacial mass transfer resistance, and steric hindrance in homogeneous reaction. Furthermore, solubility of the polymer from complete dissolution to full precipitation can be easily controlled by simply adjusting the environmental temperature. Therefore, facile sample recovery can be achieved by increasing the temperature to precipitate the polymer-O-GlcNAc protein conjugates from solution. This novel immobilized triarylphosphine reagent enables efficient enrichment and sensitive detection of more than 1700 potential O-GlcNAc proteins from HeLa cell using mass spectrometry, demonstrating its potential as a general strategy for low-abundance target enrichment.","author":[{"dropping-particle":"","family":"Zhang","given":"Wanjun","non-dropping-particle":"","parse-names":false,"suffix":""},{"dropping-particle":"","family":"Liu","given":"Tong","non-dropping-particle":"","parse-names":false,"suffix":""},{"dropping-particle":"","family":"Dong","given":"Hangyan","non-dropping-particle":"","parse-names":false,"suffix":""},{"dropping-particle":"","family":"Bai","given":"Haihong","non-dropping-particle":"","parse-names":false,"suffix":""},{"dropping-particle":"","family":"Tian","given":"Fang","non-dropping-particle":"","parse-names":false,"suffix":""},{"dropping-particle":"","family":"Shi","given":"Zhaomei","non-dropping-particle":"","parse-names":false,"suffix":""},{"dropping-particle":"","family":"Chen","given":"Mingli","non-dropping-particle":"","parse-names":false,"suffix":""},{"dropping-particle":"","family":"Wang","given":"Jianhua","non-dropping-particle":"","parse-names":false,"suffix":""},{"dropping-particle":"","family":"Qin","given":"Weijie","non-dropping-particle":"","parse-names":false,"suffix":""},{"dropping-particle":"","family":"Qian","given":"Xiaohong","non-dropping-particle":"","parse-names":false,"suffix":""}],"container-title":"Analytical Chemistry","id":"ITEM-2","issue":"11","issued":{"date-parts":[["2017","6","6"]]},"page":"5810-5817","publisher":"American Chemical Society","title":"Synthesis of a Highly Azide-Reactive and Thermosensitive Biofunctional Reagent for Efficient Enrichment and Large-Scale Identification of O-GlcNAc Proteins by Mass Spectrometry","type":"article-journal","volume":"89"},"uris":["http://www.mendeley.com/documents/?uuid=10053858-e2dd-338a-be50-b10f74666164"]}],"mendeley":{"formattedCitation":"[45], [49]","plainTextFormattedCitation":"[45], [49]","previouslyFormattedCitation":"[45], [49]"},"properties":{"noteIndex":0},"schema":"https://github.com/citation-style-language/schema/raw/master/csl-citation.json"}</w:instrText>
            </w:r>
            <w:r w:rsidRPr="009C685E">
              <w:fldChar w:fldCharType="separate"/>
            </w:r>
            <w:r w:rsidRPr="009C685E">
              <w:t>[45], [49]</w:t>
            </w:r>
            <w:r w:rsidRPr="009C685E">
              <w:fldChar w:fldCharType="end"/>
            </w:r>
          </w:p>
        </w:tc>
      </w:tr>
      <w:tr w:rsidR="00BF51FE" w:rsidRPr="009C685E" w14:paraId="450FB7A5" w14:textId="77777777" w:rsidTr="00DE380F">
        <w:tc>
          <w:tcPr>
            <w:tcW w:w="1507" w:type="dxa"/>
          </w:tcPr>
          <w:p w14:paraId="2ADA8877" w14:textId="77777777" w:rsidR="00BF51FE" w:rsidRPr="009C685E" w:rsidRDefault="00BF51FE" w:rsidP="00DE380F">
            <w:pPr>
              <w:spacing w:line="360" w:lineRule="auto"/>
              <w:jc w:val="both"/>
            </w:pPr>
            <w:r w:rsidRPr="009C685E">
              <w:t>SMC1α</w:t>
            </w:r>
          </w:p>
        </w:tc>
        <w:tc>
          <w:tcPr>
            <w:tcW w:w="2085" w:type="dxa"/>
          </w:tcPr>
          <w:p w14:paraId="1CB21580" w14:textId="77777777" w:rsidR="00BF51FE" w:rsidRPr="009C685E" w:rsidRDefault="00BF51FE" w:rsidP="00DE380F">
            <w:pPr>
              <w:spacing w:line="360" w:lineRule="auto"/>
              <w:jc w:val="both"/>
            </w:pPr>
            <w:r w:rsidRPr="009C685E">
              <w:t>Required for establishing sister chromatid cohesion during the premeiotic S-phase</w:t>
            </w:r>
          </w:p>
        </w:tc>
        <w:tc>
          <w:tcPr>
            <w:tcW w:w="1678" w:type="dxa"/>
          </w:tcPr>
          <w:p w14:paraId="76EF81EC" w14:textId="77777777" w:rsidR="00BF51FE" w:rsidRPr="009C685E" w:rsidRDefault="00BF51FE" w:rsidP="00DE380F">
            <w:pPr>
              <w:spacing w:line="360" w:lineRule="auto"/>
              <w:jc w:val="both"/>
            </w:pPr>
            <w:r w:rsidRPr="009C685E">
              <w:t>T722, S882</w:t>
            </w:r>
          </w:p>
        </w:tc>
        <w:tc>
          <w:tcPr>
            <w:tcW w:w="1404" w:type="dxa"/>
          </w:tcPr>
          <w:p w14:paraId="5D58444D" w14:textId="77777777" w:rsidR="00BF51FE" w:rsidRPr="009C685E" w:rsidRDefault="00BF51FE" w:rsidP="00DE380F">
            <w:pPr>
              <w:spacing w:line="360" w:lineRule="auto"/>
              <w:jc w:val="both"/>
            </w:pPr>
            <w:r w:rsidRPr="009C685E">
              <w:t>Mass spectrometry</w:t>
            </w:r>
          </w:p>
        </w:tc>
        <w:tc>
          <w:tcPr>
            <w:tcW w:w="1622" w:type="dxa"/>
          </w:tcPr>
          <w:p w14:paraId="1E412AB2"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{"citationItems":[{"id":"ITEM-1","itemData":{"DOI":"10.1038/s41467-020-19579-y","ISSN":"20411723","PMID":"33214551","abstract":"O-GlcNAc modification plays critical roles in regulating the stress response program and cellular homeostasis. However, systematic and multi-omics studies on the O-GlcNAc regulated mechanism have been limited. Here, comprehensive data are obtained by a chemical reporter-based method to survey O-GlcNAc function in human breast cancer cells stimulated with the genotoxic agent adriamycin. We identify 875 genotoxic stress-induced O-GlcNAc chromatin-associated proteins (OCPs), including 88 O-GlcNAc chromatin-associated transcription factors and cofactors (OCTFs), subsequently map their genomic loci, and construct a comprehensive transcriptional reprogramming network. Notably, genotoxicity-induced O-GlcNAc enhances the genome-wide interactions of OCPs with chromatin. The dynamic binding switch of hundreds of OCPs from enhancers to promoters is identified as a crucial feature in the specific transcriptional activation of genes involved in the adaptation of cancer cells to genotoxic stress. The OCTF nuclear factor erythroid 2-related factor-1 (NRF1) is found to be a key response regulator in O-GlcNAc-modulated cellular homeostasis. These results provide a valuable clue suggesting that OCPs act as stress sensors by regulating the expression of various genes to protect cancer cells from genotoxic stress.","author":[{"dropping-particle":"","family":"Liu","given":"Yubo","non-dropping-particle":"","parse-names":false,"suffix":""},{"dropping-particle":"","family":"Chen","given":"Qiushi","non-dropping-particle":"","parse-names":false,"suffix":""},{"dropping-particle":"","family":"Zhang","given":"Nana","non-dropping-particle":"","parse-names":false,"suffix":""},{"dropping-particle":"","family":"Zhang","given":"Keren","non-dropping-particle":"","parse-names":false,"suffix":""},{"dropping-particle":"","family":"Dou","given":"Tongyi","non-dropping-particle":"","parse-names":false,"suffix":""},{"dropping-particle":"","family":"Cao","given":"Yu","non-dropping-particle":"","parse-names":false,"suffix":""},{"dropping-particle":"","family":"Liu","given":"Yimin","non-dropping-particle":"","parse-names":false,"suffix":""},{"dropping-particle":"","family":"Li","given":"Kun","non-dropping-particle":"","parse-names":false,"suffix":""},{"dropping-particle":"","family":"Hao","given":"Xinya","non-dropping-particle":"","parse-names":false,"suffix":""},{"dropping-particle":"","family":"Xie","given":"Xueqin","non-dropping-particle":"","parse-names":false,"suffix":""},{"dropping-particle":"","family":"Li","given":"Wenli","non-dropping-particle":"","parse-names":false,"suffix":""},{"dropping-particle":"","family":"Ren","given":"Yan","non-dropping-particle":"","parse-names":false,"suffix":""},{"dropping-particle":"","family":"Zhang","given":"Jianing","non-dropping-particle":"","parse-names":false,"suffix":""}],"container-title":"Nature Communications","id":"ITEM-1","issue":"1","issued":{"date-parts":[["2020","12","1"]]},"publisher":"Nature Research","title":"Proteomic profiling and genome-wide mapping of O-GlcNAc chromatin-associated proteins reveal an O-GlcNAc-regulated genotoxic stress response","type":"article-journal","volume":"11"},"uris":["http://www.mendeley.com/documents/?uuid=24f034c0-20e0-3541-a180-cfc1cd303bc8"]},{"id":"ITEM-2","itemData":{"DOI":"10.3390/cancers14010243","ISSN":"20726694","abstract":"O-GlcNAcylation is a reversible and dynamic post-translational protein modification catalyzed by O-GlcNAc transferase (OGT). Despite the reported association of O-GlcNAcylation with cancer metastasis, the O-GlcNAc proteome profile for cancer aggressiveness remains largely uncharacterized. Here, we report our comparative O-GlcNAc proteome profiling of two differentially invasive lung adenocarcinoma cell lines, which identified 158 down-regulated and 106 up-regulated candidates in highly invasive cells. Among these differential proteins, a nuclear RNA-binding protein, SAM68 (SRC associated in mitosis of 68 kDa), was further investigated. Results showed that SAM68 is O-GlcNAcylated and may interact with OGT in the nucleus. Eleven O-GlcNAcylation sites were identified, and data from mutant analysis suggested that multiple serine residues in the N-terminal region are important for O-GlcNAcylation and the function of SAM68 in modulating cancer cell migration and invasion. Analysis of clinical specimens found that high SAM68 expression was associated with late cancer stages, and patients with high-OGT/high-SAM68 expression in their tumors had poorer overall survival compared to those with low-OGT/low-SAM68 expression. Our study revealed an invasiveness-associated O-GlcNAc proteome profile and connected O-GlcNAcylated SAM68 to lung cancer aggressiveness.","author":[{"dropping-particle":"","family":"Lin","given":"Chia Hung","non-dropping-particle":"","parse-names":false,"suffix":""},{"dropping-particle":"","family":"Liao","given":"Chen Chung","non-dropping-particle":"","parse-names":false,"suffix":""},{"dropping-particle":"","family":"Wang","given":"Shu Ying","non-dropping-particle":"","parse-names":false,"suffix":""},{"dropping-particle":"","family":"Peng","given":"Chia Yi","non-dropping-particle":"","parse-names":false,"suffix":""},{"dropping-particle":"","family":"Yeh","given":"Yi Chen","non-dropping-particle":"","parse-names":false,"suffix":""},{"dropping-particle":"","family":"Chen","given":"Mei Yu","non-dropping-particle":"","parse-names":false,"suffix":""},{"dropping-particle":"","family":"Chou","given":"Teh Ying","non-dropping-particle":"","parse-names":false,"suffix":""}],"container-title":"Cancers","id":"ITEM-2","issue":"1","issued":{"date-parts":[["2022","1","1"]]},"publisher":"MDPI","title":"Comparative O-GlcNAc Proteomic Analysis Reveals a Role of O-GlcNAcylated SAM68 in Lung Cancer Aggressiveness","type":"article-journal","volume":"14"},"uris":["http://www.mendeley.com/documents/?uuid=0f2abc6a-48e1-35e4-8cc2-32b9e12e5083"]}],"mendeley":{"formattedCitation":"[50], [51]","plainTextFormattedCitation":"[50], [51]","previouslyFormattedCitation":"[50], [51]"},"properties":{"noteIndex":0},"schema":"https://github.com/citation-style-language/schema/raw/master/csl-citation.json"}</w:instrText>
            </w:r>
            <w:r w:rsidRPr="009C685E">
              <w:fldChar w:fldCharType="separate"/>
            </w:r>
            <w:r w:rsidRPr="009C685E">
              <w:t>[50], [51]</w:t>
            </w:r>
            <w:r w:rsidRPr="009C685E">
              <w:fldChar w:fldCharType="end"/>
            </w:r>
          </w:p>
        </w:tc>
      </w:tr>
      <w:tr w:rsidR="00BF51FE" w:rsidRPr="009C685E" w14:paraId="071449E9" w14:textId="77777777" w:rsidTr="00DE380F">
        <w:tc>
          <w:tcPr>
            <w:tcW w:w="1507" w:type="dxa"/>
          </w:tcPr>
          <w:p w14:paraId="07050BA3" w14:textId="77777777" w:rsidR="00BF51FE" w:rsidRPr="009C685E" w:rsidRDefault="00BF51FE" w:rsidP="00DE380F">
            <w:pPr>
              <w:spacing w:line="360" w:lineRule="auto"/>
              <w:jc w:val="both"/>
            </w:pPr>
            <w:r w:rsidRPr="009C685E">
              <w:t>SMC1β</w:t>
            </w:r>
          </w:p>
        </w:tc>
        <w:tc>
          <w:tcPr>
            <w:tcW w:w="2085" w:type="dxa"/>
          </w:tcPr>
          <w:p w14:paraId="679C25C2" w14:textId="77777777" w:rsidR="00BF51FE" w:rsidRPr="009C685E" w:rsidRDefault="00BF51FE" w:rsidP="00DE380F">
            <w:pPr>
              <w:spacing w:line="360" w:lineRule="auto"/>
              <w:jc w:val="both"/>
            </w:pPr>
            <w:r w:rsidRPr="009C685E">
              <w:t xml:space="preserve">Required for normal chromosome axis </w:t>
            </w:r>
            <w:proofErr w:type="spellStart"/>
            <w:r w:rsidRPr="009C685E">
              <w:t>lenth</w:t>
            </w:r>
            <w:proofErr w:type="spellEnd"/>
            <w:r w:rsidRPr="009C685E">
              <w:t xml:space="preserve"> and telomere integrity</w:t>
            </w:r>
          </w:p>
        </w:tc>
        <w:tc>
          <w:tcPr>
            <w:tcW w:w="1678" w:type="dxa"/>
          </w:tcPr>
          <w:p w14:paraId="6C61707F" w14:textId="77777777" w:rsidR="00BF51FE" w:rsidRPr="009C685E" w:rsidRDefault="00BF51FE" w:rsidP="00DE380F">
            <w:pPr>
              <w:spacing w:line="360" w:lineRule="auto"/>
              <w:jc w:val="both"/>
            </w:pPr>
            <w:r w:rsidRPr="009C685E">
              <w:t>T815</w:t>
            </w:r>
          </w:p>
        </w:tc>
        <w:tc>
          <w:tcPr>
            <w:tcW w:w="1404" w:type="dxa"/>
          </w:tcPr>
          <w:p w14:paraId="71259CFD" w14:textId="77777777" w:rsidR="00BF51FE" w:rsidRPr="009C685E" w:rsidRDefault="00BF51FE" w:rsidP="00DE380F">
            <w:pPr>
              <w:spacing w:line="360" w:lineRule="auto"/>
              <w:jc w:val="both"/>
            </w:pPr>
            <w:r w:rsidRPr="009C685E">
              <w:t>Mass spectrometry</w:t>
            </w:r>
          </w:p>
        </w:tc>
        <w:tc>
          <w:tcPr>
            <w:tcW w:w="1622" w:type="dxa"/>
          </w:tcPr>
          <w:p w14:paraId="4B0482A1"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5E4C90EE" w14:textId="77777777" w:rsidTr="00DE380F">
        <w:tc>
          <w:tcPr>
            <w:tcW w:w="1507" w:type="dxa"/>
          </w:tcPr>
          <w:p w14:paraId="306426F1" w14:textId="77777777" w:rsidR="00BF51FE" w:rsidRPr="009C685E" w:rsidRDefault="00BF51FE" w:rsidP="00DE380F">
            <w:pPr>
              <w:spacing w:line="360" w:lineRule="auto"/>
              <w:jc w:val="both"/>
            </w:pPr>
            <w:proofErr w:type="spellStart"/>
            <w:r w:rsidRPr="009C685E">
              <w:t>Sororin</w:t>
            </w:r>
            <w:proofErr w:type="spellEnd"/>
          </w:p>
        </w:tc>
        <w:tc>
          <w:tcPr>
            <w:tcW w:w="2085" w:type="dxa"/>
          </w:tcPr>
          <w:p w14:paraId="0D36C757" w14:textId="77777777" w:rsidR="00BF51FE" w:rsidRPr="009C685E" w:rsidRDefault="00BF51FE" w:rsidP="00DE380F">
            <w:pPr>
              <w:spacing w:line="360" w:lineRule="auto"/>
              <w:jc w:val="both"/>
            </w:pPr>
            <w:r w:rsidRPr="009C685E">
              <w:t>Regulates the cohesion complex</w:t>
            </w:r>
          </w:p>
        </w:tc>
        <w:tc>
          <w:tcPr>
            <w:tcW w:w="1678" w:type="dxa"/>
          </w:tcPr>
          <w:p w14:paraId="098A1BA4" w14:textId="77777777" w:rsidR="00BF51FE" w:rsidRPr="009C685E" w:rsidRDefault="00BF51FE" w:rsidP="00DE380F">
            <w:pPr>
              <w:spacing w:line="360" w:lineRule="auto"/>
              <w:jc w:val="both"/>
            </w:pPr>
          </w:p>
        </w:tc>
        <w:tc>
          <w:tcPr>
            <w:tcW w:w="1404" w:type="dxa"/>
          </w:tcPr>
          <w:p w14:paraId="12531D8D" w14:textId="77777777" w:rsidR="00BF51FE" w:rsidRPr="009C685E" w:rsidRDefault="00BF51FE" w:rsidP="00DE380F">
            <w:pPr>
              <w:spacing w:line="360" w:lineRule="auto"/>
              <w:jc w:val="both"/>
            </w:pPr>
            <w:r w:rsidRPr="009C685E">
              <w:t>Mass spectrometry</w:t>
            </w:r>
          </w:p>
        </w:tc>
        <w:tc>
          <w:tcPr>
            <w:tcW w:w="1622" w:type="dxa"/>
          </w:tcPr>
          <w:p w14:paraId="19A15BD4"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-1","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mendeley":{"formattedCitation":"[40]","plainTextFormattedCitation":"[40]","previouslyFormattedCitation":"[40]"},"properties":{"noteIndex":0},"schema":"https://github.com/citation-style-language/schema/raw/master/csl-citation.json"}</w:instrText>
            </w:r>
            <w:r w:rsidRPr="009C685E">
              <w:fldChar w:fldCharType="separate"/>
            </w:r>
            <w:r w:rsidRPr="009C685E">
              <w:t>[40]</w:t>
            </w:r>
            <w:r w:rsidRPr="009C685E">
              <w:fldChar w:fldCharType="end"/>
            </w:r>
          </w:p>
        </w:tc>
      </w:tr>
      <w:tr w:rsidR="00BF51FE" w:rsidRPr="009C685E" w14:paraId="700F3702" w14:textId="77777777" w:rsidTr="00DE380F">
        <w:tc>
          <w:tcPr>
            <w:tcW w:w="1507" w:type="dxa"/>
          </w:tcPr>
          <w:p w14:paraId="3A60EE27" w14:textId="77777777" w:rsidR="00BF51FE" w:rsidRPr="009C685E" w:rsidRDefault="00BF51FE" w:rsidP="00DE380F">
            <w:pPr>
              <w:spacing w:line="360" w:lineRule="auto"/>
              <w:jc w:val="both"/>
            </w:pPr>
            <w:r w:rsidRPr="009C685E">
              <w:lastRenderedPageBreak/>
              <w:t>STAG3</w:t>
            </w:r>
          </w:p>
        </w:tc>
        <w:tc>
          <w:tcPr>
            <w:tcW w:w="2085" w:type="dxa"/>
          </w:tcPr>
          <w:p w14:paraId="339D1307" w14:textId="77777777" w:rsidR="00BF51FE" w:rsidRPr="009C685E" w:rsidRDefault="00BF51FE" w:rsidP="00DE380F">
            <w:pPr>
              <w:spacing w:line="360" w:lineRule="auto"/>
              <w:jc w:val="both"/>
            </w:pPr>
            <w:r w:rsidRPr="009C685E">
              <w:t>Forms complex with SMCα/β. Involved in sister formation of chromatid cohesion.</w:t>
            </w:r>
          </w:p>
        </w:tc>
        <w:tc>
          <w:tcPr>
            <w:tcW w:w="1678" w:type="dxa"/>
          </w:tcPr>
          <w:p w14:paraId="2BEFCA9C" w14:textId="77777777" w:rsidR="00BF51FE" w:rsidRPr="009C685E" w:rsidRDefault="00BF51FE" w:rsidP="00DE380F">
            <w:pPr>
              <w:spacing w:line="360" w:lineRule="auto"/>
              <w:jc w:val="both"/>
            </w:pPr>
          </w:p>
        </w:tc>
        <w:tc>
          <w:tcPr>
            <w:tcW w:w="1404" w:type="dxa"/>
          </w:tcPr>
          <w:p w14:paraId="293C9F0F" w14:textId="77777777" w:rsidR="00BF51FE" w:rsidRPr="009C685E" w:rsidRDefault="00BF51FE" w:rsidP="00DE380F">
            <w:pPr>
              <w:spacing w:line="360" w:lineRule="auto"/>
              <w:jc w:val="both"/>
            </w:pPr>
            <w:r w:rsidRPr="009C685E">
              <w:t>Mass spectrometry</w:t>
            </w:r>
          </w:p>
        </w:tc>
        <w:tc>
          <w:tcPr>
            <w:tcW w:w="1622" w:type="dxa"/>
          </w:tcPr>
          <w:p w14:paraId="15AEDADE"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spectrometry","type":"article-journal","volume":"54"},"uris":["http://www.mendeley.com/documents/?uuid=32f1d9b9-4195-39cf-bed1-03454bae5a6f"]},{"id":"ITEM-2","itemData":{"DOI":"10.1016/j.talanta.2017.03.049","ISSN":"00399140","PMID":"28411811","abstract":"O-GlcNAcylation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-2","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identification","type":"article-journal","volume":"169"},"uris":["http://www.mendeley.com/documents/?uuid=aff461bc-e6de-3ca9-83a9-0f5eaa659eac"]}],"mendeley":{"formattedCitation":"[39], [40]","plainTextFormattedCitation":"[39], [40]","previouslyFormattedCitation":"[39], [40]"},"properties":{"noteIndex":0},"schema":"https://github.com/citation-style-language/schema/raw/master/csl-citation.json"}</w:instrText>
            </w:r>
            <w:r w:rsidRPr="009C685E">
              <w:fldChar w:fldCharType="separate"/>
            </w:r>
            <w:r w:rsidRPr="009C685E">
              <w:t>[39], [40]</w:t>
            </w:r>
            <w:r w:rsidRPr="009C685E">
              <w:fldChar w:fldCharType="end"/>
            </w:r>
          </w:p>
        </w:tc>
      </w:tr>
      <w:tr w:rsidR="00BF51FE" w:rsidRPr="009C685E" w14:paraId="115AEEAE" w14:textId="77777777" w:rsidTr="00DE380F">
        <w:tc>
          <w:tcPr>
            <w:tcW w:w="1507" w:type="dxa"/>
          </w:tcPr>
          <w:p w14:paraId="12BE490E" w14:textId="77777777" w:rsidR="00BF51FE" w:rsidRPr="009C685E" w:rsidRDefault="00BF51FE" w:rsidP="00DE380F">
            <w:pPr>
              <w:spacing w:line="360" w:lineRule="auto"/>
              <w:jc w:val="both"/>
            </w:pPr>
            <w:r w:rsidRPr="009C685E">
              <w:t>SUN1</w:t>
            </w:r>
          </w:p>
        </w:tc>
        <w:tc>
          <w:tcPr>
            <w:tcW w:w="2085" w:type="dxa"/>
          </w:tcPr>
          <w:p w14:paraId="29056558" w14:textId="77777777" w:rsidR="00BF51FE" w:rsidRPr="009C685E" w:rsidRDefault="00BF51FE" w:rsidP="00DE380F">
            <w:pPr>
              <w:spacing w:line="360" w:lineRule="auto"/>
              <w:jc w:val="both"/>
            </w:pPr>
            <w:r w:rsidRPr="009C685E">
              <w:t>Required for telomere dynamic movement and homologous chromosome pairing and recombination</w:t>
            </w:r>
          </w:p>
        </w:tc>
        <w:tc>
          <w:tcPr>
            <w:tcW w:w="1678" w:type="dxa"/>
          </w:tcPr>
          <w:p w14:paraId="4F0DB0D7" w14:textId="77777777" w:rsidR="00BF51FE" w:rsidRPr="009C685E" w:rsidRDefault="00BF51FE" w:rsidP="00DE380F">
            <w:pPr>
              <w:spacing w:line="360" w:lineRule="auto"/>
              <w:jc w:val="both"/>
            </w:pPr>
            <w:r w:rsidRPr="009C685E">
              <w:t>T449, T590, T590</w:t>
            </w:r>
          </w:p>
        </w:tc>
        <w:tc>
          <w:tcPr>
            <w:tcW w:w="1404" w:type="dxa"/>
          </w:tcPr>
          <w:p w14:paraId="5B461A12" w14:textId="77777777" w:rsidR="00BF51FE" w:rsidRPr="009C685E" w:rsidRDefault="00BF51FE" w:rsidP="00DE380F">
            <w:pPr>
              <w:spacing w:line="360" w:lineRule="auto"/>
              <w:jc w:val="both"/>
            </w:pPr>
            <w:r w:rsidRPr="009C685E">
              <w:t>Mass spectrometry</w:t>
            </w:r>
          </w:p>
        </w:tc>
        <w:tc>
          <w:tcPr>
            <w:tcW w:w="1622" w:type="dxa"/>
          </w:tcPr>
          <w:p w14:paraId="2B6308F2" w14:textId="77777777" w:rsidR="00BF51FE" w:rsidRPr="009C685E" w:rsidRDefault="00BF51FE" w:rsidP="00DE380F">
            <w:pPr>
              <w:spacing w:line="360" w:lineRule="auto"/>
              <w:jc w:val="both"/>
            </w:pPr>
            <w:r w:rsidRPr="009C685E">
              <w:fldChar w:fldCharType="begin" w:fldLock="1"/>
            </w:r>
            <w:r w:rsidRPr="009C685E">
              <w:instrText xml:space="preserve">ADDIN CSL_CITATION {"citationItems":[{"id":"ITEM-1","itemData":{"DOI":"10.1021/acschembio.1c00981","ISSN":"15548937","PMID":"35254053","abstract":"O-linked-β-N-acetylglucosamine (O-GlcNAc) glycosylation is a ubiquitous protein post-translational modification of the emerging importance in metazoans. Of the thousands of O-GlcNAcylated proteins identified, many carry multiple modification sites with varied stoichiometry. To better match the scale of O-GlcNAc sites and their dynamic nature, we herein report an optimized strategy, termed isotopic photocleavable tagging for O-GlcNAc profiling (isoPTOP), which enables quantitative and site-specific profiling of O-GlcNAcylation with excellent specificity and sensitivity. In HeLa cells, </w:instrText>
            </w:r>
            <w:r w:rsidRPr="009C685E">
              <w:rPr>
                <w:rFonts w:ascii="Cambria Math" w:hAnsi="Cambria Math" w:cs="Cambria Math"/>
              </w:rPr>
              <w:instrText>∼</w:instrText>
            </w:r>
            <w:r w:rsidRPr="009C685E">
              <w:instrText xml:space="preserve">1500 O-GlcNAcylation sites were identified with the optimized procedures, which led to quantification of </w:instrText>
            </w:r>
            <w:r w:rsidRPr="009C685E">
              <w:rPr>
                <w:rFonts w:ascii="Cambria Math" w:hAnsi="Cambria Math" w:cs="Cambria Math"/>
              </w:rPr>
              <w:instrText>∼</w:instrText>
            </w:r>
            <w:r w:rsidRPr="009C685E">
              <w:instrText>1000 O-GlcNAcylation sites with isoPTOP. Furthermore, we apply isoPTOP to probe the O-GlcNAcylation dynamics in a pair of colorectal cancer (CRC) cell lines, SW480 and SW620 cells, which represent primary carcinoma and metastatic cells, representatively. The stoichiometric differences of 625 O-GlcNAcylation sites are quantified. Of these quantified sites, many occur on important regulators involved in tumor progression and metastasis. Our results provide a valuable database for understanding the functional role of O-GlcNAc in CRC. IsoPTOP should be applicable for investigating O-GlcNAcylation dynamics in various pathophysiological processes.","author":[{"dropping-particle":"","family":"Liu","given":"Jialin","non-dropping-particle":"","parse-names":false,"suffix":""},{"dropping-particle":"","family":"Hao","given":"Yi","non-dropping-particle":"","parse-names":false,"suffix":""},{"dropping-particle":"","family":"Wang","given":"Chunting","non-dropping-particle":"","parse-names":false,"suffix":""},{"dropping-particle":"","family":"Jin","given":"Yangya'Nan","non-dropping-particle":"","parse-names":false,"suffix":""},{"dropping-particle":"","family":"Yang","given":"Yong","non-dropping-particle":"","parse-names":false,"suffix":""},{"dropping-particle":"","family":"Gu","given":"Jin","non-dropping-particle":"","parse-names":false,"suffix":""},{"dropping-particle":"","family":"Chen","given":"Xing","non-dropping-particle":"","parse-names":false,"suffix":""}],"container-title":"ACS Chemical Biology","id":"ITEM-1","issue":"3","issued":{"date-parts":[["2022","3","18"]]},"page":"513-520","publisher":"American Chemical Society","title":"An Optimized Isotopic Photocleavable Tagging Strategy for Site-Specific and Quantitative Profiling of Protein O-GlcNAcylation in Colorectal Cancer Metastasis","type":"article-journal","volume":"17"},"uris":["http://www.mendeley.com/documents/?uuid=26ec3599-77d5-3245-bbbf-ffa2e2da348b"]}],"mendeley":{"formattedCitation":"[47]","plainTextFormattedCitation":"[47]","previouslyFormattedCitation":"[47]"},"properties":{"noteIndex":0},"schema":"https://github.com/citation-style-language/schema/raw/master/csl-citation.json"}</w:instrText>
            </w:r>
            <w:r w:rsidRPr="009C685E">
              <w:fldChar w:fldCharType="separate"/>
            </w:r>
            <w:r w:rsidRPr="009C685E">
              <w:t>[47]</w:t>
            </w:r>
            <w:r w:rsidRPr="009C685E">
              <w:fldChar w:fldCharType="end"/>
            </w:r>
          </w:p>
        </w:tc>
      </w:tr>
      <w:tr w:rsidR="00BF51FE" w:rsidRPr="009C685E" w14:paraId="06B13886" w14:textId="77777777" w:rsidTr="00DE380F">
        <w:tc>
          <w:tcPr>
            <w:tcW w:w="1507" w:type="dxa"/>
          </w:tcPr>
          <w:p w14:paraId="6883369E" w14:textId="77777777" w:rsidR="00BF51FE" w:rsidRPr="009C685E" w:rsidRDefault="00BF51FE" w:rsidP="00DE380F">
            <w:pPr>
              <w:spacing w:line="360" w:lineRule="auto"/>
              <w:jc w:val="both"/>
            </w:pPr>
            <w:r w:rsidRPr="009C685E">
              <w:t>SYCE1</w:t>
            </w:r>
          </w:p>
        </w:tc>
        <w:tc>
          <w:tcPr>
            <w:tcW w:w="2085" w:type="dxa"/>
          </w:tcPr>
          <w:p w14:paraId="0CD32817" w14:textId="77777777" w:rsidR="00BF51FE" w:rsidRPr="009C685E" w:rsidRDefault="00BF51FE" w:rsidP="00DE380F">
            <w:pPr>
              <w:spacing w:line="360" w:lineRule="auto"/>
              <w:jc w:val="both"/>
            </w:pPr>
            <w:r w:rsidRPr="009C685E">
              <w:t>Required to initiate the assembly of the synaptonemal complex</w:t>
            </w:r>
          </w:p>
        </w:tc>
        <w:tc>
          <w:tcPr>
            <w:tcW w:w="1678" w:type="dxa"/>
          </w:tcPr>
          <w:p w14:paraId="1BB5A1EC" w14:textId="77777777" w:rsidR="00BF51FE" w:rsidRPr="009C685E" w:rsidRDefault="00BF51FE" w:rsidP="00DE380F">
            <w:pPr>
              <w:spacing w:line="360" w:lineRule="auto"/>
              <w:jc w:val="both"/>
            </w:pPr>
          </w:p>
        </w:tc>
        <w:tc>
          <w:tcPr>
            <w:tcW w:w="1404" w:type="dxa"/>
          </w:tcPr>
          <w:p w14:paraId="22118A9E" w14:textId="77777777" w:rsidR="00BF51FE" w:rsidRPr="009C685E" w:rsidRDefault="00BF51FE" w:rsidP="00DE380F">
            <w:pPr>
              <w:spacing w:line="360" w:lineRule="auto"/>
              <w:jc w:val="both"/>
            </w:pPr>
            <w:r w:rsidRPr="009C685E">
              <w:t>Mass spectrometry</w:t>
            </w:r>
          </w:p>
        </w:tc>
        <w:tc>
          <w:tcPr>
            <w:tcW w:w="1622" w:type="dxa"/>
          </w:tcPr>
          <w:p w14:paraId="15FF8580"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-1","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identification","type":"article-journal","volume":"169"},"uris":["http://www.mendeley.com/documents/?uuid=aff461bc-e6de-3ca9-83a9-0f5eaa659eac"]},{"id":"ITEM-2","itemData":{"DOI":"10.1021/jacs.7b13546","ISSN":"15205126","PMID":"29485866","abstract":"The essential mammalian enzyme O-GlcNAc Transferase (OGT) is uniquely responsible for transferring N-acetylglucosamine to over a thousand nuclear and cytoplasmic proteins, yet there is no known consensus sequence and it remains unclear how OGT recognizes its substrates. To address this question, we developed a protein microarray assay that chemoenzymatically labels de novo sites of glycosylation with biotin, allowing us to simultaneously assess OGT activity across &gt;6000 human proteins. With this assay we examined the contribution to substrate selection of a conserved asparagine ladder within the lumen of OGT's superhelical tetratricopeptide repeat (TPR) domain. When five asparagines were mutated, OGT retained significant activity against short peptides, but showed limited limited glycosylation of protein substrates on the microarray. O-GlcNAcylation of protein substrates in cell extracts was also greatly attenuated. We conclude that OGT recognizes the majority of its substrates by binding them to the asparagine ladder in the TPR lumen proximal to the catalytic domain.","author":[{"dropping-particle":"","family":"Levine","given":"Zebulon G.","non-dropping-particle":"","parse-names":false,"suffix":""},{"dropping-particle":"","family":"Fan","given":"Chenguang","non-dropping-particle":"","parse-names":false,"suffix":""},{"dropping-particle":"","family":"Melicher","given":"Michael S.","non-dropping-particle":"","parse-names":false,"suffix":""},{"dropping-particle":"","family":"Orman","given":"Marina","non-dropping-particle":"","parse-names":false,"suffix":""},{"dropping-particle":"","family":"Benjamin","given":"Tania","non-dropping-particle":"","parse-names":false,"suffix":""},{"dropping-particle":"","family":"Walker","given":"Suzanne","non-dropping-particle":"","parse-names":false,"suffix":""}],"container-title":"Journal of the American Chemical Society","id":"ITEM-2","issue":"10","issued":{"date-parts":[["2018","3","14"]]},"page":"3510-3513","publisher":"American Chemical Society","title":"O -GlcNAc Transferase Recognizes Protein Substrates Using an Asparagine Ladder in the Tetratricopeptide Repeat (TPR) Superhelix","type":"article-journal","volume":"140"},"uris":["http://www.mendeley.com/documents/?uuid=b5ceda1f-f725-3ba7-8783-f21a12c2184b"]}],"mendeley":{"formattedCitation":"[40], [52]","plainTextFormattedCitation":"[40], [52]","previouslyFormattedCitation":"[40], [52]"},"properties":{"noteIndex":0},"schema":"https://github.com/citation-style-language/schema/raw/master/csl-citation.json"}</w:instrText>
            </w:r>
            <w:r w:rsidRPr="009C685E">
              <w:fldChar w:fldCharType="separate"/>
            </w:r>
            <w:r w:rsidRPr="009C685E">
              <w:t>[40], [52]</w:t>
            </w:r>
            <w:r w:rsidRPr="009C685E">
              <w:fldChar w:fldCharType="end"/>
            </w:r>
          </w:p>
        </w:tc>
      </w:tr>
      <w:tr w:rsidR="00BF51FE" w:rsidRPr="009C685E" w14:paraId="146DAE18" w14:textId="77777777" w:rsidTr="00DE380F">
        <w:tc>
          <w:tcPr>
            <w:tcW w:w="1507" w:type="dxa"/>
          </w:tcPr>
          <w:p w14:paraId="57D228EC" w14:textId="77777777" w:rsidR="00BF51FE" w:rsidRPr="009C685E" w:rsidRDefault="00BF51FE" w:rsidP="00DE380F">
            <w:pPr>
              <w:spacing w:line="360" w:lineRule="auto"/>
              <w:jc w:val="both"/>
            </w:pPr>
            <w:r w:rsidRPr="009C685E">
              <w:t>SYCP1</w:t>
            </w:r>
          </w:p>
        </w:tc>
        <w:tc>
          <w:tcPr>
            <w:tcW w:w="2085" w:type="dxa"/>
          </w:tcPr>
          <w:p w14:paraId="3478C113" w14:textId="77777777" w:rsidR="00BF51FE" w:rsidRPr="009C685E" w:rsidRDefault="00BF51FE" w:rsidP="00DE380F">
            <w:pPr>
              <w:spacing w:line="360" w:lineRule="auto"/>
              <w:jc w:val="both"/>
            </w:pPr>
            <w:r w:rsidRPr="009C685E">
              <w:t xml:space="preserve">Provides the structural basis for </w:t>
            </w:r>
            <w:proofErr w:type="spellStart"/>
            <w:r w:rsidRPr="009C685E">
              <w:t>meitic</w:t>
            </w:r>
            <w:proofErr w:type="spellEnd"/>
            <w:r w:rsidRPr="009C685E">
              <w:t xml:space="preserve"> chromosome synapsis</w:t>
            </w:r>
          </w:p>
        </w:tc>
        <w:tc>
          <w:tcPr>
            <w:tcW w:w="1678" w:type="dxa"/>
          </w:tcPr>
          <w:p w14:paraId="1793B97E" w14:textId="77777777" w:rsidR="00BF51FE" w:rsidRPr="009C685E" w:rsidRDefault="00BF51FE" w:rsidP="00DE380F">
            <w:pPr>
              <w:spacing w:line="360" w:lineRule="auto"/>
              <w:jc w:val="both"/>
            </w:pPr>
          </w:p>
        </w:tc>
        <w:tc>
          <w:tcPr>
            <w:tcW w:w="1404" w:type="dxa"/>
          </w:tcPr>
          <w:p w14:paraId="193FC41C" w14:textId="77777777" w:rsidR="00BF51FE" w:rsidRPr="009C685E" w:rsidRDefault="00BF51FE" w:rsidP="00DE380F">
            <w:pPr>
              <w:spacing w:line="360" w:lineRule="auto"/>
              <w:jc w:val="both"/>
            </w:pPr>
            <w:r w:rsidRPr="009C685E">
              <w:t>Mass spectrometry</w:t>
            </w:r>
          </w:p>
        </w:tc>
        <w:tc>
          <w:tcPr>
            <w:tcW w:w="1622" w:type="dxa"/>
          </w:tcPr>
          <w:p w14:paraId="3E531587"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644D5B40" w14:textId="77777777" w:rsidTr="00DE380F">
        <w:tc>
          <w:tcPr>
            <w:tcW w:w="1507" w:type="dxa"/>
          </w:tcPr>
          <w:p w14:paraId="4EBC7E39" w14:textId="77777777" w:rsidR="00BF51FE" w:rsidRPr="009C685E" w:rsidRDefault="00BF51FE" w:rsidP="00DE380F">
            <w:pPr>
              <w:spacing w:line="360" w:lineRule="auto"/>
              <w:jc w:val="both"/>
            </w:pPr>
            <w:r w:rsidRPr="009C685E">
              <w:t>SYCP2</w:t>
            </w:r>
          </w:p>
        </w:tc>
        <w:tc>
          <w:tcPr>
            <w:tcW w:w="2085" w:type="dxa"/>
          </w:tcPr>
          <w:p w14:paraId="304330B1" w14:textId="77777777" w:rsidR="00BF51FE" w:rsidRPr="009C685E" w:rsidRDefault="00BF51FE" w:rsidP="00DE380F">
            <w:pPr>
              <w:spacing w:line="360" w:lineRule="auto"/>
              <w:jc w:val="both"/>
            </w:pPr>
            <w:r w:rsidRPr="009C685E">
              <w:t>Required for synaptonemal complex assembly and synapsis</w:t>
            </w:r>
          </w:p>
        </w:tc>
        <w:tc>
          <w:tcPr>
            <w:tcW w:w="1678" w:type="dxa"/>
          </w:tcPr>
          <w:p w14:paraId="1CAFC3EE" w14:textId="77777777" w:rsidR="00BF51FE" w:rsidRPr="009C685E" w:rsidRDefault="00BF51FE" w:rsidP="00DE380F">
            <w:pPr>
              <w:spacing w:line="360" w:lineRule="auto"/>
              <w:jc w:val="both"/>
            </w:pPr>
          </w:p>
        </w:tc>
        <w:tc>
          <w:tcPr>
            <w:tcW w:w="1404" w:type="dxa"/>
          </w:tcPr>
          <w:p w14:paraId="1DFC3BD5" w14:textId="77777777" w:rsidR="00BF51FE" w:rsidRPr="009C685E" w:rsidRDefault="00BF51FE" w:rsidP="00DE380F">
            <w:pPr>
              <w:spacing w:line="360" w:lineRule="auto"/>
              <w:jc w:val="both"/>
            </w:pPr>
            <w:r w:rsidRPr="009C685E">
              <w:t>Mass spectrometry</w:t>
            </w:r>
          </w:p>
        </w:tc>
        <w:tc>
          <w:tcPr>
            <w:tcW w:w="1622" w:type="dxa"/>
          </w:tcPr>
          <w:p w14:paraId="709020F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178B67AC" w14:textId="77777777" w:rsidTr="00DE380F">
        <w:tc>
          <w:tcPr>
            <w:tcW w:w="1507" w:type="dxa"/>
          </w:tcPr>
          <w:p w14:paraId="06B29705" w14:textId="77777777" w:rsidR="00BF51FE" w:rsidRPr="009C685E" w:rsidRDefault="00BF51FE" w:rsidP="00DE380F">
            <w:pPr>
              <w:spacing w:line="360" w:lineRule="auto"/>
              <w:jc w:val="both"/>
            </w:pPr>
            <w:r w:rsidRPr="009C685E">
              <w:t>TOPBP1</w:t>
            </w:r>
          </w:p>
        </w:tc>
        <w:tc>
          <w:tcPr>
            <w:tcW w:w="2085" w:type="dxa"/>
          </w:tcPr>
          <w:p w14:paraId="0C585C75" w14:textId="77777777" w:rsidR="00BF51FE" w:rsidRPr="009C685E" w:rsidRDefault="00BF51FE" w:rsidP="00DE380F">
            <w:pPr>
              <w:spacing w:line="360" w:lineRule="auto"/>
              <w:jc w:val="both"/>
            </w:pPr>
            <w:r w:rsidRPr="009C685E">
              <w:t>Involved in activating ATR and establishing MSCI</w:t>
            </w:r>
          </w:p>
        </w:tc>
        <w:tc>
          <w:tcPr>
            <w:tcW w:w="1678" w:type="dxa"/>
          </w:tcPr>
          <w:p w14:paraId="34DFAC7A" w14:textId="77777777" w:rsidR="00BF51FE" w:rsidRPr="009C685E" w:rsidRDefault="00BF51FE" w:rsidP="00DE380F">
            <w:pPr>
              <w:spacing w:line="360" w:lineRule="auto"/>
              <w:jc w:val="both"/>
            </w:pPr>
          </w:p>
        </w:tc>
        <w:tc>
          <w:tcPr>
            <w:tcW w:w="1404" w:type="dxa"/>
          </w:tcPr>
          <w:p w14:paraId="03E8921A" w14:textId="77777777" w:rsidR="00BF51FE" w:rsidRPr="009C685E" w:rsidRDefault="00BF51FE" w:rsidP="00DE380F">
            <w:pPr>
              <w:spacing w:line="360" w:lineRule="auto"/>
              <w:jc w:val="both"/>
            </w:pPr>
            <w:r w:rsidRPr="009C685E">
              <w:t>Mass spectrometry</w:t>
            </w:r>
          </w:p>
        </w:tc>
        <w:tc>
          <w:tcPr>
            <w:tcW w:w="1622" w:type="dxa"/>
          </w:tcPr>
          <w:p w14:paraId="0C399164"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{"citationItems":[{"id":"ITEM-1","itemData":{"DOI":"10.1002/1878-0261.12406","ISSN":"18780261","PMID":"30444036","abstract":"O-GlcNAcylation is a key post-translational modification that modifies the functions of proteins. Associations between O-GlcNAcylation, shorter survival of cholangiocarcinoma (CCA) patients, and increased migration/invasion of CCA cell lines have been reported. However, the specific O-GlcNAcylated proteins (OGPs) that participate in promotion of CCA progression are poorly understood. OGPs were isolated from human CCA cell lines, KKU-213 and KKU-214, using a click chemistry-based enzymatic labeling system, identified using LC-MS/MS, and searched against an OGP database. From the proteomic analysis, a total of 21 OGPs related to cancer progression were identified, of which 12 have not been previously reported. Among these, hnRNP-K, a multifaceted RNA- and DNA-binding protein known as a pre-mRNA-binding protein, was one of the most abundantly expressed, suggesting its involvement in CCA progression. O-GlcNAcylation of hnRNP-K was further verified by anti-OGP/anti-hnRNP-K immunoprecipitations and sWGA pull-down assays. The perpetuation of CCA by hnRNP-K was evaluated using siRNA, which revealed modulation of cyclin D1, XIAP, EMT markers, and MMP2 and MMP7 expression. In native CCA cells, hnRNP-K was primarily localized in the nucleus; however, when O-GlcNAcylation was suppressed, hnRNP-K was retained in the cytoplasm. These data signify an association between nuclear accumulation of hnRNP-K and the migratory capabilities of CCA cells. In human CCA tissues, expression of nuclear hnRNP-K was positively correlated with high O-GlcNAcylation levels, metastatic stage, and shorter survival of CCA patients. This study demonstrates the significance of O-GlcNAcylation on the nuclear translocation of hnRNP-K and its impact on the progression of CCA.","author":[{"dropping-particle":"","family":"Phoomak","given":"Chatchai","non-dropping-particle":"","parse-names":false,"suffix":""},{"dropping-particle":"","family":"Park","given":"Dayoung","non-dropping-particle":"","parse-names":false,"suffix":""},{"dropping-particle":"","family":"Silsirivanit","given":"Atit","non-dropping-particle":"","parse-names":false,"suffix":""},{"dropping-particle":"","family":"Sawanyawisuth","given":"Kanlayanee","non-dropping-particle":"","parse-names":false,"suffix":""},{"dropping-particle":"","family":"Vaeteewoottacharn","given":"Kulthida","non-dropping-particle":"","parse-names":false,"suffix":""},{"dropping-particle":"","family":"Detarya","given":"Marutpong","non-dropping-particle":"","parse-names":false,"suffix":""},{"dropping-particle":"","family":"Wongkham","given":"Chaisiri","non-dropping-particle":"","parse-names":false,"suffix":""},{"dropping-particle":"","family":"Lebrilla","given":"Carlito B.","non-dropping-particle":"","parse-names":false,"suffix":""},{"dropping-particle":"","family":"Wongkham","given":"Sopit","non-dropping-particle":"","parse-names":false,"suffix":""}],"container-title":"Molecular Oncology","id":"ITEM-1","issue":"2","issued":{"date-parts":[["2019","2","1"]]},"page":"338-357","publisher":"John Wiley and Sons Ltd","title":"O-GlcNAc-induced nuclear translocation of hnRNP-K is associated with progression and metastasis of cholangiocarcinoma","type":"article-journal","volume":"13"},"uris":["http://www.mendeley.com/documents/?uuid=b04af245-184a-38c6-bab4-5739dfc7d9bd"]}],"mendeley":{"formattedCitation":"[53]","plainTextFormattedCitation":"[53]","previouslyFormattedCitation":"[53]"},"properties":{"noteIndex":0},"schema":"https://github.com/citation-style-language/schema/raw/master/csl-citation.json"}</w:instrText>
            </w:r>
            <w:r w:rsidRPr="009C685E">
              <w:fldChar w:fldCharType="separate"/>
            </w:r>
            <w:r w:rsidRPr="009C685E">
              <w:t>[53]</w:t>
            </w:r>
            <w:r w:rsidRPr="009C685E">
              <w:fldChar w:fldCharType="end"/>
            </w:r>
          </w:p>
        </w:tc>
      </w:tr>
      <w:tr w:rsidR="00BF51FE" w:rsidRPr="009C685E" w14:paraId="37E3B8A7" w14:textId="77777777" w:rsidTr="00DE380F">
        <w:tc>
          <w:tcPr>
            <w:tcW w:w="1507" w:type="dxa"/>
          </w:tcPr>
          <w:p w14:paraId="5A14E9C1" w14:textId="77777777" w:rsidR="00BF51FE" w:rsidRPr="009C685E" w:rsidRDefault="00BF51FE" w:rsidP="00DE380F">
            <w:pPr>
              <w:spacing w:line="360" w:lineRule="auto"/>
              <w:jc w:val="both"/>
            </w:pPr>
            <w:r w:rsidRPr="009C685E">
              <w:t>TRIP13</w:t>
            </w:r>
          </w:p>
        </w:tc>
        <w:tc>
          <w:tcPr>
            <w:tcW w:w="2085" w:type="dxa"/>
          </w:tcPr>
          <w:p w14:paraId="6F587AC2" w14:textId="77777777" w:rsidR="00BF51FE" w:rsidRPr="009C685E" w:rsidRDefault="00BF51FE" w:rsidP="00DE380F">
            <w:pPr>
              <w:spacing w:line="360" w:lineRule="auto"/>
              <w:jc w:val="both"/>
            </w:pPr>
            <w:r w:rsidRPr="009C685E">
              <w:t>Required to remove HORMAD1/2 from the synapsed chromosome axis</w:t>
            </w:r>
          </w:p>
        </w:tc>
        <w:tc>
          <w:tcPr>
            <w:tcW w:w="1678" w:type="dxa"/>
          </w:tcPr>
          <w:p w14:paraId="306A6907" w14:textId="77777777" w:rsidR="00BF51FE" w:rsidRPr="009C685E" w:rsidRDefault="00BF51FE" w:rsidP="00DE380F">
            <w:pPr>
              <w:spacing w:line="360" w:lineRule="auto"/>
              <w:jc w:val="both"/>
            </w:pPr>
          </w:p>
        </w:tc>
        <w:tc>
          <w:tcPr>
            <w:tcW w:w="1404" w:type="dxa"/>
          </w:tcPr>
          <w:p w14:paraId="7D4BF174" w14:textId="77777777" w:rsidR="00BF51FE" w:rsidRPr="009C685E" w:rsidRDefault="00BF51FE" w:rsidP="00DE380F">
            <w:pPr>
              <w:spacing w:line="360" w:lineRule="auto"/>
              <w:jc w:val="both"/>
            </w:pPr>
            <w:r w:rsidRPr="009C685E">
              <w:t>Mass spectrometry</w:t>
            </w:r>
          </w:p>
        </w:tc>
        <w:tc>
          <w:tcPr>
            <w:tcW w:w="1622" w:type="dxa"/>
          </w:tcPr>
          <w:p w14:paraId="657AED0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{"citationItems":[{"id":"ITEM-1","itemData":{"DOI":"10.1021/acs.analchem.6b04960","ISSN":"15206882","PMID":"28510447","abstract":"O-linked β-N-acetylglucosamine (O-GlcNAc) is a ubiquitous post-translational modification of proteins in eukaryotic cells. Despite their low abundance, O-GlcNAc-modified proteins play many important roles in regulating gene expression, signal transduction, and cell cycle. Aberrant O-GlcNAc proteins are correlated with many major human diseases, such as Alzheimer's disease, diabetes, and cancer. Because of the extremely low stoichiometry of O-GlcNAc proteins, enrichment is required before mass spectrometry analysis for large-scale identification and in-depth understanding of their cellular function. In this work, we designed and synthesized a novel thermosensitive immobilized triarylphosphine reagent as a convenient tool for efficient enrichment of azide-labeled O-GlcNAc proteins from complex biological samples. Immobilization of triarylphosphine on highly water-soluble thermosensitive polymer largely increases its solubility and reactivity in aqueous solution. As a result, facilitated coupling is achieved between triarylphosphine and azide-labeled O-GlcNAc proteins via Staudinger ligation, due to the increased triarylphosphine concentration, reduced interfacial mass transfer resistance, and steric hindrance in homogeneous reaction. Furthermore, solubility of the polymer from complete dissolution to full precipitation can be easily controlled by simply adjusting the environmental temperature. Therefore, facile sample recovery can be achieved by increasing the temperature to precipitate the polymer-O-GlcNAc protein conjugates from solution. This novel immobilized triarylphosphine reagent enables efficient enrichment and sensitive detection of more than 1700 potential O-GlcNAc proteins from HeLa cell using mass spectrometry, demonstrating its potential as a general strategy for low-abundance target enrichment.","author":[{"dropping-particle":"","family":"Zhang","given":"Wanjun","non-dropping-particle":"","parse-names":false,"suffix":""},{"dropping-particle":"","family":"Liu","given":"Tong","non-dropping-particle":"","parse-names":false,"suffix":""},{"dropping-particle":"","family":"Dong","given":"Hangyan","non-dropping-particle":"","parse-names":false,"suffix":""},{"dropping-particle":"","family":"Bai","given":"Haihong","non-dropping-particle":"","parse-names":false,"suffix":""},{"dropping-particle":"","family":"Tian","given":"Fang","non-dropping-particle":"","parse-names":false,"suffix":""},{"dropping-particle":"","family":"Shi","given":"Zhaomei","non-dropping-particle":"","parse-names":false,"suffix":""},{"dropping-particle":"","family":"Chen","given":"Mingli","non-dropping-particle":"","parse-names":false,"suffix":""},{"dropping-particle":"","family":"Wang","given":"Jianhua","non-dropping-particle":"","parse-names":false,"suffix":""},{"dropping-particle":"","family":"Qin","given":"Weijie","non-dropping-particle":"","parse-names":false,"suffix":""},{"dropping-particle":"","family":"Qian","given":"Xiaohong","non-dropping-particle":"","parse-names":false,"suffix":""}],"container-title":"Analytical Chemistry","id":"ITEM-1","issue":"11","issued":{"date-parts":[["2017","6","6"]]},"page":"5810-5817","publisher":"American Chemical Society","title":"Synthesis of a Highly Azide-Reactive and Thermosensitive Biofunctional Reagent for Efficient Enrichment and Large-Scale Identification of O-GlcNAc Proteins by Mass Spectrometry","type":"article-journal","volume":"89"},"uris":["http://www.mendeley.com/documents/?uuid=10053858-e2dd-338a-be50-b10f74666164"]}],"mendeley":{"formattedCitation":"[49]","plainTextFormattedCitation":"[49]","previouslyFormattedCitation":"[49]"},"properties":{"noteIndex":0},"schema":"https://github.com/citation-style-language/schema/raw/master/csl-citation.json"}</w:instrText>
            </w:r>
            <w:r w:rsidRPr="009C685E">
              <w:fldChar w:fldCharType="separate"/>
            </w:r>
            <w:r w:rsidRPr="009C685E">
              <w:t>[49]</w:t>
            </w:r>
            <w:r w:rsidRPr="009C685E">
              <w:fldChar w:fldCharType="end"/>
            </w:r>
          </w:p>
        </w:tc>
      </w:tr>
      <w:tr w:rsidR="00BF51FE" w:rsidRPr="009C685E" w14:paraId="49FEE6E1" w14:textId="77777777" w:rsidTr="00DE380F">
        <w:tc>
          <w:tcPr>
            <w:tcW w:w="1507" w:type="dxa"/>
          </w:tcPr>
          <w:p w14:paraId="362F9E5C" w14:textId="77777777" w:rsidR="00BF51FE" w:rsidRPr="009C685E" w:rsidRDefault="00BF51FE" w:rsidP="00DE380F">
            <w:pPr>
              <w:spacing w:line="360" w:lineRule="auto"/>
              <w:jc w:val="both"/>
            </w:pPr>
            <w:r w:rsidRPr="009C685E">
              <w:t>ANKRD31</w:t>
            </w:r>
          </w:p>
        </w:tc>
        <w:tc>
          <w:tcPr>
            <w:tcW w:w="2085" w:type="dxa"/>
          </w:tcPr>
          <w:p w14:paraId="5BDAF208" w14:textId="77777777" w:rsidR="00BF51FE" w:rsidRPr="009C685E" w:rsidRDefault="00BF51FE" w:rsidP="00DE380F">
            <w:pPr>
              <w:spacing w:line="360" w:lineRule="auto"/>
              <w:jc w:val="both"/>
            </w:pPr>
            <w:r w:rsidRPr="009C685E">
              <w:t xml:space="preserve">Prevents recombination initiation at promoters and ensures </w:t>
            </w:r>
            <w:r w:rsidRPr="009C685E">
              <w:lastRenderedPageBreak/>
              <w:t>recombination in the PAR</w:t>
            </w:r>
          </w:p>
        </w:tc>
        <w:tc>
          <w:tcPr>
            <w:tcW w:w="1678" w:type="dxa"/>
          </w:tcPr>
          <w:p w14:paraId="79840919" w14:textId="77777777" w:rsidR="00BF51FE" w:rsidRPr="009C685E" w:rsidRDefault="00BF51FE" w:rsidP="00DE380F">
            <w:pPr>
              <w:spacing w:line="360" w:lineRule="auto"/>
              <w:jc w:val="both"/>
            </w:pPr>
          </w:p>
        </w:tc>
        <w:tc>
          <w:tcPr>
            <w:tcW w:w="1404" w:type="dxa"/>
          </w:tcPr>
          <w:p w14:paraId="595E0F5F" w14:textId="77777777" w:rsidR="00BF51FE" w:rsidRPr="009C685E" w:rsidRDefault="00BF51FE" w:rsidP="00DE380F">
            <w:pPr>
              <w:spacing w:line="360" w:lineRule="auto"/>
              <w:jc w:val="both"/>
            </w:pPr>
            <w:r w:rsidRPr="009C685E">
              <w:t>Mass spectrometry</w:t>
            </w:r>
          </w:p>
        </w:tc>
        <w:tc>
          <w:tcPr>
            <w:tcW w:w="1622" w:type="dxa"/>
          </w:tcPr>
          <w:p w14:paraId="0880A321"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2AF45514" w14:textId="77777777" w:rsidTr="00DE380F">
        <w:tc>
          <w:tcPr>
            <w:tcW w:w="1507" w:type="dxa"/>
          </w:tcPr>
          <w:p w14:paraId="52EC20ED" w14:textId="77777777" w:rsidR="00BF51FE" w:rsidRPr="009C685E" w:rsidRDefault="00BF51FE" w:rsidP="00DE380F">
            <w:pPr>
              <w:spacing w:line="360" w:lineRule="auto"/>
              <w:jc w:val="both"/>
            </w:pPr>
            <w:r w:rsidRPr="009C685E">
              <w:t>ATM</w:t>
            </w:r>
          </w:p>
        </w:tc>
        <w:tc>
          <w:tcPr>
            <w:tcW w:w="2085" w:type="dxa"/>
          </w:tcPr>
          <w:p w14:paraId="47B8001C" w14:textId="77777777" w:rsidR="00BF51FE" w:rsidRPr="009C685E" w:rsidRDefault="00BF51FE" w:rsidP="00DE380F">
            <w:pPr>
              <w:spacing w:line="360" w:lineRule="auto"/>
              <w:jc w:val="both"/>
            </w:pPr>
            <w:r w:rsidRPr="009C685E">
              <w:t>Required for first wave of H2AX phosphorylation. DNA damage sensing.</w:t>
            </w:r>
          </w:p>
        </w:tc>
        <w:tc>
          <w:tcPr>
            <w:tcW w:w="1678" w:type="dxa"/>
          </w:tcPr>
          <w:p w14:paraId="78E90E1B" w14:textId="77777777" w:rsidR="00BF51FE" w:rsidRPr="009C685E" w:rsidRDefault="00BF51FE" w:rsidP="00DE380F">
            <w:pPr>
              <w:spacing w:line="360" w:lineRule="auto"/>
              <w:jc w:val="both"/>
            </w:pPr>
            <w:r w:rsidRPr="009C685E">
              <w:t>S601, S941, S1731, T2608</w:t>
            </w:r>
          </w:p>
        </w:tc>
        <w:tc>
          <w:tcPr>
            <w:tcW w:w="1404" w:type="dxa"/>
          </w:tcPr>
          <w:p w14:paraId="1FCF1D25" w14:textId="77777777" w:rsidR="00BF51FE" w:rsidRPr="009C685E" w:rsidRDefault="00BF51FE" w:rsidP="00DE380F">
            <w:pPr>
              <w:spacing w:line="360" w:lineRule="auto"/>
              <w:jc w:val="both"/>
            </w:pPr>
            <w:r w:rsidRPr="009C685E">
              <w:t>Mass spectrometry</w:t>
            </w:r>
          </w:p>
        </w:tc>
        <w:tc>
          <w:tcPr>
            <w:tcW w:w="1622" w:type="dxa"/>
          </w:tcPr>
          <w:p w14:paraId="679DC751"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{"citationItems":[{"id":"ITEM-1","itemData":{"DOI":"10.1021/acschembio.1c00185","ISSN":"15548937","PMID":"34105348","abstract":"O-GlcNAcylation is an O-linked β-N-acetyl-glucosamine (O-GlcNAc)-monosaccharide modification of serine or threonine in proteins that plays a vital role in many critical cellular processes. Owing to its low molecular weight, uncharged property, and difficulty in distinguishing from β-N-acetyl-galactosamine (GalNAc), the lack of high specificity and avidity tools and sophisticated quantification methods have always been the bottleneck in analyzing O-GlcNAc functions. Here, we compared glycan array data of the mutant of Clostridium perfringen OGA (CpOGAD298N), O-GlcNAc antibody CTD110.6, and several lectins. We found that CpOGAD298N can effectively distinguish GlcNAc from GalNAc. Glycan array analysis and isothermal titration calorimetry (ITC) show that CpOGAD298N has a GlcNAc specific binding characteristic. CpOGAD298N could be used in far-western, flow cytometry analysis, and confocal imaging to demonstrate the existence of O-GlcNAc proteins. Using the CpOGAD298N affinity column, we identified 84 highly confident O-GlcNAc modified peptides from 82 proteins in the MCF-7 cell line and 33 highly confident peptides in 33 proteins from mouse liver tissue; most of them are novel O-GlcNAc proteins and could not bind with wheat germ agglutinin (WGA). Besides being used as a facile enrichment tool, a combination of CpOGAD298N with the proximity ligation assay (PLA) is successfully used to quantify O-GlcNAc modified histone H2B, which is as low as femtomoles in MCF-7 cell lysate. These results suggest that CpOGAD298N is a specific tool for detection (far-western, flow cytometry analysis, and confocal imaging) and enrichment of O-GlcNAcylated proteins and peptides, and the CpOGAD298N-PLA method is useful for quantifying certain O-GlcNAc protein.","author":[{"dropping-particle":"","family":"Song","given":"Jiaqi","non-dropping-particle":"","parse-names":false,"suffix":""},{"dropping-particle":"","family":"Liu","given":"Chenglong","non-dropping-particle":"","parse-names":false,"suffix":""},{"dropping-particle":"","family":"Wang","given":"Xueqing","non-dropping-particle":"","parse-names":false,"suffix":""},{"dropping-particle":"","family":"Xu","given":"Bo","non-dropping-particle":"","parse-names":false,"suffix":""},{"dropping-particle":"","family":"Liu","given":"Xiaomei","non-dropping-particle":"","parse-names":false,"suffix":""},{"dropping-particle":"","family":"Li","given":"Yang","non-dropping-particle":"","parse-names":false,"suffix":""},{"dropping-particle":"","family":"Xia","given":"Jing","non-dropping-particle":"","parse-names":false,"suffix":""},{"dropping-particle":"","family":"Li","given":"Yan","non-dropping-particle":"","parse-names":false,"suffix":""},{"dropping-particle":"","family":"Zhang","given":"Can","non-dropping-particle":"","parse-names":false,"suffix":""},{"dropping-particle":"","family":"Li","given":"Danni","non-dropping-particle":"","parse-names":false,"suffix":""},{"dropping-particle":"","family":"Sun","given":"Hui","non-dropping-particle":"","parse-names":false,"suffix":""}],"container-title":"ACS Chemical Biology","id":"ITEM-1","issue":"6","issued":{"date-parts":[["2021","6","18"]]},"page":"1040-1049","publisher":"American Chemical Society","title":"O-GlcNAcylation Quantification of Certain Protein by the Proximity Ligation Assay and Clostridium perfringen OGAD298N(CpOGAD298N)","type":"article-journal","volume":"16"},"uris":["http://www.mendeley.com/documents/?uuid=f20825ef-b996-31a0-b4ac-aeb4fbaa005d"]}],"mendeley":{"formattedCitation":"[54]","plainTextFormattedCitation":"[54]","previouslyFormattedCitation":"[54]"},"properties":{"noteIndex":0},"schema":"https://github.com/citation-style-language/schema/raw/master/csl-citation.json"}</w:instrText>
            </w:r>
            <w:r w:rsidRPr="009C685E">
              <w:fldChar w:fldCharType="separate"/>
            </w:r>
            <w:r w:rsidRPr="009C685E">
              <w:t>[54]</w:t>
            </w:r>
            <w:r w:rsidRPr="009C685E">
              <w:fldChar w:fldCharType="end"/>
            </w:r>
          </w:p>
        </w:tc>
      </w:tr>
      <w:tr w:rsidR="00BF51FE" w:rsidRPr="009C685E" w14:paraId="4A9B711D" w14:textId="77777777" w:rsidTr="00DE380F">
        <w:tc>
          <w:tcPr>
            <w:tcW w:w="1507" w:type="dxa"/>
          </w:tcPr>
          <w:p w14:paraId="7A70B442" w14:textId="77777777" w:rsidR="00BF51FE" w:rsidRPr="009C685E" w:rsidRDefault="00BF51FE" w:rsidP="00DE380F">
            <w:pPr>
              <w:spacing w:line="360" w:lineRule="auto"/>
              <w:jc w:val="both"/>
            </w:pPr>
            <w:r w:rsidRPr="009C685E">
              <w:t>CDYL</w:t>
            </w:r>
          </w:p>
        </w:tc>
        <w:tc>
          <w:tcPr>
            <w:tcW w:w="2085" w:type="dxa"/>
          </w:tcPr>
          <w:p w14:paraId="50C03991" w14:textId="77777777" w:rsidR="00BF51FE" w:rsidRPr="009C685E" w:rsidRDefault="00BF51FE" w:rsidP="00DE380F">
            <w:pPr>
              <w:spacing w:line="360" w:lineRule="auto"/>
              <w:jc w:val="both"/>
            </w:pPr>
            <w:r w:rsidRPr="009C685E">
              <w:t>Interacts with PDM9</w:t>
            </w:r>
          </w:p>
        </w:tc>
        <w:tc>
          <w:tcPr>
            <w:tcW w:w="1678" w:type="dxa"/>
          </w:tcPr>
          <w:p w14:paraId="796D5799" w14:textId="77777777" w:rsidR="00BF51FE" w:rsidRPr="009C685E" w:rsidRDefault="00BF51FE" w:rsidP="00DE380F">
            <w:pPr>
              <w:spacing w:line="360" w:lineRule="auto"/>
              <w:jc w:val="both"/>
            </w:pPr>
          </w:p>
        </w:tc>
        <w:tc>
          <w:tcPr>
            <w:tcW w:w="1404" w:type="dxa"/>
          </w:tcPr>
          <w:p w14:paraId="72C6864F" w14:textId="77777777" w:rsidR="00BF51FE" w:rsidRPr="009C685E" w:rsidRDefault="00BF51FE" w:rsidP="00DE380F">
            <w:pPr>
              <w:spacing w:line="360" w:lineRule="auto"/>
              <w:jc w:val="both"/>
            </w:pPr>
            <w:r w:rsidRPr="009C685E">
              <w:t>Mass spectrometry</w:t>
            </w:r>
          </w:p>
        </w:tc>
        <w:tc>
          <w:tcPr>
            <w:tcW w:w="1622" w:type="dxa"/>
          </w:tcPr>
          <w:p w14:paraId="451B7D1C"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mendeley":{"formattedCitation":"[46]","plainTextFormattedCitation":"[46]","previouslyFormattedCitation":"[46]"},"properties":{"noteIndex":0},"schema":"https://github.com/citation-style-language/schema/raw/master/csl-citation.json"}</w:instrText>
            </w:r>
            <w:r w:rsidRPr="009C685E">
              <w:fldChar w:fldCharType="separate"/>
            </w:r>
            <w:r w:rsidRPr="009C685E">
              <w:t>[46]</w:t>
            </w:r>
            <w:r w:rsidRPr="009C685E">
              <w:fldChar w:fldCharType="end"/>
            </w:r>
          </w:p>
        </w:tc>
      </w:tr>
      <w:tr w:rsidR="00BF51FE" w:rsidRPr="009C685E" w14:paraId="726BDD81" w14:textId="77777777" w:rsidTr="00DE380F">
        <w:tc>
          <w:tcPr>
            <w:tcW w:w="1507" w:type="dxa"/>
          </w:tcPr>
          <w:p w14:paraId="484F4C7D" w14:textId="77777777" w:rsidR="00BF51FE" w:rsidRPr="009C685E" w:rsidRDefault="00BF51FE" w:rsidP="00DE380F">
            <w:pPr>
              <w:spacing w:line="360" w:lineRule="auto"/>
              <w:jc w:val="both"/>
            </w:pPr>
            <w:r w:rsidRPr="009C685E">
              <w:t>CXXC1</w:t>
            </w:r>
          </w:p>
        </w:tc>
        <w:tc>
          <w:tcPr>
            <w:tcW w:w="2085" w:type="dxa"/>
          </w:tcPr>
          <w:p w14:paraId="253620EB" w14:textId="77777777" w:rsidR="00BF51FE" w:rsidRPr="009C685E" w:rsidRDefault="00BF51FE" w:rsidP="00DE380F">
            <w:pPr>
              <w:spacing w:line="360" w:lineRule="auto"/>
              <w:jc w:val="both"/>
            </w:pPr>
            <w:r w:rsidRPr="009C685E">
              <w:t>Participates in linking H3K4me3 sites to DSB machinery on the chromosome axis</w:t>
            </w:r>
          </w:p>
        </w:tc>
        <w:tc>
          <w:tcPr>
            <w:tcW w:w="1678" w:type="dxa"/>
          </w:tcPr>
          <w:p w14:paraId="2899921E" w14:textId="77777777" w:rsidR="00BF51FE" w:rsidRPr="009C685E" w:rsidRDefault="00BF51FE" w:rsidP="00DE380F">
            <w:pPr>
              <w:spacing w:line="360" w:lineRule="auto"/>
              <w:jc w:val="both"/>
            </w:pPr>
          </w:p>
        </w:tc>
        <w:tc>
          <w:tcPr>
            <w:tcW w:w="1404" w:type="dxa"/>
          </w:tcPr>
          <w:p w14:paraId="26874BF6" w14:textId="77777777" w:rsidR="00BF51FE" w:rsidRPr="009C685E" w:rsidRDefault="00BF51FE" w:rsidP="00DE380F">
            <w:pPr>
              <w:spacing w:line="360" w:lineRule="auto"/>
              <w:jc w:val="both"/>
            </w:pPr>
            <w:r w:rsidRPr="009C685E">
              <w:t>Mass spectrometry</w:t>
            </w:r>
          </w:p>
        </w:tc>
        <w:tc>
          <w:tcPr>
            <w:tcW w:w="1622" w:type="dxa"/>
          </w:tcPr>
          <w:p w14:paraId="2F79E5A6"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{"citationItems":[{"id":"ITEM-1","itemData":{"DOI":"10.1038/s41589-021-00913-4","ISSN":"15524469","PMID":"34887587","abstract":"In eukaryotic cells, many messenger RNAs (mRNAs) possess upstream open reading frames (uORFs) in addition to the main coding region. After uORF translation, the ribosome could either recycle at the stop codon or resume scanning for downstream start codons in a process known as reinitiation. Accumulating evidence suggests that some initiation factors, including eukaryotic initiation factor 3 (eIF3), linger on the early elongating ribosome, forming an eIF3–80S complex. Very little is known about how eIF3 is carried along with the 80S during elongation and whether the eIF3–80S association is subject to regulation. Here, we report that eIF3a undergoes dynamic O-linked N-acetylglucosamine (O-GlcNAc) modification in response to nutrient starvation. Stress-induced de-O-GlcNAcylation promotes eIF3 retention on the elongating ribosome and facilitates activating transcription factor 4 (ATF4) reinitiation. Eliminating the modification site from eIF3a via CRISPR genome editing induces ATF4 reinitiation even under the nutrient-rich condition. Our findings illustrate a mechanism in balancing ribosome recycling and reinitiation, thereby linking the nutrient stress response and translational reprogramming. [Figure not available: see fulltext.]","author":[{"dropping-particle":"","family":"Shu","given":"Xin Erica","non-dropping-particle":"","parse-names":false,"suffix":""},{"dropping-particle":"","family":"Mao","given":"Yuanhui","non-dropping-particle":"","parse-names":false,"suffix":""},{"dropping-particle":"","family":"Jia","given":"Longfei","non-dropping-particle":"","parse-names":false,"suffix":""},{"dropping-particle":"","family":"Qian","given":"Shu Bing","non-dropping-particle":"","parse-names":false,"suffix":""}],"container-title":"Nature Chemical Biology","id":"ITEM-1","issue":"2","issued":{"date-parts":[["2022","2","1"]]},"page":"134-141","publisher":"Nature Research","title":"Dynamic eIF3a O-GlcNAcylation controls translation reinitiation during nutrient stress","type":"article-journal","volume":"18"},"uris":["http://www.mendeley.com/documents/?uuid=b5a3da57-6ef1-3feb-b810-56781a737c9c"]}],"mendeley":{"formattedCitation":"[55]","plainTextFormattedCitation":"[55]","previouslyFormattedCitation":"[55]"},"properties":{"noteIndex":0},"schema":"https://github.com/citation-style-language/schema/raw/master/csl-citation.json"}</w:instrText>
            </w:r>
            <w:r w:rsidRPr="009C685E">
              <w:fldChar w:fldCharType="separate"/>
            </w:r>
            <w:r w:rsidRPr="009C685E">
              <w:t>[55]</w:t>
            </w:r>
            <w:r w:rsidRPr="009C685E">
              <w:fldChar w:fldCharType="end"/>
            </w:r>
          </w:p>
        </w:tc>
      </w:tr>
      <w:tr w:rsidR="00BF51FE" w:rsidRPr="009C685E" w14:paraId="2CE372C0" w14:textId="77777777" w:rsidTr="00DE380F">
        <w:tc>
          <w:tcPr>
            <w:tcW w:w="1507" w:type="dxa"/>
          </w:tcPr>
          <w:p w14:paraId="2F1D93A7" w14:textId="77777777" w:rsidR="00BF51FE" w:rsidRPr="009C685E" w:rsidRDefault="00BF51FE" w:rsidP="00DE380F">
            <w:pPr>
              <w:spacing w:line="360" w:lineRule="auto"/>
              <w:jc w:val="both"/>
            </w:pPr>
            <w:r w:rsidRPr="009C685E">
              <w:t>EHMT2</w:t>
            </w:r>
          </w:p>
        </w:tc>
        <w:tc>
          <w:tcPr>
            <w:tcW w:w="2085" w:type="dxa"/>
          </w:tcPr>
          <w:p w14:paraId="1CB635D4" w14:textId="77777777" w:rsidR="00BF51FE" w:rsidRPr="009C685E" w:rsidRDefault="00BF51FE" w:rsidP="00DE380F">
            <w:pPr>
              <w:spacing w:line="360" w:lineRule="auto"/>
              <w:jc w:val="both"/>
            </w:pPr>
            <w:r w:rsidRPr="009C685E">
              <w:t>Forms complex with PRDM9 and CDYL in preleptotene and leptotene</w:t>
            </w:r>
          </w:p>
        </w:tc>
        <w:tc>
          <w:tcPr>
            <w:tcW w:w="1678" w:type="dxa"/>
          </w:tcPr>
          <w:p w14:paraId="153BB66C" w14:textId="77777777" w:rsidR="00BF51FE" w:rsidRPr="009C685E" w:rsidRDefault="00BF51FE" w:rsidP="00DE380F">
            <w:pPr>
              <w:spacing w:line="360" w:lineRule="auto"/>
              <w:jc w:val="both"/>
            </w:pPr>
          </w:p>
        </w:tc>
        <w:tc>
          <w:tcPr>
            <w:tcW w:w="1404" w:type="dxa"/>
          </w:tcPr>
          <w:p w14:paraId="2ED20DC0" w14:textId="77777777" w:rsidR="00BF51FE" w:rsidRPr="009C685E" w:rsidRDefault="00BF51FE" w:rsidP="00DE380F">
            <w:pPr>
              <w:spacing w:line="360" w:lineRule="auto"/>
              <w:jc w:val="both"/>
            </w:pPr>
            <w:r w:rsidRPr="009C685E">
              <w:t>Mass spectrometry</w:t>
            </w:r>
          </w:p>
        </w:tc>
        <w:tc>
          <w:tcPr>
            <w:tcW w:w="1622" w:type="dxa"/>
          </w:tcPr>
          <w:p w14:paraId="4B664149"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mendeley":{"formattedCitation":"[46]","plainTextFormattedCitation":"[46]","previouslyFormattedCitation":"[46]"},"properties":{"noteIndex":0},"schema":"https://github.com/citation-style-language/schema/raw/master/csl-citation.json"}</w:instrText>
            </w:r>
            <w:r w:rsidRPr="009C685E">
              <w:fldChar w:fldCharType="separate"/>
            </w:r>
            <w:r w:rsidRPr="009C685E">
              <w:t>[46]</w:t>
            </w:r>
            <w:r w:rsidRPr="009C685E">
              <w:fldChar w:fldCharType="end"/>
            </w:r>
          </w:p>
        </w:tc>
      </w:tr>
      <w:tr w:rsidR="00BF51FE" w:rsidRPr="009C685E" w14:paraId="6920F7DB" w14:textId="77777777" w:rsidTr="00DE380F">
        <w:tc>
          <w:tcPr>
            <w:tcW w:w="1507" w:type="dxa"/>
          </w:tcPr>
          <w:p w14:paraId="2CB5F270" w14:textId="77777777" w:rsidR="00BF51FE" w:rsidRPr="009C685E" w:rsidRDefault="00BF51FE" w:rsidP="00DE380F">
            <w:pPr>
              <w:spacing w:line="360" w:lineRule="auto"/>
              <w:jc w:val="both"/>
            </w:pPr>
            <w:r w:rsidRPr="009C685E">
              <w:t>EWSR1</w:t>
            </w:r>
          </w:p>
        </w:tc>
        <w:tc>
          <w:tcPr>
            <w:tcW w:w="2085" w:type="dxa"/>
          </w:tcPr>
          <w:p w14:paraId="5B227F7D" w14:textId="77777777" w:rsidR="00BF51FE" w:rsidRPr="009C685E" w:rsidRDefault="00BF51FE" w:rsidP="00DE380F">
            <w:pPr>
              <w:spacing w:line="360" w:lineRule="auto"/>
              <w:jc w:val="both"/>
            </w:pPr>
            <w:r w:rsidRPr="009C685E">
              <w:t>Required to tether DSB hotspots to DSB machinery on the chromosome axis</w:t>
            </w:r>
          </w:p>
        </w:tc>
        <w:tc>
          <w:tcPr>
            <w:tcW w:w="1678" w:type="dxa"/>
          </w:tcPr>
          <w:p w14:paraId="5581BF37" w14:textId="77777777" w:rsidR="00BF51FE" w:rsidRPr="009C685E" w:rsidRDefault="00BF51FE" w:rsidP="00DE380F">
            <w:pPr>
              <w:spacing w:line="360" w:lineRule="auto"/>
              <w:jc w:val="both"/>
            </w:pPr>
          </w:p>
        </w:tc>
        <w:tc>
          <w:tcPr>
            <w:tcW w:w="1404" w:type="dxa"/>
          </w:tcPr>
          <w:p w14:paraId="6D9194E4" w14:textId="77777777" w:rsidR="00BF51FE" w:rsidRPr="009C685E" w:rsidRDefault="00BF51FE" w:rsidP="00DE380F">
            <w:pPr>
              <w:spacing w:line="360" w:lineRule="auto"/>
              <w:jc w:val="both"/>
            </w:pPr>
            <w:r w:rsidRPr="009C685E">
              <w:t>Mass spectrometry and experimental validation</w:t>
            </w:r>
          </w:p>
        </w:tc>
        <w:tc>
          <w:tcPr>
            <w:tcW w:w="1622" w:type="dxa"/>
          </w:tcPr>
          <w:p w14:paraId="0509EEF6"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{"citationItems":[{"id":"ITEM-1","itemData":{"DOI":"10.1021/acschembio.8b00414","ISSN":"15548937","PMID":"30059200","abstract":"Large-scale quantification of protein O-linked β-N-acetylglucosamine (O-GlcNAc) modification in a site-specific manner remains a key challenge in studying O-GlcNAc biology. Herein, we developed an isotope-tagged cleavable linker (isoTCL) strategy, which enabled isotopic labeling of O-GlcNAc through bioorthogonal conjugation of affinity tags. We demonstrated the application of the isoTCL in mapping and quantification of O-GlcNAcylation sites in HeLa cells. Furthermore, we investigated the O-GlcNAcylation sensitivity to the sugar donor by quantifying the levels of modification under different concentrations of the O-GlcNAc labeling probe in a site-specific manner. In addition, we applied isoTCL to compare the O-GlcNAcylation stoichiometry levels of more than 100 modification sites between placenta samples from male and female mice and confirmed site-specifically that female placenta has a higher O-GlcNAcylation than its male counterpart. The isoTCL platform provides a powerful tool for quantitative profiling of O-GlcNAc modification.","author":[{"dropping-particle":"","family":"Qin","given":"Ke","non-dropping-particle":"","parse-names":false,"suffix":""},{"dropping-particle":"","family":"Zhu","given":"Yuntao","non-dropping-particle":"","parse-names":false,"suffix":""},{"dropping-particle":"","family":"Qin","given":"Wei","non-dropping-particle":"","parse-names":false,"suffix":""},{"dropping-particle":"","family":"Gao","given":"Jinjun","non-dropping-particle":"","parse-names":false,"suffix":""},{"dropping-particle":"","family":"Shao","given":"Xuan","non-dropping-particle":"","parse-names":false,"suffix":""},{"dropping-particle":"","family":"Wang","given":"Yan Ling","non-dropping-particle":"","parse-names":false,"suffix":""},{"dropping-particle":"","family":"Zhou","given":"Wen","non-dropping-particle":"","parse-names":false,"suffix":""},{"dropping-particle":"","family":"Wang","given":"Chu","non-dropping-particle":"","parse-names":false,"suffix":""},{"dropping-particle":"","family":"Chen","given":"Xing","non-dropping-particle":"","parse-names":false,"suffix":""}],"container-title":"ACS Chemical Biology","id":"ITEM-1","issue":"8","issued":{"date-parts":[["2018","8","17"]]},"page":"1983-1989","publisher":"American Chemical Society","title":"Quantitative Profiling of Protein O-GlcNAcylation Sites by an Isotope-Tagged Cleavable Linker","type":"article-journal","volume":"13"},"uris":["http://www.mendeley.com/documents/?uuid=8174a5cf-2630-34bb-926b-d40bd82f24bc"]},{"id":"ITEM-2","itemData":{"DOI":"10.1093/nar/gkw663","ISSN":"13624962","PMID":"27458206","abstract":"O-linked N-acetylglucosamine linkage (O-GlcNAcylation) to serine or threonine residues regulates numerous biological processes; however, its role in DNA damage response remains elusive. Here, we found that O-GlcNAcylation is induced by DNA damage response. O-GlcNAc transferase (OGT), the solo enzyme for O-GlcNAcylation, relocates to the sites of DNA damage and induces the O-GlcNAcylation of histone H2AX and mediator of DNA damage checkpoint 1 (MDC1). The O-GlcNAcylation negatively regulates DNA double-strand break-induced phosphorylation of H2AX and MDC1 by restraining the expansion of these phosphorylation events from the sites of DNA damage. Therefore, our study reveals the molecular mechanism and biological function of OGT-dependent O-GlcNAcylation in response to DNA damage.","author":[{"dropping-particle":"","family":"Chen","given":"Qiang","non-dropping-particle":"","parse-names":false,"suffix":""},{"dropping-particle":"","family":"Yu","given":"Xiaochun","non-dropping-particle":"","parse-names":false,"suffix":""}],"container-title":"Nucleic Acids Research","id":"ITEM-2","issue":"19","issued":{"date-parts":[["2016","11","2"]]},"page":"9266-9278","publisher":"Oxford University Press","title":"OGT restrains the expansion of DNA damage signaling","type":"article-journal","volume":"44"},"uris":["http://www.mendeley.com/documents/?uuid=a08af40b-de60-39cc-9404-3194a5959312"]}],"mendeley":{"formattedCitation":"[56], [57]","plainTextFormattedCitation":"[56], [57]","previouslyFormattedCitation":"[56], [57]"},"properties":{"noteIndex":0},"schema":"https://github.com/citation-style-language/schema/raw/master/csl-citation.json"}</w:instrText>
            </w:r>
            <w:r w:rsidRPr="009C685E">
              <w:fldChar w:fldCharType="separate"/>
            </w:r>
            <w:r w:rsidRPr="009C685E">
              <w:t>[56], [57]</w:t>
            </w:r>
            <w:r w:rsidRPr="009C685E">
              <w:fldChar w:fldCharType="end"/>
            </w:r>
          </w:p>
        </w:tc>
      </w:tr>
      <w:tr w:rsidR="00BF51FE" w:rsidRPr="009C685E" w14:paraId="4B9E1473" w14:textId="77777777" w:rsidTr="00DE380F">
        <w:tc>
          <w:tcPr>
            <w:tcW w:w="1507" w:type="dxa"/>
          </w:tcPr>
          <w:p w14:paraId="30D17802" w14:textId="77777777" w:rsidR="00BF51FE" w:rsidRPr="009C685E" w:rsidRDefault="00BF51FE" w:rsidP="00DE380F">
            <w:pPr>
              <w:spacing w:line="360" w:lineRule="auto"/>
              <w:jc w:val="both"/>
            </w:pPr>
            <w:r w:rsidRPr="009C685E">
              <w:t>HELLS</w:t>
            </w:r>
          </w:p>
        </w:tc>
        <w:tc>
          <w:tcPr>
            <w:tcW w:w="2085" w:type="dxa"/>
          </w:tcPr>
          <w:p w14:paraId="6EF5AA55" w14:textId="77777777" w:rsidR="00BF51FE" w:rsidRPr="009C685E" w:rsidRDefault="00BF51FE" w:rsidP="00DE380F">
            <w:pPr>
              <w:spacing w:line="360" w:lineRule="auto"/>
              <w:jc w:val="both"/>
            </w:pPr>
            <w:r w:rsidRPr="009C685E">
              <w:t>Required for correct placement and repair of DSBs</w:t>
            </w:r>
          </w:p>
        </w:tc>
        <w:tc>
          <w:tcPr>
            <w:tcW w:w="1678" w:type="dxa"/>
          </w:tcPr>
          <w:p w14:paraId="61947544" w14:textId="77777777" w:rsidR="00BF51FE" w:rsidRPr="009C685E" w:rsidRDefault="00BF51FE" w:rsidP="00DE380F">
            <w:pPr>
              <w:spacing w:line="360" w:lineRule="auto"/>
              <w:jc w:val="both"/>
            </w:pPr>
          </w:p>
        </w:tc>
        <w:tc>
          <w:tcPr>
            <w:tcW w:w="1404" w:type="dxa"/>
          </w:tcPr>
          <w:p w14:paraId="17638B3F" w14:textId="77777777" w:rsidR="00BF51FE" w:rsidRPr="009C685E" w:rsidRDefault="00BF51FE" w:rsidP="00DE380F">
            <w:pPr>
              <w:spacing w:line="360" w:lineRule="auto"/>
              <w:jc w:val="both"/>
            </w:pPr>
            <w:r w:rsidRPr="009C685E">
              <w:t>Mass spectrometry</w:t>
            </w:r>
          </w:p>
        </w:tc>
        <w:tc>
          <w:tcPr>
            <w:tcW w:w="1622" w:type="dxa"/>
          </w:tcPr>
          <w:p w14:paraId="60E1A5AF"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-1","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mendeley":{"formattedCitation":"[40]","plainTextFormattedCitation":"[40]","previouslyFormattedCitation":"[40]"},"properties":{"noteIndex":0},"schema":"https://github.com/citation-style-language/schema/raw/master/csl-citation.json"}</w:instrText>
            </w:r>
            <w:r w:rsidRPr="009C685E">
              <w:fldChar w:fldCharType="separate"/>
            </w:r>
            <w:r w:rsidRPr="009C685E">
              <w:t>[40]</w:t>
            </w:r>
            <w:r w:rsidRPr="009C685E">
              <w:fldChar w:fldCharType="end"/>
            </w:r>
          </w:p>
        </w:tc>
      </w:tr>
      <w:tr w:rsidR="00BF51FE" w:rsidRPr="009C685E" w14:paraId="184237A7" w14:textId="77777777" w:rsidTr="00DE380F">
        <w:tc>
          <w:tcPr>
            <w:tcW w:w="1507" w:type="dxa"/>
          </w:tcPr>
          <w:p w14:paraId="0A834C82" w14:textId="77777777" w:rsidR="00BF51FE" w:rsidRPr="009C685E" w:rsidRDefault="00BF51FE" w:rsidP="00DE380F">
            <w:pPr>
              <w:spacing w:line="360" w:lineRule="auto"/>
              <w:jc w:val="both"/>
            </w:pPr>
            <w:r w:rsidRPr="009C685E">
              <w:t>IHO1</w:t>
            </w:r>
          </w:p>
        </w:tc>
        <w:tc>
          <w:tcPr>
            <w:tcW w:w="2085" w:type="dxa"/>
          </w:tcPr>
          <w:p w14:paraId="6A1ACAB3" w14:textId="77777777" w:rsidR="00BF51FE" w:rsidRPr="009C685E" w:rsidRDefault="00BF51FE" w:rsidP="00DE380F">
            <w:pPr>
              <w:spacing w:line="360" w:lineRule="auto"/>
              <w:jc w:val="both"/>
            </w:pPr>
            <w:r w:rsidRPr="009C685E">
              <w:t>Required for DSB formation and regulation of DSB number</w:t>
            </w:r>
          </w:p>
        </w:tc>
        <w:tc>
          <w:tcPr>
            <w:tcW w:w="1678" w:type="dxa"/>
          </w:tcPr>
          <w:p w14:paraId="20DF2D11" w14:textId="77777777" w:rsidR="00BF51FE" w:rsidRPr="009C685E" w:rsidRDefault="00BF51FE" w:rsidP="00DE380F">
            <w:pPr>
              <w:spacing w:line="360" w:lineRule="auto"/>
              <w:jc w:val="both"/>
            </w:pPr>
            <w:r w:rsidRPr="009C685E">
              <w:t>S18, S34</w:t>
            </w:r>
          </w:p>
        </w:tc>
        <w:tc>
          <w:tcPr>
            <w:tcW w:w="1404" w:type="dxa"/>
          </w:tcPr>
          <w:p w14:paraId="2CD09834" w14:textId="77777777" w:rsidR="00BF51FE" w:rsidRPr="009C685E" w:rsidRDefault="00BF51FE" w:rsidP="00DE380F">
            <w:pPr>
              <w:spacing w:line="360" w:lineRule="auto"/>
              <w:jc w:val="both"/>
            </w:pPr>
            <w:r w:rsidRPr="009C685E">
              <w:t>Mass spectrometry</w:t>
            </w:r>
          </w:p>
        </w:tc>
        <w:tc>
          <w:tcPr>
            <w:tcW w:w="1622" w:type="dxa"/>
          </w:tcPr>
          <w:p w14:paraId="596BD11D"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{"citationItems":[{"id":"ITEM-1","itemData":{"DOI":"10.1074/mcp.RA117.000261","ISSN":"15359484","PMID":"29351928","abstract":"Post-translational modifications (PTMs) on proteins often function to regulate signaling cascades, with the activation of T cells during an adaptive immune response being a classic example. Mounting evidence indicates that the modification of proteins by O-linked N-acetylglucosamine (O-GlcNAc), the only mammalian glycan found on nuclear and cytoplasmic proteins, helps regulate T cell activation. Yet, a mechanistic understanding of how O-GlcNAc functions in T cell activation remains elusive, partly because of the difficulties in mapping and quantifying O-GlcNAc sites. Thus, to advance insight into the role of O-GlcNAc in T cell activation, we performed glycosite mapping studies via direct glycopeptide measurement on resting and activated primary human T cells with a technique termed Isotope Targeted Glycoproteomics. This approach led to the identification of 2219 intact O-linked glycopeptides across 1045 glycoproteins. A significant proportion (&gt;45%) of the identified O-GlcNAc sites lie near or coincide with a known phosphorylation site, supporting the potential for PTM crosstalk. Consistent with other studies, we find that O-GlcNAc sites in T cells lack a strict consensus sequence. To validate our results, we employed gel shift assays based on conjugating mass tags to O-GlcNAc groups. Notably, we observed that the transcription factors c-JUN and JUNB show higher levels of O-GlcNAc glycosylation and higher levels of expression in activated T cells. Overall, our findings provide a quantitative characterization of O-GlcNAc glycoproteins and their corresponding modification sites in primary human T cells, which will facilitate mechanistic studies into the function of O-GlcNAc in T cell activation.","author":[{"dropping-particle":"","family":"Woo","given":"Christina M.","non-dropping-particle":"","parse-names":false,"suffix":""},{"dropping-particle":"","family":"Lund","given":"Peder J.","non-dropping-particle":"","parse-names":false,"suffix":""},{"dropping-particle":"","family":"Huang","given":"Andrew C.","non-dropping-particle":"","parse-names":false,"suffix":""},{"dropping-particle":"","family":"Davis","given":"Mark M.","non-dropping-particle":"","parse-names":false,"suffix":""},{"dropping-particle":"","family":"Bertozzi","given":"Carolyn R.","non-dropping-particle":"","parse-names":false,"suffix":""},{"dropping-particle":"","family":"Pitteri","given":"Sharon J.","non-dropping-particle":"","parse-names":false,"suffix":""}],"container-title":"Molecular and Cellular Proteomics","id":"ITEM-1","issue":"4","issued":{"date-parts":[["2018","4","1"]]},"page":"764-775","publisher":"American Society for Biochemistry and Molecular Biology Inc.","title":"Mapping and quantification of over 2000 O-linked glycopeptides in activated human T cells with isotope-targeted glycoproteomics (Isotag)","type":"article-journal","volume":"17"},"uris":["http://www.mendeley.com/documents/?uuid=ca659548-89dc-3749-835c-66c0b78b6352"]}],"mendeley":{"formattedCitation":"[44]","plainTextFormattedCitation":"[44]","previouslyFormattedCitation":"[44]"},"properties":{"noteIndex":0},"schema":"https://github.com/citation-style-language/schema/raw/master/csl-citation.json"}</w:instrText>
            </w:r>
            <w:r w:rsidRPr="009C685E">
              <w:fldChar w:fldCharType="separate"/>
            </w:r>
            <w:r w:rsidRPr="009C685E">
              <w:t>[44]</w:t>
            </w:r>
            <w:r w:rsidRPr="009C685E">
              <w:fldChar w:fldCharType="end"/>
            </w:r>
          </w:p>
        </w:tc>
      </w:tr>
      <w:tr w:rsidR="00BF51FE" w:rsidRPr="009C685E" w14:paraId="56E9562A" w14:textId="77777777" w:rsidTr="00DE380F">
        <w:tc>
          <w:tcPr>
            <w:tcW w:w="1507" w:type="dxa"/>
          </w:tcPr>
          <w:p w14:paraId="3F5DCDA5" w14:textId="77777777" w:rsidR="00BF51FE" w:rsidRPr="009C685E" w:rsidRDefault="00BF51FE" w:rsidP="00DE380F">
            <w:pPr>
              <w:spacing w:line="360" w:lineRule="auto"/>
              <w:jc w:val="both"/>
            </w:pPr>
            <w:r w:rsidRPr="009C685E">
              <w:lastRenderedPageBreak/>
              <w:t>KAT5</w:t>
            </w:r>
          </w:p>
        </w:tc>
        <w:tc>
          <w:tcPr>
            <w:tcW w:w="2085" w:type="dxa"/>
          </w:tcPr>
          <w:p w14:paraId="0CA713D4" w14:textId="77777777" w:rsidR="00BF51FE" w:rsidRPr="009C685E" w:rsidRDefault="00BF51FE" w:rsidP="00DE380F">
            <w:pPr>
              <w:spacing w:line="360" w:lineRule="auto"/>
              <w:jc w:val="both"/>
            </w:pPr>
            <w:r w:rsidRPr="009C685E">
              <w:t>Required for regulating chromosome axis length and DSB numbers</w:t>
            </w:r>
          </w:p>
        </w:tc>
        <w:tc>
          <w:tcPr>
            <w:tcW w:w="1678" w:type="dxa"/>
          </w:tcPr>
          <w:p w14:paraId="00B05A2D" w14:textId="77777777" w:rsidR="00BF51FE" w:rsidRPr="009C685E" w:rsidRDefault="00BF51FE" w:rsidP="00DE380F">
            <w:pPr>
              <w:spacing w:line="360" w:lineRule="auto"/>
              <w:jc w:val="both"/>
            </w:pPr>
            <w:r w:rsidRPr="009C685E">
              <w:t>S119</w:t>
            </w:r>
          </w:p>
        </w:tc>
        <w:tc>
          <w:tcPr>
            <w:tcW w:w="1404" w:type="dxa"/>
          </w:tcPr>
          <w:p w14:paraId="08801FA2" w14:textId="77777777" w:rsidR="00BF51FE" w:rsidRPr="009C685E" w:rsidRDefault="00BF51FE" w:rsidP="00DE380F">
            <w:pPr>
              <w:spacing w:line="360" w:lineRule="auto"/>
              <w:jc w:val="both"/>
            </w:pPr>
            <w:r w:rsidRPr="009C685E">
              <w:t>experimental validation</w:t>
            </w:r>
          </w:p>
        </w:tc>
        <w:tc>
          <w:tcPr>
            <w:tcW w:w="1622" w:type="dxa"/>
          </w:tcPr>
          <w:p w14:paraId="364A2E92"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{"citationItems":[{"id":"ITEM-1","itemData":{"DOI":"10.1021/acschembio.8b00414","ISSN":"15548937","PMID":"30059200","abstract":"Large-scale quantification of protein O-linked β-N-acetylglucosamine (O-GlcNAc) modification in a site-specific manner remains a key challenge in studying O-GlcNAc biology. Herein, we developed an isotope-tagged cleavable linker (isoTCL) strategy, which enabled isotopic labeling of O-GlcNAc through bioorthogonal conjugation of affinity tags. We demonstrated the application of the isoTCL in mapping and quantification of O-GlcNAcylation sites in HeLa cells. Furthermore, we investigated the O-GlcNAcylation sensitivity to the sugar donor by quantifying the levels of modification under different concentrations of the O-GlcNAc labeling probe in a site-specific manner. In addition, we applied isoTCL to compare the O-GlcNAcylation stoichiometry levels of more than 100 modification sites between placenta samples from male and female mice and confirmed site-specifically that female placenta has a higher O-GlcNAcylation than its male counterpart. The isoTCL platform provides a powerful tool for quantitative profiling of O-GlcNAc modification.","author":[{"dropping-particle":"","family":"Qin","given":"Ke","non-dropping-particle":"","parse-names":false,"suffix":""},{"dropping-particle":"","family":"Zhu","given":"Yuntao","non-dropping-particle":"","parse-names":false,"suffix":""},{"dropping-particle":"","family":"Qin","given":"Wei","non-dropping-particle":"","parse-names":false,"suffix":""},{"dropping-particle":"","family":"Gao","given":"Jinjun","non-dropping-particle":"","parse-names":false,"suffix":""},{"dropping-particle":"","family":"Shao","given":"Xuan","non-dropping-particle":"","parse-names":false,"suffix":""},{"dropping-particle":"","family":"Wang","given":"Yan Ling","non-dropping-particle":"","parse-names":false,"suffix":""},{"dropping-particle":"","family":"Zhou","given":"Wen","non-dropping-particle":"","parse-names":false,"suffix":""},{"dropping-particle":"","family":"Wang","given":"Chu","non-dropping-particle":"","parse-names":false,"suffix":""},{"dropping-particle":"","family":"Chen","given":"Xing","non-dropping-particle":"","parse-names":false,"suffix":""}],"container-title":"ACS Chemical Biology","id":"ITEM-1","issue":"8","issued":{"date-parts":[["2018","8","17"]]},"page":"1983-1989","publisher":"American Chemical Society","title":"Quantitative Profiling of Protein O-GlcNAcylation Sites by an Isotope-Tagged Cleavable Linker","type":"article-journal","volume":"13"},"uris":["http://www.mendeley.com/documents/?uuid=8174a5cf-2630-34bb-926b-d40bd82f24bc"]}],"mendeley":{"formattedCitation":"[56]","plainTextFormattedCitation":"[56]","previouslyFormattedCitation":"[56]"},"properties":{"noteIndex":0},"schema":"https://github.com/citation-style-language/schema/raw/master/csl-citation.json"}</w:instrText>
            </w:r>
            <w:r w:rsidRPr="009C685E">
              <w:fldChar w:fldCharType="separate"/>
            </w:r>
            <w:r w:rsidRPr="009C685E">
              <w:t>[56]</w:t>
            </w:r>
            <w:r w:rsidRPr="009C685E">
              <w:fldChar w:fldCharType="end"/>
            </w:r>
          </w:p>
        </w:tc>
      </w:tr>
      <w:tr w:rsidR="00BF51FE" w:rsidRPr="009C685E" w14:paraId="5F953C63" w14:textId="77777777" w:rsidTr="00DE380F">
        <w:tc>
          <w:tcPr>
            <w:tcW w:w="1507" w:type="dxa"/>
          </w:tcPr>
          <w:p w14:paraId="509B778D" w14:textId="77777777" w:rsidR="00BF51FE" w:rsidRPr="009C685E" w:rsidRDefault="00BF51FE" w:rsidP="00DE380F">
            <w:pPr>
              <w:spacing w:line="360" w:lineRule="auto"/>
              <w:jc w:val="both"/>
            </w:pPr>
            <w:r w:rsidRPr="009C685E">
              <w:t>MEI1</w:t>
            </w:r>
          </w:p>
        </w:tc>
        <w:tc>
          <w:tcPr>
            <w:tcW w:w="2085" w:type="dxa"/>
          </w:tcPr>
          <w:p w14:paraId="77464472" w14:textId="77777777" w:rsidR="00BF51FE" w:rsidRPr="009C685E" w:rsidRDefault="00BF51FE" w:rsidP="00DE380F">
            <w:pPr>
              <w:spacing w:line="360" w:lineRule="auto"/>
              <w:jc w:val="both"/>
            </w:pPr>
            <w:r w:rsidRPr="009C685E">
              <w:t>Required for DSB formation</w:t>
            </w:r>
          </w:p>
        </w:tc>
        <w:tc>
          <w:tcPr>
            <w:tcW w:w="1678" w:type="dxa"/>
          </w:tcPr>
          <w:p w14:paraId="5DBCBCA7" w14:textId="77777777" w:rsidR="00BF51FE" w:rsidRPr="009C685E" w:rsidRDefault="00BF51FE" w:rsidP="00DE380F">
            <w:pPr>
              <w:spacing w:line="360" w:lineRule="auto"/>
              <w:jc w:val="both"/>
            </w:pPr>
            <w:r w:rsidRPr="009C685E">
              <w:t>S760</w:t>
            </w:r>
          </w:p>
        </w:tc>
        <w:tc>
          <w:tcPr>
            <w:tcW w:w="1404" w:type="dxa"/>
          </w:tcPr>
          <w:p w14:paraId="2C9E3A98" w14:textId="77777777" w:rsidR="00BF51FE" w:rsidRPr="009C685E" w:rsidRDefault="00BF51FE" w:rsidP="00DE380F">
            <w:pPr>
              <w:spacing w:line="360" w:lineRule="auto"/>
              <w:jc w:val="both"/>
            </w:pPr>
            <w:r w:rsidRPr="009C685E">
              <w:t>Mass spectrometry</w:t>
            </w:r>
          </w:p>
        </w:tc>
        <w:tc>
          <w:tcPr>
            <w:tcW w:w="1622" w:type="dxa"/>
          </w:tcPr>
          <w:p w14:paraId="4D3AB096"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11C98461" w14:textId="77777777" w:rsidTr="00DE380F">
        <w:tc>
          <w:tcPr>
            <w:tcW w:w="1507" w:type="dxa"/>
          </w:tcPr>
          <w:p w14:paraId="7B3A9042" w14:textId="77777777" w:rsidR="00BF51FE" w:rsidRPr="009C685E" w:rsidRDefault="00BF51FE" w:rsidP="00DE380F">
            <w:pPr>
              <w:spacing w:line="360" w:lineRule="auto"/>
              <w:jc w:val="both"/>
            </w:pPr>
            <w:r w:rsidRPr="009C685E">
              <w:t>PRDM9</w:t>
            </w:r>
          </w:p>
        </w:tc>
        <w:tc>
          <w:tcPr>
            <w:tcW w:w="2085" w:type="dxa"/>
          </w:tcPr>
          <w:p w14:paraId="10BD1C34" w14:textId="77777777" w:rsidR="00BF51FE" w:rsidRPr="009C685E" w:rsidRDefault="00BF51FE" w:rsidP="00DE380F">
            <w:pPr>
              <w:spacing w:line="360" w:lineRule="auto"/>
              <w:jc w:val="both"/>
            </w:pPr>
            <w:r w:rsidRPr="009C685E">
              <w:t>Required for positioning of DSB hotspots</w:t>
            </w:r>
          </w:p>
        </w:tc>
        <w:tc>
          <w:tcPr>
            <w:tcW w:w="1678" w:type="dxa"/>
          </w:tcPr>
          <w:p w14:paraId="41EFC3D8" w14:textId="77777777" w:rsidR="00BF51FE" w:rsidRPr="009C685E" w:rsidRDefault="00BF51FE" w:rsidP="00DE380F">
            <w:pPr>
              <w:spacing w:line="360" w:lineRule="auto"/>
              <w:jc w:val="both"/>
            </w:pPr>
          </w:p>
        </w:tc>
        <w:tc>
          <w:tcPr>
            <w:tcW w:w="1404" w:type="dxa"/>
          </w:tcPr>
          <w:p w14:paraId="2638FDDA" w14:textId="77777777" w:rsidR="00BF51FE" w:rsidRPr="009C685E" w:rsidRDefault="00BF51FE" w:rsidP="00DE380F">
            <w:pPr>
              <w:spacing w:line="360" w:lineRule="auto"/>
              <w:jc w:val="both"/>
            </w:pPr>
            <w:r w:rsidRPr="009C685E">
              <w:t>Mass spectrometry</w:t>
            </w:r>
          </w:p>
        </w:tc>
        <w:tc>
          <w:tcPr>
            <w:tcW w:w="1622" w:type="dxa"/>
          </w:tcPr>
          <w:p w14:paraId="736F5980"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-1","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identification","type":"article-journal","volume":"169"},"uris":["http://www.mendeley.com/documents/?uuid=aff461bc-e6de-3ca9-83a9-0f5eaa659eac"]},{"id":"ITEM-2","itemData":{"DOI":"10.1039/c8cc08416e","ISSN":"1364548X","PMID":"30379171","abstract":"We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Communications","id":"ITEM-2","issue":"98","issued":{"date-parts":[["2018"]]},"page":"13790-13793","publisher":"Royal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 [40]","plainTextFormattedCitation":"[39], [40]","previouslyFormattedCitation":"[39], [40]"},"properties":{"noteIndex":0},"schema":"https://github.com/citation-style-language/schema/raw/master/csl-citation.json"}</w:instrText>
            </w:r>
            <w:r w:rsidRPr="009C685E">
              <w:fldChar w:fldCharType="separate"/>
            </w:r>
            <w:r w:rsidRPr="009C685E">
              <w:t>[39], [40]</w:t>
            </w:r>
            <w:r w:rsidRPr="009C685E">
              <w:fldChar w:fldCharType="end"/>
            </w:r>
          </w:p>
        </w:tc>
      </w:tr>
      <w:tr w:rsidR="00BF51FE" w:rsidRPr="009C685E" w14:paraId="5A5A869E" w14:textId="77777777" w:rsidTr="00DE380F">
        <w:tc>
          <w:tcPr>
            <w:tcW w:w="1507" w:type="dxa"/>
          </w:tcPr>
          <w:p w14:paraId="7AE840E5" w14:textId="77777777" w:rsidR="00BF51FE" w:rsidRPr="009C685E" w:rsidRDefault="00BF51FE" w:rsidP="00DE380F">
            <w:pPr>
              <w:spacing w:line="360" w:lineRule="auto"/>
              <w:jc w:val="both"/>
            </w:pPr>
            <w:r w:rsidRPr="009C685E">
              <w:t>SIRT1</w:t>
            </w:r>
          </w:p>
        </w:tc>
        <w:tc>
          <w:tcPr>
            <w:tcW w:w="2085" w:type="dxa"/>
          </w:tcPr>
          <w:p w14:paraId="3B0E9238" w14:textId="77777777" w:rsidR="00BF51FE" w:rsidRPr="009C685E" w:rsidRDefault="00BF51FE" w:rsidP="00DE380F">
            <w:pPr>
              <w:spacing w:line="360" w:lineRule="auto"/>
              <w:jc w:val="both"/>
            </w:pPr>
            <w:r w:rsidRPr="009C685E">
              <w:t>Required for inhibiting meiotic DSB in rDNA in yeast</w:t>
            </w:r>
          </w:p>
        </w:tc>
        <w:tc>
          <w:tcPr>
            <w:tcW w:w="1678" w:type="dxa"/>
          </w:tcPr>
          <w:p w14:paraId="390C4017" w14:textId="77777777" w:rsidR="00BF51FE" w:rsidRPr="009C685E" w:rsidRDefault="00BF51FE" w:rsidP="00DE380F">
            <w:pPr>
              <w:spacing w:line="360" w:lineRule="auto"/>
              <w:jc w:val="both"/>
            </w:pPr>
            <w:r w:rsidRPr="009C685E">
              <w:t>S549, T614</w:t>
            </w:r>
          </w:p>
        </w:tc>
        <w:tc>
          <w:tcPr>
            <w:tcW w:w="1404" w:type="dxa"/>
          </w:tcPr>
          <w:p w14:paraId="260392B7" w14:textId="77777777" w:rsidR="00BF51FE" w:rsidRPr="009C685E" w:rsidRDefault="00BF51FE" w:rsidP="00DE380F">
            <w:pPr>
              <w:spacing w:line="360" w:lineRule="auto"/>
              <w:jc w:val="both"/>
            </w:pPr>
            <w:r w:rsidRPr="009C685E">
              <w:t>Mass spectrometry and experimental validation</w:t>
            </w:r>
          </w:p>
        </w:tc>
        <w:tc>
          <w:tcPr>
            <w:tcW w:w="1622" w:type="dxa"/>
          </w:tcPr>
          <w:p w14:paraId="7220409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{"citationItems":[{"id":"ITEM-1","itemData":{"DOI":"10.1073/pnas.1909943117","ISSN":"10916490","PMID":"32152092","abstract":"Inefficient physiological transitions are known to cause metabolic disorders. Therefore, investigating mechanisms that constitute molecular switches in a central metabolic organ like the liver becomes crucial. Specifically, upstream mechanisms that control temporal engagement of transcription factors, which are essential to mediate physiological fed-fast-refed transitions are less understood. SIRT1, a NAD+-dependent deacetylase, is pivotal in regulating hepatic gene expression and has emerged as a key therapeutic target. Despite this, if/how nutrient inputs regulate SIRT1 interactions, stability, and therefore downstream functions are still unknown. Here, we establish nutrient-dependent O-GlcNAcylation of SIRT1, within its N-terminal domain, as a crucial determinant of hepatic functions. Our findings demonstrate that during a fasted-to-refed transition, glycosylation of SIRT1 modulates its interactions with various transcription factors and a nodal cytosolic kinase involved in insulin signaling. Moreover, sustained glycosylation in the fed state causes nuclear exclusion and cytosolic ubiquitin-mediated degradation of SIRT1. This mechanism exerts spatiotemporal control over SIRT1 functions by constituting a previously unknown molecular relay. Of note, loss of SIRT1 glycosylation discomposed these interactions resulting in aberrant gene expression, mitochondrial dysfunctions, and enhanced hepatic gluconeogenesis. Expression of nonglycosylatable SIRT1 in the liver abrogated metabolic flexibility, resulting in systemic insulin resistance, hyperglycemia, and hepatic inflammation, highlighting the physiological costs associated with its overactivation. Conversely, our study also reveals that hyperglycosylation of SIRT1 is associated with aging and high-fat-induced obesity. Thus, we establish that nutrient-dependent glycosylation of SIRT1 is essential to gate its functions and maintain physiological fitness.","author":[{"dropping-particle":"","family":"Chattopadhyay","given":"Tandrika","non-dropping-particle":"","parse-names":false,"suffix":""},{"dropping-particle":"","family":"Maniyadath","given":"Babukrishna","non-dropping-particle":"","parse-names":false,"suffix":""},{"dropping-particle":"","family":"Bagul","given":"Hema P.","non-dropping-particle":"","parse-names":false,"suffix":""},{"dropping-particle":"","family":"Chakraborty","given":"Arindam","non-dropping-particle":"","parse-names":false,"suffix":""},{"dropping-particle":"","family":"Shukla","given":"Namrata","non-dropping-particle":"","parse-names":false,"suffix":""},{"dropping-particle":"","family":"Budnar","given":"Srikanth","non-dropping-particle":"","parse-names":false,"suffix":""},{"dropping-particle":"","family":"Rajendran","given":"Abinaya","non-dropping-particle":"","parse-names":false,"suffix":""},{"dropping-particle":"","family":"Shukla","given":"Arushi","non-dropping-particle":"","parse-names":false,"suffix":""},{"dropping-particle":"","family":"Kamat","given":"Siddhesh S.","non-dropping-particle":"","parse-names":false,"suffix":""},{"dropping-particle":"","family":"Kolthur-Seetharam","given":"Ullas","non-dropping-particle":"","parse-names":false,"suffix":""}],"container-title":"Proceedings of the National Academy of Sciences of the United States of America","id":"ITEM-1","issue":"12","issued":{"date-parts":[["2020","3","24"]]},"page":"6890-6900","publisher":"National Academy of Sciences","title":"Spatiotemporal gating of SIRT1 functions by O-GlcNAcylation is essential for liver metabolic switching and prevents hyperglycemia","type":"article-journal","volume":"117"},"uris":["http://www.mendeley.com/documents/?uuid=d5f219da-15bd-3913-91d6-b38f77401c4e"]},{"id":"ITEM-2","itemData":{"DOI":"10.1093/glycob/cwy040","ISSN":"14602423","PMID":"29688431","abstract":"O-linked N-acetyl-β-D-glucosamine (O-GlcNAc) is a dynamic post-translational modification that modifies thousands of proteins. However, the roles and mechanisms of O-GlcNAcylation have been clarified in only a few proteins, and one of the main reasons for this is the lack of sitespecific anti-O-GlcNAc antibodies. Recently, we found that SIRT1, which is an NAD+-dependent deacetylase, is O-GlcNAcylated at the serine 549 site (S549) and plays a cytoprotective role under stress. However, the mechanism underlying the roles of SIRT1 O-GlcNAcylation remains unclear. Here, we describe a site-specific antibody for SIRT1 O-GlcNAcylated at S549, named SIRT1-549-O. This antibody can be used for immunoprecipitation and western blotting assays, and it can be used to recognize the endogenous levels of both human and mouse SIRT1 O-GlcNAcylation. Therefore, this antibody not only provides an effective method to further understand the roles of SIRT1 O-GlcNAcylation but also makes it possible to discover the genetic and pharmacological factors that could regulate SIRT1 activity by modulating its O-GlcNAcylation.","author":[{"dropping-particle":"","family":"Shan","given":"Hui","non-dropping-particle":"","parse-names":false,"suffix":""},{"dropping-particle":"","family":"Sun","given":"Jiahui","non-dropping-particle":"","parse-names":false,"suffix":""},{"dropping-particle":"","family":"Shi","given":"Minghui","non-dropping-particle":"","parse-names":false,"suffix":""},{"dropping-particle":"","family":"Liu","given":"Xue","non-dropping-particle":"","parse-names":false,"suffix":""},{"dropping-particle":"","family":"Shi","given":"Zhu","non-dropping-particle":"","parse-names":false,"suffix":""},{"dropping-particle":"","family":"Yu","given":"Wengong","non-dropping-particle":"","parse-names":false,"suffix":""},{"dropping-particle":"","family":"Gu","given":"Yuchao","non-dropping-particle":"","parse-names":false,"suffix":""}],"container-title":"Glycobiology","id":"ITEM-2","issue":"7","issued":{"date-parts":[["2018","7","1"]]},"page":"482-487","publisher":"Oxford University Press","title":"Generation and characterization of a site-specific antibody for SIRT1 O-GlcNAcylated at serine 549","type":"article-journal","volume":"28"},"uris":["http://www.mendeley.com/documents/?uuid=19331c14-9022-34de-8963-9580832fb113"]},{"id":"ITEM-3","itemData":{"DOI":"10.1038/s41467-017-01654-6","ISSN":"20411723","PMID":"29133780","abstract":"SIRT1 is the most evolutionarily conserved mammalian sirtuin, and it plays a vital role in the regulation of metabolism, stress responses, genome stability, and ageing. As a stress sensor, SIRT1 deacetylase activity is significantly increased during stresses, but the molecular mechanisms are not yet fully clear. Here, we show that SIRT1 is dynamically modified with O-GlcNAc at Ser 549 in its carboxy-terminal region, which directly increases its deacetylase activity both in vitro and in vivo. The O-GlcNAcylation of SIRT1 is elevated during genotoxic, oxidative, and metabolic stress stimuli in cellular and mouse models, thereby increasing SIRT1 deacetylase activity and protecting cells from stress-induced apoptosis. Our findings demonstrate a new mechanism for the activation of SIRT1 under stress conditions and suggest a novel potential therapeutic target for preventing age-related diseases and extending healthspan.","author":[{"dropping-particle":"","family":"Han","given":"Cuifang","non-dropping-particle":"","parse-names":false,"suffix":""},{"dropping-particle":"","family":"Gu","given":"Yuchao","non-dropping-particle":"","parse-names":false,"suffix":""},{"dropping-particle":"","family":"Shan","given":"Hui","non-dropping-particle":"","parse-names":false,"suffix":""},{"dropping-particle":"","family":"Mi","given":"Wenyi","non-dropping-particle":"","parse-names":false,"suffix":""},{"dropping-particle":"","family":"Sun","given":"Jiahui","non-dropping-particle":"","parse-names":false,"suffix":""},{"dropping-particle":"","family":"Shi","given":"Minghui","non-dropping-particle":"","parse-names":false,"suffix":""},{"dropping-particle":"","family":"Zhang","given":"Xinling","non-dropping-particle":"","parse-names":false,"suffix":""},{"dropping-particle":"","family":"Lu","given":"Xinzhi","non-dropping-particle":"","parse-names":false,"suffix":""},{"dropping-particle":"","family":"Han","given":"Feng","non-dropping-particle":"","parse-names":false,"suffix":""},{"dropping-particle":"","family":"Gong","given":"Qianhong","non-dropping-particle":"","parse-names":false,"suffix":""},{"dropping-particle":"","family":"Yu","given":"Wengong","non-dropping-particle":"","parse-names":false,"suffix":""}],"container-title":"Nature Communications","id":"ITEM-3","issue":"1","issued":{"date-parts":[["2017","12","1"]]},"publisher":"Nature Publishing Group","title":"O-GlcNAcylation of SIRT1 enhances its deacetylase activity and promotes cytoprotection under stress","type":"article-journal","volume":"8"},"uris":["http://www.mendeley.com/documents/?uuid=e6ad0956-09f5-3056-abce-bc21c879402b"]},{"id":"ITEM-4","itemData":{"DOI":"10.1021/pr300967y","ISSN":"15353893","PMID":"23301498","abstract":"The post-translational modification of proteins with N-acetylglucosamine (O-GlcNAc) is involved in the regulation of a wide variety of cellular processes and associated with a number of chronic diseases. Despite its emerging biological significance, the systematic identification of O-GlcNAc proteins is still challenging. In the present study, we demonstrate a significantly improved O-GlcNAc protein enrichment procedure, which exploits metabolic labeling of cells by azide-modified GlcNAc and copper-mediated Click chemistry for purification of modified proteins on an alkyne-resin. On-resin proteolysis using trypsin followed by LC-MS/MS afforded the identification of around 1500 O-GlcNAc proteins from a single cell line. Subsequent elution of covalently resin bound O-GlcNAc peptides using selective β-elimination enabled the identification of 185 O-GlcNAc modification sites on 80 proteins. To demonstrate the practical utility of the developed approach, we studied the global effects of the O-GlcNAcase inhibitor GlcNAcstatin G on the level of O-GlcNAc modification of cellular proteins. About 200 proteins including several key players involved in the hexosamine signaling pathway showed significantly increased O-GlcNAcylation levels in response to the drug, which further strengthens the link of O-GlcNAc protein modification to cellular nutrient sensing and response. © 2013 American Chemical Society.","author":[{"dropping-particle":"","family":"Hahne","given":"Hannes","non-dropping-particle":"","parse-names":false,"suffix":""},{"dropping-particle":"","family":"Sobotzki","given":"Nadine","non-dropping-particle":"","parse-names":false,"suffix":""},{"dropping-particle":"","family":"Nyberg","given":"Tamara","non-dropping-particle":"","parse-names":false,"suffix":""},{"dropping-particle":"","family":"Helm","given":"Dominic","non-dropping-particle":"","parse-names":false,"suffix":""},{"dropping-particle":"","family":"Borodkin","given":"Vladimir S.","non-dropping-particle":"","parse-names":false,"suffix":""},{"dropping-particle":"","family":"Aalten","given":"Daan M.F.","non-dropping-particle":"Van","parse-names":false,"suffix":""},{"dropping-particle":"","family":"Agnew","given":"Brian","non-dropping-particle":"","parse-names":false,"suffix":""},{"dropping-particle":"","family":"Kuster","given":"Bernhard","non-dropping-particle":"","parse-names":false,"suffix":""}],"container-title":"Journal of Proteome Research","id":"ITEM-4","issue":"2","issued":{"date-parts":[["2013","2","1"]]},"page":"927-936","publisher":"J Proteome Res","title":"Proteome wide purification and identification of O-GlcNAc-modified proteins using click chemistry and mass spectrometry","type":"article-journal","volume":"12"},"uris":["http://www.mendeley.com/documents/?uuid=08f3afd3-7307-382b-b056-5872a7d7ace1"]}],"mendeley":{"formattedCitation":"[45], [58]–[60]","plainTextFormattedCitation":"[45], [58]–[60]","previouslyFormattedCitation":"[45], [58]–[60]"},"properties":{"noteIndex":0},"schema":"https://github.com/citation-style-language/schema/raw/master/csl-citation.json"}</w:instrText>
            </w:r>
            <w:r w:rsidRPr="009C685E">
              <w:fldChar w:fldCharType="separate"/>
            </w:r>
            <w:r w:rsidRPr="009C685E">
              <w:t>[45], [58]–[60]</w:t>
            </w:r>
            <w:r w:rsidRPr="009C685E">
              <w:fldChar w:fldCharType="end"/>
            </w:r>
          </w:p>
        </w:tc>
      </w:tr>
      <w:tr w:rsidR="00BF51FE" w:rsidRPr="009C685E" w14:paraId="67843847" w14:textId="77777777" w:rsidTr="00DE380F">
        <w:tc>
          <w:tcPr>
            <w:tcW w:w="1507" w:type="dxa"/>
          </w:tcPr>
          <w:p w14:paraId="5DEB4A37" w14:textId="77777777" w:rsidR="00BF51FE" w:rsidRPr="009C685E" w:rsidRDefault="00BF51FE" w:rsidP="00DE380F">
            <w:pPr>
              <w:spacing w:line="360" w:lineRule="auto"/>
              <w:jc w:val="both"/>
            </w:pPr>
            <w:r w:rsidRPr="009C685E">
              <w:t>BLM</w:t>
            </w:r>
          </w:p>
        </w:tc>
        <w:tc>
          <w:tcPr>
            <w:tcW w:w="2085" w:type="dxa"/>
          </w:tcPr>
          <w:p w14:paraId="268B129F" w14:textId="77777777" w:rsidR="00BF51FE" w:rsidRPr="009C685E" w:rsidRDefault="00BF51FE" w:rsidP="00DE380F">
            <w:pPr>
              <w:spacing w:line="360" w:lineRule="auto"/>
              <w:jc w:val="both"/>
            </w:pPr>
            <w:r w:rsidRPr="009C685E">
              <w:t xml:space="preserve">Required for DSB end </w:t>
            </w:r>
            <w:proofErr w:type="spellStart"/>
            <w:r w:rsidRPr="009C685E">
              <w:t>resectioning</w:t>
            </w:r>
            <w:proofErr w:type="spellEnd"/>
            <w:r w:rsidRPr="009C685E">
              <w:t xml:space="preserve"> and </w:t>
            </w:r>
            <w:proofErr w:type="spellStart"/>
            <w:r w:rsidRPr="009C685E">
              <w:t>noncrossover</w:t>
            </w:r>
            <w:proofErr w:type="spellEnd"/>
            <w:r w:rsidRPr="009C685E">
              <w:t xml:space="preserve"> formation</w:t>
            </w:r>
          </w:p>
        </w:tc>
        <w:tc>
          <w:tcPr>
            <w:tcW w:w="1678" w:type="dxa"/>
          </w:tcPr>
          <w:p w14:paraId="40563428" w14:textId="77777777" w:rsidR="00BF51FE" w:rsidRPr="009C685E" w:rsidRDefault="00BF51FE" w:rsidP="00DE380F">
            <w:pPr>
              <w:spacing w:line="360" w:lineRule="auto"/>
              <w:jc w:val="both"/>
            </w:pPr>
          </w:p>
        </w:tc>
        <w:tc>
          <w:tcPr>
            <w:tcW w:w="1404" w:type="dxa"/>
          </w:tcPr>
          <w:p w14:paraId="461BA691" w14:textId="77777777" w:rsidR="00BF51FE" w:rsidRPr="009C685E" w:rsidRDefault="00BF51FE" w:rsidP="00DE380F">
            <w:pPr>
              <w:spacing w:line="360" w:lineRule="auto"/>
              <w:jc w:val="both"/>
            </w:pPr>
            <w:r w:rsidRPr="009C685E">
              <w:t>Mass spectrometry</w:t>
            </w:r>
          </w:p>
        </w:tc>
        <w:tc>
          <w:tcPr>
            <w:tcW w:w="1622" w:type="dxa"/>
          </w:tcPr>
          <w:p w14:paraId="2DD1DFD2"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38DFECBF" w14:textId="77777777" w:rsidTr="00DE380F">
        <w:tc>
          <w:tcPr>
            <w:tcW w:w="1507" w:type="dxa"/>
          </w:tcPr>
          <w:p w14:paraId="566FF673" w14:textId="77777777" w:rsidR="00BF51FE" w:rsidRPr="009C685E" w:rsidRDefault="00BF51FE" w:rsidP="00DE380F">
            <w:pPr>
              <w:spacing w:line="360" w:lineRule="auto"/>
              <w:jc w:val="both"/>
            </w:pPr>
            <w:r w:rsidRPr="009C685E">
              <w:t>BRCA2</w:t>
            </w:r>
          </w:p>
        </w:tc>
        <w:tc>
          <w:tcPr>
            <w:tcW w:w="2085" w:type="dxa"/>
          </w:tcPr>
          <w:p w14:paraId="204E80E2" w14:textId="77777777" w:rsidR="00BF51FE" w:rsidRPr="009C685E" w:rsidRDefault="00BF51FE" w:rsidP="00DE380F">
            <w:pPr>
              <w:spacing w:line="360" w:lineRule="auto"/>
              <w:jc w:val="both"/>
            </w:pPr>
            <w:r w:rsidRPr="009C685E">
              <w:t>Required for loading RAD51 and DMC1 onto RPA-binding ssDNA</w:t>
            </w:r>
          </w:p>
        </w:tc>
        <w:tc>
          <w:tcPr>
            <w:tcW w:w="1678" w:type="dxa"/>
          </w:tcPr>
          <w:p w14:paraId="7EB30F2D" w14:textId="77777777" w:rsidR="00BF51FE" w:rsidRPr="009C685E" w:rsidRDefault="00BF51FE" w:rsidP="00DE380F">
            <w:pPr>
              <w:spacing w:line="360" w:lineRule="auto"/>
              <w:jc w:val="both"/>
            </w:pPr>
          </w:p>
        </w:tc>
        <w:tc>
          <w:tcPr>
            <w:tcW w:w="1404" w:type="dxa"/>
          </w:tcPr>
          <w:p w14:paraId="365A3094" w14:textId="77777777" w:rsidR="00BF51FE" w:rsidRPr="009C685E" w:rsidRDefault="00BF51FE" w:rsidP="00DE380F">
            <w:pPr>
              <w:spacing w:line="360" w:lineRule="auto"/>
              <w:jc w:val="both"/>
            </w:pPr>
            <w:r w:rsidRPr="009C685E">
              <w:t>Mass spectrometry</w:t>
            </w:r>
          </w:p>
        </w:tc>
        <w:tc>
          <w:tcPr>
            <w:tcW w:w="1622" w:type="dxa"/>
          </w:tcPr>
          <w:p w14:paraId="3D0661BA"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{"citationItems":[{"id":"ITEM-1","itemData":{"DOI":"10.1021/acschembio.1c00185","ISSN":"15548937","PMID":"34105348","abstract":"O-GlcNAcylation is an O-linked β-N-acetyl-glucosamine (O-GlcNAc)-monosaccharide modification of serine or threonine in proteins that plays a vital role in many critical cellular processes. Owing to its low molecular weight, uncharged property, and difficulty in distinguishing from β-N-acetyl-galactosamine (GalNAc), the lack of high specificity and avidity tools and sophisticated quantification methods have always been the bottleneck in analyzing O-GlcNAc functions. Here, we compared glycan array data of the mutant of Clostridium perfringen OGA (CpOGAD298N), O-GlcNAc antibody CTD110.6, and several lectins. We found that CpOGAD298N can effectively distinguish GlcNAc from GalNAc. Glycan array analysis and isothermal titration calorimetry (ITC) show that CpOGAD298N has a GlcNAc specific binding characteristic. CpOGAD298N could be used in far-western, flow cytometry analysis, and confocal imaging to demonstrate the existence of O-GlcNAc proteins. Using the CpOGAD298N affinity column, we identified 84 highly confident O-GlcNAc modified peptides from 82 proteins in the MCF-7 cell line and 33 highly confident peptides in 33 proteins from mouse liver tissue; most of them are novel O-GlcNAc proteins and could not bind with wheat germ agglutinin (WGA). Besides being used as a facile enrichment tool, a combination of CpOGAD298N with the proximity ligation assay (PLA) is successfully used to quantify O-GlcNAc modified histone H2B, which is as low as femtomoles in MCF-7 cell lysate. These results suggest that CpOGAD298N is a specific tool for detection (far-western, flow cytometry analysis, and confocal imaging) and enrichment of O-GlcNAcylated proteins and peptides, and the CpOGAD298N-PLA method is useful for quantifying certain O-GlcNAc protein.","author":[{"dropping-particle":"","family":"Song","given":"Jiaqi","non-dropping-particle":"","parse-names":false,"suffix":""},{"dropping-particle":"","family":"Liu","given":"Chenglong","non-dropping-particle":"","parse-names":false,"suffix":""},{"dropping-particle":"","family":"Wang","given":"Xueqing","non-dropping-particle":"","parse-names":false,"suffix":""},{"dropping-particle":"","family":"Xu","given":"Bo","non-dropping-particle":"","parse-names":false,"suffix":""},{"dropping-particle":"","family":"Liu","given":"Xiaomei","non-dropping-particle":"","parse-names":false,"suffix":""},{"dropping-particle":"","family":"Li","given":"Yang","non-dropping-particle":"","parse-names":false,"suffix":""},{"dropping-particle":"","family":"Xia","given":"Jing","non-dropping-particle":"","parse-names":false,"suffix":""},{"dropping-particle":"","family":"Li","given":"Yan","non-dropping-particle":"","parse-names":false,"suffix":""},{"dropping-particle":"","family":"Zhang","given":"Can","non-dropping-particle":"","parse-names":false,"suffix":""},{"dropping-particle":"","family":"Li","given":"Danni","non-dropping-particle":"","parse-names":false,"suffix":""},{"dropping-particle":"","family":"Sun","given":"Hui","non-dropping-particle":"","parse-names":false,"suffix":""}],"container-title":"ACS Chemical Biology","id":"ITEM-1","issue":"6","issued":{"date-parts":[["2021","6","18"]]},"page":"1040-1049","publisher":"American Chemical Society","title":"O-GlcNAcylation Quantification of Certain Protein by the Proximity Ligation Assay and Clostridium perfringen OGAD298N(CpOGAD298N)","type":"article-journal","volume":"16"},"uris":["http://www.mendeley.com/documents/?uuid=f20825ef-b996-31a0-b4ac-aeb4fbaa005d"]},{"id":"ITEM-2","itemData":{"DOI":"10.1039/c8cc08416e","ISSN":"1364548X","PMID":"30379171","abstract":"We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Communications","id":"ITEM-2","issue":"98","issued":{"date-parts":[["2018"]]},"page":"13790-13793","publisher":"Royal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 [54]","plainTextFormattedCitation":"[39], [54]","previouslyFormattedCitation":"[39], [54]"},"properties":{"noteIndex":0},"schema":"https://github.com/citation-style-language/schema/raw/master/csl-citation.json"}</w:instrText>
            </w:r>
            <w:r w:rsidRPr="009C685E">
              <w:fldChar w:fldCharType="separate"/>
            </w:r>
            <w:r w:rsidRPr="009C685E">
              <w:t>[39], [54]</w:t>
            </w:r>
            <w:r w:rsidRPr="009C685E">
              <w:fldChar w:fldCharType="end"/>
            </w:r>
          </w:p>
        </w:tc>
      </w:tr>
      <w:tr w:rsidR="00BF51FE" w:rsidRPr="009C685E" w14:paraId="7C36A2DA" w14:textId="77777777" w:rsidTr="00DE380F">
        <w:tc>
          <w:tcPr>
            <w:tcW w:w="1507" w:type="dxa"/>
          </w:tcPr>
          <w:p w14:paraId="018A1C81" w14:textId="77777777" w:rsidR="00BF51FE" w:rsidRPr="009C685E" w:rsidRDefault="00BF51FE" w:rsidP="00DE380F">
            <w:pPr>
              <w:spacing w:line="360" w:lineRule="auto"/>
              <w:jc w:val="both"/>
            </w:pPr>
            <w:r w:rsidRPr="009C685E">
              <w:t>CNTD1</w:t>
            </w:r>
          </w:p>
        </w:tc>
        <w:tc>
          <w:tcPr>
            <w:tcW w:w="2085" w:type="dxa"/>
          </w:tcPr>
          <w:p w14:paraId="2A742E6C" w14:textId="77777777" w:rsidR="00BF51FE" w:rsidRPr="009C685E" w:rsidRDefault="00BF51FE" w:rsidP="00DE380F">
            <w:pPr>
              <w:spacing w:line="360" w:lineRule="auto"/>
              <w:jc w:val="both"/>
            </w:pPr>
            <w:r w:rsidRPr="009C685E">
              <w:t>Designates recombination intermediates for crossover formation</w:t>
            </w:r>
          </w:p>
        </w:tc>
        <w:tc>
          <w:tcPr>
            <w:tcW w:w="1678" w:type="dxa"/>
          </w:tcPr>
          <w:p w14:paraId="4625A97F" w14:textId="77777777" w:rsidR="00BF51FE" w:rsidRPr="009C685E" w:rsidRDefault="00BF51FE" w:rsidP="00DE380F">
            <w:pPr>
              <w:spacing w:line="360" w:lineRule="auto"/>
              <w:jc w:val="both"/>
            </w:pPr>
          </w:p>
        </w:tc>
        <w:tc>
          <w:tcPr>
            <w:tcW w:w="1404" w:type="dxa"/>
          </w:tcPr>
          <w:p w14:paraId="2DE43E53" w14:textId="77777777" w:rsidR="00BF51FE" w:rsidRPr="009C685E" w:rsidRDefault="00BF51FE" w:rsidP="00DE380F">
            <w:pPr>
              <w:spacing w:line="360" w:lineRule="auto"/>
              <w:jc w:val="both"/>
            </w:pPr>
            <w:r w:rsidRPr="009C685E">
              <w:t>Mass spectrometry</w:t>
            </w:r>
          </w:p>
        </w:tc>
        <w:tc>
          <w:tcPr>
            <w:tcW w:w="1622" w:type="dxa"/>
          </w:tcPr>
          <w:p w14:paraId="2837B56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5FC5560F" w14:textId="77777777" w:rsidTr="00DE380F">
        <w:tc>
          <w:tcPr>
            <w:tcW w:w="1507" w:type="dxa"/>
          </w:tcPr>
          <w:p w14:paraId="57128A1E" w14:textId="77777777" w:rsidR="00BF51FE" w:rsidRPr="009C685E" w:rsidRDefault="00BF51FE" w:rsidP="00DE380F">
            <w:pPr>
              <w:spacing w:line="360" w:lineRule="auto"/>
              <w:jc w:val="both"/>
            </w:pPr>
            <w:proofErr w:type="spellStart"/>
            <w:r w:rsidRPr="009C685E">
              <w:t>CtIP</w:t>
            </w:r>
            <w:proofErr w:type="spellEnd"/>
          </w:p>
        </w:tc>
        <w:tc>
          <w:tcPr>
            <w:tcW w:w="2085" w:type="dxa"/>
          </w:tcPr>
          <w:p w14:paraId="7D4983BA" w14:textId="77777777" w:rsidR="00BF51FE" w:rsidRPr="009C685E" w:rsidRDefault="00BF51FE" w:rsidP="00DE380F">
            <w:pPr>
              <w:spacing w:line="360" w:lineRule="auto"/>
              <w:jc w:val="both"/>
            </w:pPr>
            <w:r w:rsidRPr="009C685E">
              <w:t>Promotes processing of DSBs to facilitate RPA loading</w:t>
            </w:r>
          </w:p>
        </w:tc>
        <w:tc>
          <w:tcPr>
            <w:tcW w:w="1678" w:type="dxa"/>
          </w:tcPr>
          <w:p w14:paraId="084F66D1" w14:textId="77777777" w:rsidR="00BF51FE" w:rsidRPr="009C685E" w:rsidRDefault="00BF51FE" w:rsidP="00DE380F">
            <w:pPr>
              <w:spacing w:line="360" w:lineRule="auto"/>
              <w:jc w:val="both"/>
            </w:pPr>
            <w:r w:rsidRPr="009C685E">
              <w:t>T527</w:t>
            </w:r>
          </w:p>
        </w:tc>
        <w:tc>
          <w:tcPr>
            <w:tcW w:w="1404" w:type="dxa"/>
          </w:tcPr>
          <w:p w14:paraId="6928174C" w14:textId="77777777" w:rsidR="00BF51FE" w:rsidRPr="009C685E" w:rsidRDefault="00BF51FE" w:rsidP="00DE380F">
            <w:pPr>
              <w:spacing w:line="360" w:lineRule="auto"/>
              <w:jc w:val="both"/>
            </w:pPr>
            <w:r w:rsidRPr="009C685E">
              <w:t xml:space="preserve">Mass spectrometry and </w:t>
            </w:r>
            <w:r w:rsidRPr="009C685E">
              <w:lastRenderedPageBreak/>
              <w:t>experimental validation</w:t>
            </w:r>
          </w:p>
        </w:tc>
        <w:tc>
          <w:tcPr>
            <w:tcW w:w="1622" w:type="dxa"/>
          </w:tcPr>
          <w:p w14:paraId="4212A15D" w14:textId="77777777" w:rsidR="00BF51FE" w:rsidRPr="009C685E" w:rsidRDefault="00BF51FE" w:rsidP="00DE380F">
            <w:pPr>
              <w:spacing w:line="360" w:lineRule="auto"/>
              <w:jc w:val="both"/>
            </w:pPr>
            <w:r w:rsidRPr="009C685E">
              <w:lastRenderedPageBreak/>
              <w:fldChar w:fldCharType="begin" w:fldLock="1"/>
            </w:r>
            <w:r w:rsidRPr="009C685E">
              <w:instrText>ADDIN CSL_CITATION {"citationItems":[{"id":"ITEM-1","itemData":{"DOI":"10.1021/pr300967y","ISSN":"15353893","PMID":"23301498","abstract":"The post-translational modification of proteins with N-acetylglucosamine (O-GlcNAc) is involved in the regulation of a wide variety of cellular processes and associated with a number of chronic diseases. Despite its emerging biological significance, the systematic identification of O-GlcNAc proteins is still challenging. In the present study, we demonstrate a significantly improved O-GlcNAc protein enrichment procedure, which exploits metabolic labeling of cells by azide-modified GlcNAc and copper-mediated Click chemistry for purification of modified proteins on an alkyne-resin. On-resin proteolysis using trypsin followed by LC-MS/MS afforded the identification of around 1500 O-GlcNAc proteins from a single cell line. Subsequent elution of covalently resin bound O-GlcNAc peptides using selective β-elimination enabled the identification of 185 O-GlcNAc modification sites on 80 proteins. To demonstrate the practical utility of the developed approach, we studied the global effects of the O-GlcNAcase inhibitor GlcNAcstatin G on the level of O-GlcNAc modification of cellular proteins. About 200 proteins including several key players involved in the hexosamine signaling pathway showed significantly increased O-GlcNAcylation levels in response to the drug, which further strengthens the link of O-GlcNAc protein modification to cellular nutrient sensing and response. © 2013 American Chemical Society.","author":[{"dropping-particle":"","family":"Hahne","given":"Hannes","non-dropping-particle":"","parse-names":false,"suffix":""},{"dropping-particle":"","family":"Sobotzki","given":"Nadine","non-dropping-particle":"","parse-names":false,"suffix":""},{"dropping-particle":"","family":"Nyberg","given":"Tamara","non-dropping-particle":"","parse-names":false,"suffix":""},{"dropping-particle":"","family":"Helm","given":"Dominic","non-dropping-particle":"","parse-names":false,"suffix":""},{"dropping-particle":"","family":"Borodkin","given":"Vladimir S.","non-dropping-particle":"","parse-names":false,"suffix":""},{"dropping-particle":"","family":"Aalten","given":"Daan M.F.","non-dropping-particle":"Van","parse-names":false,"suffix":""},{"dropping-particle":"","family":"Agnew","given":"Brian","non-dropping-particle":"","parse-names":false,"suffix":""},{"dropping-particle":"","family":"Kuster","given":"Bernhard","non-dropping-particle":"","parse-names":false,"suffix":""}],"container-title":"Journal of Proteome Research","id":"ITEM-1","issue":"2","issued":{"date-parts":[["2013","2","1"]]},"page":"927-936","publisher":"J Proteome Res","title":"Proteome wide purification and identification of O-GlcNAc-modified proteins using click chemistry and mass spectrometry","type":"article-journal","volume":"12"},"uris":["http://www.mendeley.com/documents/?uuid=08f3afd3-7307-382b-b056-5872a7d7ace1"]},{"id":"ITEM-2","itemData":{"DOI":"10.1038/s41467-019-11942-y","ISSN":"20411723","PMID":"31492838","abstract":"Unnatural monosaccharides such as azidosugars that can be metabolically incorporated into cellular glycans are currently used as a major tool for glycan imaging and glycoproteomic profiling. As a common practice to enhance membrane permeability and cellular uptake, the unnatural sugars are per-O-acetylated, which, however, can induce a long-overlooked side reaction, non-enzymatic S-glycosylation. Herein, we develop 1,3-di-esterified N-azidoacetylgalactosamine (GalNAz) as next-generation chemical reporters for metabolic glycan labeling. Both 1,3-di-O-acetylated GalNAz (1,3-Ac2GalNAz) and 1,3-di-O-propionylated GalNAz (1,3-Pr2GalNAz) exhibit high efficiency for labeling protein O-GlcNAcylation with no artificial S-glycosylation. Applying 1,3-Pr2GalNAz in mouse embryonic stem cells (mESCs), we identify ESRRB, a critical transcription factor for pluripotency, as an O-GlcNAcylated protein. We show that ESRRB O-GlcNAcylation is important for mESC self-renewal and pluripotency. Mechanistically, ESRRB is O-GlcNAcylated by O-GlcNAc transferase at serine 25, which stabilizes ESRRB, promotes its transcription activity and facilitates its interactions with two master pluripotency regulators, OCT4 and NANOG.","author":[{"dropping-particle":"","family":"Hao","given":"Yi","non-dropping-particle":"","parse-names":false,"suffix":""},{"dropping-particle":"","family":"Fan","given":"Xinqi","non-dropping-particle":"","parse-names":false,"suffix":""},{"dropping-particle":"","family":"Shi","given":"Yujie","non-dropping-particle":"","parse-names":false,"suffix":""},{"dropping-particle":"","family":"Zhang","given":"Che","non-dropping-particle":"","parse-names":false,"suffix":""},{"dropping-particle":"","family":"Sun","given":"De en","non-dropping-particle":"","parse-names":false,"suffix":""},{"dropping-particle":"","family":"Qin","given":"Ke","non-dropping-particle":"","parse-names":false,"suffix":""},{"dropping-particle":"","family":"Qin","given":"Wei","non-dropping-particle":"","parse-names":false,"suffix":""},{"dropping-particle":"","family":"Zhou","given":"Wen","non-dropping-particle":"","parse-names":false,"suffix":""},{"dropping-particle":"","family":"Chen","given":"Xing","non-dropping-particle":"","parse-names":false,"suffix":""}],"container-title":"Nature Communications","id":"ITEM-2","issue":"1","issued":{"date-parts":[["2019","12","1"]]},"publisher":"Nature Publishing Group","title":"Next-generation unnatural monosaccharides reveal that ESRRB O-GlcNAcylation regulates pluripotency of mouse embryonic stem cells","type":"article-journal","volume":"10"},"uris":["http://www.mendeley.com/documents/?uuid=85cf4f54-bd3b-37ea-a3b0-bd02bf95f636"]}],"mendeley":{"formattedCitation":"[45], [61]","plainTextFormattedCitation":"[45], [61]","previouslyFormattedCitation":"[45], [61]"},"properties":{"noteIndex":0},"schema":"https://github.com/citation-style-language/schema/raw/master/csl-citation.json"}</w:instrText>
            </w:r>
            <w:r w:rsidRPr="009C685E">
              <w:fldChar w:fldCharType="separate"/>
            </w:r>
            <w:r w:rsidRPr="009C685E">
              <w:t>[45], [61]</w:t>
            </w:r>
            <w:r w:rsidRPr="009C685E">
              <w:fldChar w:fldCharType="end"/>
            </w:r>
          </w:p>
        </w:tc>
      </w:tr>
      <w:tr w:rsidR="00BF51FE" w:rsidRPr="009C685E" w14:paraId="0B4B8DB1" w14:textId="77777777" w:rsidTr="00DE380F">
        <w:tc>
          <w:tcPr>
            <w:tcW w:w="1507" w:type="dxa"/>
          </w:tcPr>
          <w:p w14:paraId="30835F28" w14:textId="77777777" w:rsidR="00BF51FE" w:rsidRPr="009C685E" w:rsidRDefault="00BF51FE" w:rsidP="00DE380F">
            <w:pPr>
              <w:spacing w:line="360" w:lineRule="auto"/>
              <w:jc w:val="both"/>
            </w:pPr>
            <w:r w:rsidRPr="009C685E">
              <w:t>CUL4A</w:t>
            </w:r>
          </w:p>
        </w:tc>
        <w:tc>
          <w:tcPr>
            <w:tcW w:w="2085" w:type="dxa"/>
          </w:tcPr>
          <w:p w14:paraId="3AE655FA" w14:textId="77777777" w:rsidR="00BF51FE" w:rsidRPr="009C685E" w:rsidRDefault="00BF51FE" w:rsidP="00DE380F">
            <w:pPr>
              <w:spacing w:line="360" w:lineRule="auto"/>
              <w:jc w:val="both"/>
            </w:pPr>
            <w:r w:rsidRPr="009C685E">
              <w:t>Required for the repair of DSBs in spermatocytes</w:t>
            </w:r>
          </w:p>
        </w:tc>
        <w:tc>
          <w:tcPr>
            <w:tcW w:w="1678" w:type="dxa"/>
          </w:tcPr>
          <w:p w14:paraId="317D267F" w14:textId="77777777" w:rsidR="00BF51FE" w:rsidRPr="009C685E" w:rsidRDefault="00BF51FE" w:rsidP="00DE380F">
            <w:pPr>
              <w:spacing w:line="360" w:lineRule="auto"/>
              <w:jc w:val="both"/>
            </w:pPr>
            <w:r w:rsidRPr="009C685E">
              <w:t>T276</w:t>
            </w:r>
          </w:p>
        </w:tc>
        <w:tc>
          <w:tcPr>
            <w:tcW w:w="1404" w:type="dxa"/>
          </w:tcPr>
          <w:p w14:paraId="293AA556" w14:textId="77777777" w:rsidR="00BF51FE" w:rsidRPr="009C685E" w:rsidRDefault="00BF51FE" w:rsidP="00DE380F">
            <w:pPr>
              <w:spacing w:line="360" w:lineRule="auto"/>
              <w:jc w:val="both"/>
            </w:pPr>
            <w:r w:rsidRPr="009C685E">
              <w:t>Mass spectrometry</w:t>
            </w:r>
          </w:p>
        </w:tc>
        <w:tc>
          <w:tcPr>
            <w:tcW w:w="1622" w:type="dxa"/>
          </w:tcPr>
          <w:p w14:paraId="49E5ADDB"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{"citationItems":[{"id":"ITEM-1","itemData":{"DOI":"10.1007/s00216-021-03731-8","ISSN":"16182650","PMID":"34725712","abstract":"O-GlcNAc transferase (OGT) is an essential enzyme that installs O-linked N-acetylglucosamine (O-GlcNAc) to thousands of protein substrates. OGT and its isoforms select from these substrates through the tetratricopeptide repeat (TPR) domain, yet the impact of truncations to the TPR domain on substrate and glycosite selection is unresolved. Here, we report the effects of iterative truncations to the TPR domain of OGT on substrate and glycosite selection with the model protein GFP-JunB and the surrounding O-GlcNAc proteome in U2OS cells. Iterative truncation of the TPR domain of OGT maintains glycosyltransferase activity but alters subcellular localization of OGT in cells. The glycoproteome and glycosites modified by four OGT TPR isoforms were examined on the whole proteome and a single target protein, GFP-JunB. We found the greatest changes in O-GlcNAc on proteins associated with mRNA splicing processes and that the first four TPRs of the canonical nucleocytoplasmic OGT had the broadest substrate scope. Subsequent glycosite analysis revealed that alteration to the last four TPRs corresponded to the greatest shift in the resulting O-GlcNAc consensus sequence. This dataset provides a foundation to analyze how perturbations to the TPR domain and expression of OGT isoforms affect the glycosylation of substrates, which will be critical for future efforts in protein engineering of OGT, the biology of OGT isoforms, and diseases associated with the TPR domain of OGT. Graphical abstract: [Figure not available: see fulltext.]","author":[{"dropping-particle":"","family":"Ramirez","given":"Daniel H.","non-dropping-particle":"","parse-names":false,"suffix":""},{"dropping-particle":"","family":"Yang","given":"Bo","non-dropping-particle":"","parse-names":false,"suffix":""},{"dropping-particle":"","family":"D’Souza","given":"Alexandria K.","non-dropping-particle":"","parse-names":false,"suffix":""},{"dropping-particle":"","family":"Shen","given":"Dacheng","non-dropping-particle":"","parse-names":false,"suffix":""},{"dropping-particle":"","family":"Woo","given":"Christina M.","non-dropping-particle":"","parse-names":false,"suffix":""}],"container-title":"Analytical and Bioanalytical Chemistry","id":"ITEM-1","issue":"30","issued":{"date-parts":[["2021","12","1"]]},"page":"7385-7399","publisher":"Springer Science and Business Media Deutschland GmbH","title":"Truncation of the TPR domain of OGT alters substrate and glycosite selection","type":"article-journal","volume":"413"},"uris":["http://www.mendeley.com/documents/?uuid=09959890-0405-3dd6-a07b-f15203f12f83"]}],"mendeley":{"formattedCitation":"[62]","plainTextFormattedCitation":"[62]","previouslyFormattedCitation":"[62]"},"properties":{"noteIndex":0},"schema":"https://github.com/citation-style-language/schema/raw/master/csl-citation.json"}</w:instrText>
            </w:r>
            <w:r w:rsidRPr="009C685E">
              <w:fldChar w:fldCharType="separate"/>
            </w:r>
            <w:r w:rsidRPr="009C685E">
              <w:t>[62]</w:t>
            </w:r>
            <w:r w:rsidRPr="009C685E">
              <w:fldChar w:fldCharType="end"/>
            </w:r>
          </w:p>
        </w:tc>
      </w:tr>
      <w:tr w:rsidR="00BF51FE" w:rsidRPr="009C685E" w14:paraId="541D3990" w14:textId="77777777" w:rsidTr="00DE380F">
        <w:tc>
          <w:tcPr>
            <w:tcW w:w="1507" w:type="dxa"/>
          </w:tcPr>
          <w:p w14:paraId="6C877EB0" w14:textId="77777777" w:rsidR="00BF51FE" w:rsidRPr="009C685E" w:rsidRDefault="00BF51FE" w:rsidP="00DE380F">
            <w:pPr>
              <w:spacing w:line="360" w:lineRule="auto"/>
              <w:jc w:val="both"/>
            </w:pPr>
            <w:r w:rsidRPr="009C685E">
              <w:t>EXO1</w:t>
            </w:r>
          </w:p>
        </w:tc>
        <w:tc>
          <w:tcPr>
            <w:tcW w:w="2085" w:type="dxa"/>
          </w:tcPr>
          <w:p w14:paraId="25141967" w14:textId="77777777" w:rsidR="00BF51FE" w:rsidRPr="009C685E" w:rsidRDefault="00BF51FE" w:rsidP="00DE380F">
            <w:pPr>
              <w:spacing w:line="360" w:lineRule="auto"/>
              <w:jc w:val="both"/>
            </w:pPr>
            <w:r w:rsidRPr="009C685E">
              <w:t xml:space="preserve">Involved in </w:t>
            </w:r>
            <w:proofErr w:type="spellStart"/>
            <w:r w:rsidRPr="009C685E">
              <w:t>resectioning</w:t>
            </w:r>
            <w:proofErr w:type="spellEnd"/>
            <w:r w:rsidRPr="009C685E">
              <w:t xml:space="preserve"> of DSBs</w:t>
            </w:r>
          </w:p>
        </w:tc>
        <w:tc>
          <w:tcPr>
            <w:tcW w:w="1678" w:type="dxa"/>
          </w:tcPr>
          <w:p w14:paraId="0F1F5AD0" w14:textId="77777777" w:rsidR="00BF51FE" w:rsidRPr="009C685E" w:rsidRDefault="00BF51FE" w:rsidP="00DE380F">
            <w:pPr>
              <w:spacing w:line="360" w:lineRule="auto"/>
              <w:jc w:val="both"/>
            </w:pPr>
            <w:r w:rsidRPr="009C685E">
              <w:t>S725, T732</w:t>
            </w:r>
          </w:p>
        </w:tc>
        <w:tc>
          <w:tcPr>
            <w:tcW w:w="1404" w:type="dxa"/>
          </w:tcPr>
          <w:p w14:paraId="40EBA199" w14:textId="77777777" w:rsidR="00BF51FE" w:rsidRPr="009C685E" w:rsidRDefault="00BF51FE" w:rsidP="00DE380F">
            <w:pPr>
              <w:spacing w:line="360" w:lineRule="auto"/>
              <w:jc w:val="both"/>
            </w:pPr>
            <w:r w:rsidRPr="009C685E">
              <w:t>Mass spectrometry</w:t>
            </w:r>
          </w:p>
        </w:tc>
        <w:tc>
          <w:tcPr>
            <w:tcW w:w="1622" w:type="dxa"/>
          </w:tcPr>
          <w:p w14:paraId="2AA341BA"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{"citationItems":[{"id":"ITEM-1","itemData":{"DOI":"10.1021/acschembio.8b01052","ISSN":"15548937","PMID":"30620550","abstract":"O-linked N-acetylglucosamine (O-GlcNAc) is a ubiquitous post-translational modification of proteins and is essential for cell function. Quantifying the dynamics of O-GlcNAcylation in a proteome-wide level is critical for uncovering cellular mechanisms and functional roles of O-GlcNAcylation in cells. Here, we develop an isotope-coded photocleavable probe for profiling protein O-GlcNAcylation dynamics using quantitative mass spectrometry-based proteomics. This probe enables selective tagging and isotopic labeling of O-GlcNAcylated proteins in one step from complex cellular mixtures. We demonstrate the application of the probe to quantitatively profile O-GlcNAcylation sites in 293T cells upon chemical induction of O-GlcNAc levels. We further applied the probe to quantitatively analyze the stoichiometry of O-GlcNAcylation between sorafenib-sensitive and sorafenib-resistant liver cancer cells, which lays the foundation for mechanistic investigation of O-GlcNAcylation in regulating cancer chemoresistance. Thus, this probe provides a powerful tool to profile O-GlcNAcylation dynamics in cells.","author":[{"dropping-particle":"","family":"Li","given":"Jingchao","non-dropping-particle":"","parse-names":false,"suffix":""},{"dropping-particle":"","family":"Li","given":"Zhonghua","non-dropping-particle":"","parse-names":false,"suffix":""},{"dropping-particle":"","family":"Duan","given":"Xiaotao","non-dropping-particle":"","parse-names":false,"suffix":""},{"dropping-particle":"","family":"Qin","given":"Ke","non-dropping-particle":"","parse-names":false,"suffix":""},{"dropping-particle":"","family":"Dang","given":"Liuyi","non-dropping-particle":"","parse-names":false,"suffix":""},{"dropping-particle":"","family":"Sun","given":"Shisheng","non-dropping-particle":"","parse-names":false,"suffix":""},{"dropping-particle":"","family":"Cai","given":"Li","non-dropping-particle":"","parse-names":false,"suffix":""},{"dropping-particle":"","family":"Hsieh-Wilson","given":"Linda C.","non-dropping-particle":"","parse-names":false,"suffix":""},{"dropping-particle":"","family":"Wu","given":"Liming","non-dropping-particle":"","parse-names":false,"suffix":""},{"dropping-particle":"","family":"Yi","given":"Wen","non-dropping-particle":"","parse-names":false,"suffix":""}],"container-title":"ACS Chemical Biology","id":"ITEM-1","issue":"1","issued":{"date-parts":[["2019","1","18"]]},"page":"4-10","publisher":"American Chemical Society","title":"An Isotope-Coded Photocleavable Probe for Quantitative Profiling of Protein O-GlcNAcylation","type":"article-journal","volume":"14"},"uris":["http://www.mendeley.com/documents/?uuid=2442111b-5c78-38f6-b90b-7e60debef124"]}],"mendeley":{"formattedCitation":"[63]","plainTextFormattedCitation":"[63]","previouslyFormattedCitation":"[63]"},"properties":{"noteIndex":0},"schema":"https://github.com/citation-style-language/schema/raw/master/csl-citation.json"}</w:instrText>
            </w:r>
            <w:r w:rsidRPr="009C685E">
              <w:fldChar w:fldCharType="separate"/>
            </w:r>
            <w:r w:rsidRPr="009C685E">
              <w:t>[63]</w:t>
            </w:r>
            <w:r w:rsidRPr="009C685E">
              <w:fldChar w:fldCharType="end"/>
            </w:r>
          </w:p>
        </w:tc>
      </w:tr>
      <w:tr w:rsidR="00BF51FE" w:rsidRPr="009C685E" w14:paraId="640D381D" w14:textId="77777777" w:rsidTr="00DE380F">
        <w:tc>
          <w:tcPr>
            <w:tcW w:w="1507" w:type="dxa"/>
          </w:tcPr>
          <w:p w14:paraId="00361D9C" w14:textId="77777777" w:rsidR="00BF51FE" w:rsidRPr="009C685E" w:rsidRDefault="00BF51FE" w:rsidP="00DE380F">
            <w:pPr>
              <w:spacing w:line="360" w:lineRule="auto"/>
              <w:jc w:val="both"/>
            </w:pPr>
            <w:r w:rsidRPr="009C685E">
              <w:t>GEN1</w:t>
            </w:r>
          </w:p>
        </w:tc>
        <w:tc>
          <w:tcPr>
            <w:tcW w:w="2085" w:type="dxa"/>
          </w:tcPr>
          <w:p w14:paraId="371AAA69" w14:textId="77777777" w:rsidR="00BF51FE" w:rsidRPr="009C685E" w:rsidRDefault="00BF51FE" w:rsidP="00DE380F">
            <w:pPr>
              <w:spacing w:line="360" w:lineRule="auto"/>
              <w:jc w:val="both"/>
            </w:pPr>
            <w:r w:rsidRPr="009C685E">
              <w:t xml:space="preserve">Resolvase </w:t>
            </w:r>
            <w:proofErr w:type="spellStart"/>
            <w:r w:rsidRPr="009C685E">
              <w:t>acitivty</w:t>
            </w:r>
            <w:proofErr w:type="spellEnd"/>
          </w:p>
        </w:tc>
        <w:tc>
          <w:tcPr>
            <w:tcW w:w="1678" w:type="dxa"/>
          </w:tcPr>
          <w:p w14:paraId="15085597" w14:textId="77777777" w:rsidR="00BF51FE" w:rsidRPr="009C685E" w:rsidRDefault="00BF51FE" w:rsidP="00DE380F">
            <w:pPr>
              <w:spacing w:line="360" w:lineRule="auto"/>
              <w:jc w:val="both"/>
            </w:pPr>
            <w:r w:rsidRPr="009C685E">
              <w:t>S753, S757, S759, S794</w:t>
            </w:r>
          </w:p>
        </w:tc>
        <w:tc>
          <w:tcPr>
            <w:tcW w:w="1404" w:type="dxa"/>
          </w:tcPr>
          <w:p w14:paraId="7BC842BD" w14:textId="77777777" w:rsidR="00BF51FE" w:rsidRPr="009C685E" w:rsidRDefault="00BF51FE" w:rsidP="00DE380F">
            <w:pPr>
              <w:spacing w:line="360" w:lineRule="auto"/>
              <w:jc w:val="both"/>
            </w:pPr>
            <w:r w:rsidRPr="009C685E">
              <w:t>Mass spectrometry</w:t>
            </w:r>
          </w:p>
        </w:tc>
        <w:tc>
          <w:tcPr>
            <w:tcW w:w="1622" w:type="dxa"/>
          </w:tcPr>
          <w:p w14:paraId="4CB55867" w14:textId="77777777" w:rsidR="00BF51FE" w:rsidRPr="009C685E" w:rsidRDefault="00BF51FE" w:rsidP="00DE380F">
            <w:pPr>
              <w:spacing w:line="360" w:lineRule="auto"/>
              <w:jc w:val="both"/>
            </w:pPr>
            <w:r w:rsidRPr="009C685E">
              <w:fldChar w:fldCharType="begin" w:fldLock="1"/>
            </w:r>
            <w:r w:rsidRPr="009C685E">
              <w:instrText xml:space="preserve">ADDIN CSL_CITATION {"citationItems":[{"id":"ITEM-1","itemData":{"DOI":"10.1021/acschembio.1c00981","ISSN":"15548937","PMID":"35254053","abstract":"O-linked-β-N-acetylglucosamine (O-GlcNAc) glycosylation is a ubiquitous protein post-translational modification of the emerging importance in metazoans. Of the thousands of O-GlcNAcylated proteins identified, many carry multiple modification sites with varied stoichiometry. To better match the scale of O-GlcNAc sites and their dynamic nature, we herein report an optimized strategy, termed isotopic photocleavable tagging for O-GlcNAc profiling (isoPTOP), which enables quantitative and site-specific profiling of O-GlcNAcylation with excellent specificity and sensitivity. In HeLa cells, </w:instrText>
            </w:r>
            <w:r w:rsidRPr="009C685E">
              <w:rPr>
                <w:rFonts w:ascii="Cambria Math" w:hAnsi="Cambria Math" w:cs="Cambria Math"/>
              </w:rPr>
              <w:instrText>∼</w:instrText>
            </w:r>
            <w:r w:rsidRPr="009C685E">
              <w:instrText xml:space="preserve">1500 O-GlcNAcylation sites were identified with the optimized procedures, which led to quantification of </w:instrText>
            </w:r>
            <w:r w:rsidRPr="009C685E">
              <w:rPr>
                <w:rFonts w:ascii="Cambria Math" w:hAnsi="Cambria Math" w:cs="Cambria Math"/>
              </w:rPr>
              <w:instrText>∼</w:instrText>
            </w:r>
            <w:r w:rsidRPr="009C685E">
              <w:instrText>1000 O-GlcNAcylation sites with isoPTOP. Furthermore, we apply isoPTOP to probe the O-GlcNAcylation dynamics in a pair of colorectal cancer (CRC) cell lines, SW480 and SW620 cells, which represent primary carcinoma and metastatic cells, representatively. The stoichiometric differences of 625 O-GlcNAcylation sites are quantified. Of these quantified sites, many occur on important regulators involved in tumor progression and metastasis. Our results provide a valuable database for understanding the functional role of O-GlcNAc in CRC. IsoPTOP should be applicable for investigating O-GlcNAcylation dynamics in various pathophysiological processes.","author":[{"dropping-particle":"","family":"Liu","given":"Jialin","non-dropping-particle":"","parse-names":false,"suffix":""},{"dropping-particle":"","family":"Hao","given":"Yi","non-dropping-particle":"","parse-names":false,"suffix":""},{"dropping-particle":"","family":"Wang","given":"Chunting","non-dropping-particle":"","parse-names":false,"suffix":""},{"dropping-particle":"","family":"Jin","given":"Yangya'Nan","non-dropping-particle":"","parse-names":false,"suffix":""},{"dropping-particle":"","family":"Yang","given":"Yong","non-dropping-particle":"","parse-names":false,"suffix":""},{"dropping-particle":"","family":"Gu","given":"Jin","non-dropping-particle":"","parse-names":false,"suffix":""},{"dropping-particle":"","family":"Chen","given":"Xing","non-dropping-particle":"","parse-names":false,"suffix":""}],"container-title":"ACS Chemical Biology","id":"ITEM-1","issue":"3","issued":{"date-parts":[["2022","3","18"]]},"page":"513-520","publisher":"American Chemical Society","title":"An Optimized Isotopic Photocleavable Tagging Strategy for Site-Specific and Quantitative Profiling of Protein O-GlcNAcylation in Colorectal Cancer Metastasis","type":"article-journal","volume":"17"},"uris":["http://www.mendeley.com/documents/?uuid=b5c76ef3-9833-3790-9e88-405e9d189efd"]}],"mendeley":{"formattedCitation":"[47]","plainTextFormattedCitation":"[47]","previouslyFormattedCitation":"[47]"},"properties":{"noteIndex":0},"schema":"https://github.com/citation-style-language/schema/raw/master/csl-citation.json"}</w:instrText>
            </w:r>
            <w:r w:rsidRPr="009C685E">
              <w:fldChar w:fldCharType="separate"/>
            </w:r>
            <w:r w:rsidRPr="009C685E">
              <w:t>[47]</w:t>
            </w:r>
            <w:r w:rsidRPr="009C685E">
              <w:fldChar w:fldCharType="end"/>
            </w:r>
          </w:p>
        </w:tc>
      </w:tr>
      <w:tr w:rsidR="00BF51FE" w:rsidRPr="009C685E" w14:paraId="0D8D54CC" w14:textId="77777777" w:rsidTr="00DE380F">
        <w:tc>
          <w:tcPr>
            <w:tcW w:w="1507" w:type="dxa"/>
          </w:tcPr>
          <w:p w14:paraId="6A2EA26D" w14:textId="77777777" w:rsidR="00BF51FE" w:rsidRPr="009C685E" w:rsidRDefault="00BF51FE" w:rsidP="00DE380F">
            <w:pPr>
              <w:spacing w:line="360" w:lineRule="auto"/>
              <w:jc w:val="both"/>
            </w:pPr>
            <w:r w:rsidRPr="009C685E">
              <w:t>HEI10</w:t>
            </w:r>
          </w:p>
        </w:tc>
        <w:tc>
          <w:tcPr>
            <w:tcW w:w="2085" w:type="dxa"/>
          </w:tcPr>
          <w:p w14:paraId="1A1A0D09" w14:textId="77777777" w:rsidR="00BF51FE" w:rsidRPr="009C685E" w:rsidRDefault="00BF51FE" w:rsidP="00DE380F">
            <w:pPr>
              <w:spacing w:line="360" w:lineRule="auto"/>
              <w:jc w:val="both"/>
            </w:pPr>
            <w:r w:rsidRPr="009C685E">
              <w:t>Promotes RNF212 and/or MSH4-MSH5 turnover from chromosomes</w:t>
            </w:r>
          </w:p>
        </w:tc>
        <w:tc>
          <w:tcPr>
            <w:tcW w:w="1678" w:type="dxa"/>
          </w:tcPr>
          <w:p w14:paraId="7472D926" w14:textId="77777777" w:rsidR="00BF51FE" w:rsidRPr="009C685E" w:rsidRDefault="00BF51FE" w:rsidP="00DE380F">
            <w:pPr>
              <w:spacing w:line="360" w:lineRule="auto"/>
              <w:jc w:val="both"/>
            </w:pPr>
          </w:p>
        </w:tc>
        <w:tc>
          <w:tcPr>
            <w:tcW w:w="1404" w:type="dxa"/>
          </w:tcPr>
          <w:p w14:paraId="7501808F" w14:textId="77777777" w:rsidR="00BF51FE" w:rsidRPr="009C685E" w:rsidRDefault="00BF51FE" w:rsidP="00DE380F">
            <w:pPr>
              <w:spacing w:line="360" w:lineRule="auto"/>
              <w:jc w:val="both"/>
            </w:pPr>
            <w:r w:rsidRPr="009C685E">
              <w:t>Mass spectrometry</w:t>
            </w:r>
          </w:p>
        </w:tc>
        <w:tc>
          <w:tcPr>
            <w:tcW w:w="1622" w:type="dxa"/>
          </w:tcPr>
          <w:p w14:paraId="55ADF498"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{"citationItems":[{"id":"ITEM-1","itemData":{"DOI":"10.1021/jacs.7b13546","ISSN":"15205126","PMID":"29485866","abstract":"The essential mammalian enzyme O-GlcNAc Transferase (OGT) is uniquely responsible for transferring N-acetylglucosamine to over a thousand nuclear and cytoplasmic proteins, yet there is no known consensus sequence and it remains unclear how OGT recognizes its substrates. To address this question, we developed a protein microarray assay that chemoenzymatically labels de novo sites of glycosylation with biotin, allowing us to simultaneously assess OGT activity across &gt;6000 human proteins. With this assay we examined the contribution to substrate selection of a conserved asparagine ladder within the lumen of OGT's superhelical tetratricopeptide repeat (TPR) domain. When five asparagines were mutated, OGT retained significant activity against short peptides, but showed limited limited glycosylation of protein substrates on the microarray. O-GlcNAcylation of protein substrates in cell extracts was also greatly attenuated. We conclude that OGT recognizes the majority of its substrates by binding them to the asparagine ladder in the TPR lumen proximal to the catalytic domain.","author":[{"dropping-particle":"","family":"Levine","given":"Zebulon G.","non-dropping-particle":"","parse-names":false,"suffix":""},{"dropping-particle":"","family":"Fan","given":"Chenguang","non-dropping-particle":"","parse-names":false,"suffix":""},{"dropping-particle":"","family":"Melicher","given":"Michael S.","non-dropping-particle":"","parse-names":false,"suffix":""},{"dropping-particle":"","family":"Orman","given":"Marina","non-dropping-particle":"","parse-names":false,"suffix":""},{"dropping-particle":"","family":"Benjamin","given":"Tania","non-dropping-particle":"","parse-names":false,"suffix":""},{"dropping-particle":"","family":"Walker","given":"Suzanne","non-dropping-particle":"","parse-names":false,"suffix":""}],"container-title":"Journal of the American Chemical Society","id":"ITEM-1","issue":"10","issued":{"date-parts":[["2018","3","14"]]},"page":"3510-3513","publisher":"American Chemical Society","title":"O -GlcNAc Transferase Recognizes Protein Substrates Using an Asparagine Ladder in the Tetratricopeptide Repeat (TPR) Superhelix","type":"article-journal","volume":"140"},"uris":["http://www.mendeley.com/documents/?uuid=b5ceda1f-f725-3ba7-8783-f21a12c2184b"]}],"mendeley":{"formattedCitation":"[52]","plainTextFormattedCitation":"[52]","previouslyFormattedCitation":"[52]"},"properties":{"noteIndex":0},"schema":"https://github.com/citation-style-language/schema/raw/master/csl-citation.json"}</w:instrText>
            </w:r>
            <w:r w:rsidRPr="009C685E">
              <w:fldChar w:fldCharType="separate"/>
            </w:r>
            <w:r w:rsidRPr="009C685E">
              <w:t>[52]</w:t>
            </w:r>
            <w:r w:rsidRPr="009C685E">
              <w:fldChar w:fldCharType="end"/>
            </w:r>
          </w:p>
        </w:tc>
      </w:tr>
      <w:tr w:rsidR="00BF51FE" w:rsidRPr="009C685E" w14:paraId="4332B264" w14:textId="77777777" w:rsidTr="00DE380F">
        <w:tc>
          <w:tcPr>
            <w:tcW w:w="1507" w:type="dxa"/>
          </w:tcPr>
          <w:p w14:paraId="01FAC6F7" w14:textId="77777777" w:rsidR="00BF51FE" w:rsidRPr="009C685E" w:rsidRDefault="00BF51FE" w:rsidP="00DE380F">
            <w:pPr>
              <w:spacing w:line="360" w:lineRule="auto"/>
              <w:jc w:val="both"/>
            </w:pPr>
            <w:r w:rsidRPr="009C685E">
              <w:t>HFM1</w:t>
            </w:r>
          </w:p>
        </w:tc>
        <w:tc>
          <w:tcPr>
            <w:tcW w:w="2085" w:type="dxa"/>
          </w:tcPr>
          <w:p w14:paraId="0CAFB5B2" w14:textId="77777777" w:rsidR="00BF51FE" w:rsidRPr="009C685E" w:rsidRDefault="00BF51FE" w:rsidP="00DE380F">
            <w:pPr>
              <w:spacing w:line="360" w:lineRule="auto"/>
              <w:jc w:val="both"/>
            </w:pPr>
            <w:r w:rsidRPr="009C685E">
              <w:t>Required for normal numbers of crossovers</w:t>
            </w:r>
          </w:p>
        </w:tc>
        <w:tc>
          <w:tcPr>
            <w:tcW w:w="1678" w:type="dxa"/>
          </w:tcPr>
          <w:p w14:paraId="4BDA177A" w14:textId="77777777" w:rsidR="00BF51FE" w:rsidRPr="009C685E" w:rsidRDefault="00BF51FE" w:rsidP="00DE380F">
            <w:pPr>
              <w:spacing w:line="360" w:lineRule="auto"/>
              <w:jc w:val="both"/>
            </w:pPr>
          </w:p>
        </w:tc>
        <w:tc>
          <w:tcPr>
            <w:tcW w:w="1404" w:type="dxa"/>
          </w:tcPr>
          <w:p w14:paraId="08C37B6E" w14:textId="77777777" w:rsidR="00BF51FE" w:rsidRPr="009C685E" w:rsidRDefault="00BF51FE" w:rsidP="00DE380F">
            <w:pPr>
              <w:spacing w:line="360" w:lineRule="auto"/>
              <w:jc w:val="both"/>
            </w:pPr>
            <w:r w:rsidRPr="009C685E">
              <w:t>Mass spectrometry</w:t>
            </w:r>
          </w:p>
        </w:tc>
        <w:tc>
          <w:tcPr>
            <w:tcW w:w="1622" w:type="dxa"/>
          </w:tcPr>
          <w:p w14:paraId="4E62E687"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1D4DF04A" w14:textId="77777777" w:rsidTr="00DE380F">
        <w:tc>
          <w:tcPr>
            <w:tcW w:w="1507" w:type="dxa"/>
          </w:tcPr>
          <w:p w14:paraId="0AF28F02" w14:textId="77777777" w:rsidR="00BF51FE" w:rsidRPr="009C685E" w:rsidRDefault="00BF51FE" w:rsidP="00DE380F">
            <w:pPr>
              <w:spacing w:line="360" w:lineRule="auto"/>
              <w:jc w:val="both"/>
            </w:pPr>
            <w:r w:rsidRPr="009C685E">
              <w:t>MLH1</w:t>
            </w:r>
          </w:p>
        </w:tc>
        <w:tc>
          <w:tcPr>
            <w:tcW w:w="2085" w:type="dxa"/>
          </w:tcPr>
          <w:p w14:paraId="1664E9B0" w14:textId="77777777" w:rsidR="00BF51FE" w:rsidRPr="009C685E" w:rsidRDefault="00BF51FE" w:rsidP="00DE380F">
            <w:pPr>
              <w:spacing w:line="360" w:lineRule="auto"/>
              <w:jc w:val="both"/>
            </w:pPr>
            <w:r w:rsidRPr="009C685E">
              <w:t>Resolvase activity; cleaves DNA with Holiday junctions to achieve resolution and form class I crossovers</w:t>
            </w:r>
          </w:p>
        </w:tc>
        <w:tc>
          <w:tcPr>
            <w:tcW w:w="1678" w:type="dxa"/>
          </w:tcPr>
          <w:p w14:paraId="3865D3FD" w14:textId="77777777" w:rsidR="00BF51FE" w:rsidRPr="009C685E" w:rsidRDefault="00BF51FE" w:rsidP="00DE380F">
            <w:pPr>
              <w:spacing w:line="360" w:lineRule="auto"/>
              <w:jc w:val="both"/>
            </w:pPr>
            <w:r w:rsidRPr="009C685E">
              <w:t>T363</w:t>
            </w:r>
          </w:p>
        </w:tc>
        <w:tc>
          <w:tcPr>
            <w:tcW w:w="1404" w:type="dxa"/>
          </w:tcPr>
          <w:p w14:paraId="35825C97" w14:textId="77777777" w:rsidR="00BF51FE" w:rsidRPr="009C685E" w:rsidRDefault="00BF51FE" w:rsidP="00DE380F">
            <w:pPr>
              <w:spacing w:line="360" w:lineRule="auto"/>
              <w:jc w:val="both"/>
            </w:pPr>
            <w:r w:rsidRPr="009C685E">
              <w:t>Mass spectrometry</w:t>
            </w:r>
          </w:p>
        </w:tc>
        <w:tc>
          <w:tcPr>
            <w:tcW w:w="1622" w:type="dxa"/>
          </w:tcPr>
          <w:p w14:paraId="6526D1DD"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{"citationItems":[{"id":"ITEM-1","itemData":{"DOI":"10.1021/acs.analchem.0c01284","ISSN":"15206882","abstract":"O-GlcNAcylation has gradually been recognized as a critically important protein post-translational modification in mammalian cells. Besides regulation of gene expression, its crosstalk with protein phosphorylation is vital for cell signaling. Despite its importance, comprehensive analysis of O-GlcNAcylation is extraordinarily challenging due to the low abundances of many O-GlcNAcylated proteins and the complexity of biological samples. Here, we developed a novel chemoenzymatic method based on a wild-type galactosyltransferase and uridine diphosphate galactose (UDP-Gal) for global and site-specific analysis of protein O-GlcNAcylation. This method integrates enzymatic reactions and hydrazide chemistry to enrich O-GlcNAcylated peptides. All reagents used are more easily accessible and cost-effective as compared to the engineered enzyme and click chemistry reagents. Biological triplicate experiments were performed to validate the effectiveness and the reproducibility of this method, and the results are comparable with the previous chemoenzymatic method using the engineered enzyme and click chemistry. Moreover, because of the promiscuity of the galactosyltransferase, 18 unique O-glucosylated peptides were identified on the EGF domain from nine proteins. Considering that effective and approachable methods are critical to advance glycoscience research, the current method without any sample restrictions can be widely applied for global analysis of protein O-GlcNAcylation in different samples.","author":[{"dropping-particle":"","family":"Xu","given":"Senhan","non-dropping-particle":"","parse-names":false,"suffix":""},{"dropping-particle":"","family":"Sun","given":"Fangxu","non-dropping-particle":"","parse-names":false,"suffix":""},{"dropping-particle":"","family":"Wu","given":"Ronghu","non-dropping-particle":"","parse-names":false,"suffix":""}],"container-title":"Analytical Chemistry","id":"ITEM-1","issue":"14","issued":{"date-parts":[["2020","7","21"]]},"page":"9807-9814","publisher":"American Chemical Society","title":"A Chemoenzymatic Method Based on Easily Accessible Enzymes for Profiling Protein O-GlcNAcylation","type":"article-journal","volume":"92"},"uris":["http://www.mendeley.com/documents/?uuid=ae2e55d9-df44-3514-b62c-37775b916b10"]},{"id":"ITEM-2","itemData":{"DOI":"10.1016/j.talanta.2017.03.049","ISSN":"00399140","PMID":"28411811","abstract":"O-GlcNAcylation is a kind of dynamic O-linked glycosylation of nucleocytoplasmic and mitochondrial proteins. It serves as a major nutrient sensor to regulate numerous biological processes including transcriptional regulation, cell metabolism, cellular signaling, and protein degradation. Dysregulation of cellular O-GlcNAcylated levels contributes to the etiologies of many diseases such as diabetes, neurodegenerative disease and cancer. However, deeper insight into the biological mechanism of O-GlcNAcylation is hampered by its extremely low stoichiometry and the lack of efficient enrichment approaches for large-scale identification by mass spectrometry. Herein, we developed a novel strategy for the global identification of O-GlcNAc proteins and peptides using selective enzymatic deglycosylation, HILIC enrichment and mass spectrometry analysis. Standard O-GlcNAc peptides can be efficiently enriched even in the presence of 500-fold more abundant non-O-GlcNAc peptides and identified by mass spectrometry with a low nanogram detection sensitivity. This strategy successfully achieved the first large-scale enrichment and characterization of O-GlcNAc proteins and peptides in human urine. A total of 474 O-GlcNAc peptides corresponding to 457 O-GlcNAc proteins were identified by mass spectrometry analysis, which is at least three times more than that obtained by commonly used enrichment methods. A large number of unreported O-GlcNAc proteins related to cell cycle, biological regulation, metabolic and developmental process were found in our data. The above results demonstrated that this novel strategy is highly efficient in the global enrichment and identification of O-GlcNAc peptides. These data provide new insights into the biological function of O-GlcNAcylation in human urine, which is correlated with the physiological states and pathological changes of human body and therefore indicate the potential of this strategy for biomarker discovery from human urine.","author":[{"dropping-particle":"","family":"Shen","given":"Bingquan","non-dropping-particle":"","parse-names":false,"suffix":""},{"dropping-particle":"","family":"Zhang","given":"Wanjun","non-dropping-particle":"","parse-names":false,"suffix":""},{"dropping-particle":"","family":"Shi","given":"Zhaomei","non-dropping-particle":"","parse-names":false,"suffix":""},{"dropping-particle":"","family":"Tian","given":"Fang","non-dropping-particle":"","parse-names":false,"suffix":""},{"dropping-particle":"","family":"Deng","given":"Yulin","non-dropping-particle":"","parse-names":false,"suffix":""},{"dropping-particle":"","family":"Sun","given":"Changqing","non-dropping-particle":"","parse-names":false,"suffix":""},{"dropping-particle":"","family":"Wang","given":"Guangshun","non-dropping-particle":"","parse-names":false,"suffix":""},{"dropping-particle":"","family":"Qin","given":"Weijie","non-dropping-particle":"","parse-names":false,"suffix":""},{"dropping-particle":"","family":"Qian","given":"Xiaohong","non-dropping-particle":"","parse-names":false,"suffix":""}],"container-title":"Talanta","id":"ITEM-2","issued":{"date-parts":[["2017","7","1"]]},"page":"195-202","publisher":"Elsevier B.V.","title":"A novel strategy for global mapping of O-GlcNAc proteins and peptides using selective enzymatic deglycosylation, HILIC enrichment and mass spectrometry identification","type":"article-journal","volume":"169"},"uris":["http://www.mendeley.com/documents/?uuid=aff461bc-e6de-3ca9-83a9-0f5eaa659eac"]},{"id":"ITEM-3","itemData":{"DOI":"10.1039/c8cc08416e","ISSN":"1364548X","PMID":"30379171","abstract":"We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Communications","id":"ITEM-3","issue":"98","issued":{"date-parts":[["2018"]]},"page":"13790-13793","publisher":"Royal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 [40], [64]","plainTextFormattedCitation":"[39], [40], [64]","previouslyFormattedCitation":"[39], [40], [64]"},"properties":{"noteIndex":0},"schema":"https://github.com/citation-style-language/schema/raw/master/csl-citation.json"}</w:instrText>
            </w:r>
            <w:r w:rsidRPr="009C685E">
              <w:fldChar w:fldCharType="separate"/>
            </w:r>
            <w:r w:rsidRPr="009C685E">
              <w:t>[39], [40], [64]</w:t>
            </w:r>
            <w:r w:rsidRPr="009C685E">
              <w:fldChar w:fldCharType="end"/>
            </w:r>
          </w:p>
        </w:tc>
      </w:tr>
      <w:tr w:rsidR="00BF51FE" w:rsidRPr="009C685E" w14:paraId="7F4C3F75" w14:textId="77777777" w:rsidTr="00DE380F">
        <w:tc>
          <w:tcPr>
            <w:tcW w:w="1507" w:type="dxa"/>
          </w:tcPr>
          <w:p w14:paraId="52081B07" w14:textId="77777777" w:rsidR="00BF51FE" w:rsidRPr="009C685E" w:rsidRDefault="00BF51FE" w:rsidP="00DE380F">
            <w:pPr>
              <w:spacing w:line="360" w:lineRule="auto"/>
              <w:jc w:val="both"/>
            </w:pPr>
            <w:r w:rsidRPr="009C685E">
              <w:t>MRE11</w:t>
            </w:r>
          </w:p>
        </w:tc>
        <w:tc>
          <w:tcPr>
            <w:tcW w:w="2085" w:type="dxa"/>
          </w:tcPr>
          <w:p w14:paraId="1C01B4B6" w14:textId="77777777" w:rsidR="00BF51FE" w:rsidRPr="009C685E" w:rsidRDefault="00BF51FE" w:rsidP="00DE380F">
            <w:pPr>
              <w:spacing w:line="360" w:lineRule="auto"/>
              <w:jc w:val="both"/>
            </w:pPr>
            <w:r w:rsidRPr="009C685E">
              <w:t>Required for formation of ssDNA. Forms complex with RAD50 and NBS1. Required for the removal of the SPO11-oligo</w:t>
            </w:r>
          </w:p>
        </w:tc>
        <w:tc>
          <w:tcPr>
            <w:tcW w:w="1678" w:type="dxa"/>
          </w:tcPr>
          <w:p w14:paraId="087E6371" w14:textId="77777777" w:rsidR="00BF51FE" w:rsidRPr="009C685E" w:rsidRDefault="00BF51FE" w:rsidP="00DE380F">
            <w:pPr>
              <w:spacing w:line="360" w:lineRule="auto"/>
              <w:jc w:val="both"/>
            </w:pPr>
            <w:r w:rsidRPr="009C685E">
              <w:t>S605, S667, S668</w:t>
            </w:r>
          </w:p>
        </w:tc>
        <w:tc>
          <w:tcPr>
            <w:tcW w:w="1404" w:type="dxa"/>
          </w:tcPr>
          <w:p w14:paraId="73B997CD" w14:textId="77777777" w:rsidR="00BF51FE" w:rsidRPr="009C685E" w:rsidRDefault="00BF51FE" w:rsidP="00DE380F">
            <w:pPr>
              <w:spacing w:line="360" w:lineRule="auto"/>
              <w:jc w:val="both"/>
            </w:pPr>
            <w:r w:rsidRPr="009C685E">
              <w:t>Mass spectrometry and experimental validation</w:t>
            </w:r>
          </w:p>
        </w:tc>
        <w:tc>
          <w:tcPr>
            <w:tcW w:w="1622" w:type="dxa"/>
          </w:tcPr>
          <w:p w14:paraId="320184B1"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{"citationItems":[{"id":"ITEM-1","itemData":{"DOI":"10.1186/s12929-022-00795-1","ISSN":"14230127","PMID":"35164752","abstract":"Background: Transcription, metabolism and DNA damage response are tightly regulated to preserve the genomic integrity, and O-GlcNAc transferase (OGT) is positioned to connect the three. Prostate cancer is the most common cancer in men, and androgen-ablation therapy halts disease progression. However, a significant number of prostate cancer patients develop resistance against anti-androgens, and this incurable disease is termed castration-resistant prostate cancer (CRPC). We have shown that combined inhibition of OGT and the transcription elongation kinase CDK9 induce CRPC-selective anti-proliferative effects. Here, we explain the functional basis for these combinatorial effects. Methods: We used comprehensive mass spectrometry profiling of short-term CDK9 inhibitor effects on O-GlcNAcylated proteins in an isogenic cell line system that models transition from PC to CRPC. In addition, we used both ChIP-seq and RNA-seq profiling, and pulldown experiments in multiple CRPC models. Finally, we validated our findings in prostate cancer patient samples. Results: Inhibition of CDK9 results in an OGT-dependent remodeling of the proteome in prostate cancer cells. More specifically, the activity of the DNA damage repair protein MRE11 is regulated in response to CDK9 inhibition in an OGT-dependent manner. MRE11 is enriched at the O-GlcNAc-marked loci. CDK9 inhibition does not decrease the expression of mRNAs whose genes are bound by both O-GlcNAc and MRE11. Combined inhibition of CDK9 and OGT or MRE11 further decreases RNA polymerase II activity, induces DNA damage signaling, and blocks the survival of prostate cancer cells. These effects are seen in CRPC cells but not in normal prostate cells. Mechanistically, OGT activity is required for MRE11 chromatin-loading in cells treated with CDK9 inhibitor. Finally, we show that MRE11 and O-GlcNAc are enriched at the prostate cancer-specific small nucleotide polymorphic sites, and the loss of MRE11 activity results in a hyper-mutator phenotype in patient tumors. Conclusions: Both OGT and MRE11 are essential for the repair of CDK9 inhibitor-induced DNA damage. Our study raises the possibility of targeting CDK9 to elicit DNA damage in CRPC setting as an adjuvant to other treatments. Graphical Abstract: [Figure not available: see fulltext.].","author":[{"dropping-particle":"","family":"Gondane","given":"Aishwarya","non-dropping-particle":"","parse-names":false,"suffix":""},{"dropping-particle":"","family":"Girmay","given":"Samuel","non-dropping-particle":"","parse-names":false,"suffix":""},{"dropping-particle":"","family":"Helevä","given":"Alma","non-dropping-particle":"","parse-names":false,"suffix":""},{"dropping-particle":"","family":"Pallasaho","given":"Satu","non-dropping-particle":"","parse-names":false,"suffix":""},{"dropping-particle":"","family":"Loda","given":"Massimo","non-dropping-particle":"","parse-names":false,"suffix":""},{"dropping-particle":"","family":"Itkonen","given":"Harri M.","non-dropping-particle":"","parse-names":false,"suffix":""}],"container-title":"Journal of Biomedical Science","id":"ITEM-1","issue":"1","issued":{"date-parts":[["2022","12","1"]]},"publisher":"BioMed Central Ltd","title":"O-GlcNAc transferase couples MRE11 to transcriptionally active chromatin to suppress DNA damage","type":"article-journal","volume":"29"},"uris":["http://www.mendeley.com/documents/?uuid=0469cb19-fde6-3f35-bf73-c14d8ab41ecb"]},{"id":"ITEM-2","itemData":{"DOI":"10.1016/j.bbagen.2021.129930","ISSN":"18728006","PMID":"34019948","abstract":"Background: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Subjects","id":"ITEM-2","issue":"8","issued":{"date-parts":[["2021","8","1"]]},"publisher":"Elsevier B.V.","title":"O-GlcNAc modification regulates MTA1 transcriptional activity during breast cancer cell genotoxic adaptation","type":"article-journal","volume":"1865"},"uris":["http://www.mendeley.com/documents/?uuid=33afb42e-546e-3e10-a1c6-243f8afb7fa0"]}],"mendeley":{"formattedCitation":"[46], [65]","plainTextFormattedCitation":"[46], [65]","previouslyFormattedCitation":"[46], [65]"},"properties":{"noteIndex":0},"schema":"https://github.com/citation-style-language/schema/raw/master/csl-citation.json"}</w:instrText>
            </w:r>
            <w:r w:rsidRPr="009C685E">
              <w:fldChar w:fldCharType="separate"/>
            </w:r>
            <w:r w:rsidRPr="009C685E">
              <w:t>[46], [65]</w:t>
            </w:r>
            <w:r w:rsidRPr="009C685E">
              <w:fldChar w:fldCharType="end"/>
            </w:r>
          </w:p>
        </w:tc>
      </w:tr>
      <w:tr w:rsidR="00BF51FE" w:rsidRPr="009C685E" w14:paraId="603DE3D0" w14:textId="77777777" w:rsidTr="00DE380F">
        <w:tc>
          <w:tcPr>
            <w:tcW w:w="1507" w:type="dxa"/>
          </w:tcPr>
          <w:p w14:paraId="2B2B5E72" w14:textId="77777777" w:rsidR="00BF51FE" w:rsidRPr="009C685E" w:rsidRDefault="00BF51FE" w:rsidP="00DE380F">
            <w:pPr>
              <w:spacing w:line="360" w:lineRule="auto"/>
              <w:jc w:val="both"/>
            </w:pPr>
            <w:r w:rsidRPr="009C685E">
              <w:t>MSH4</w:t>
            </w:r>
          </w:p>
        </w:tc>
        <w:tc>
          <w:tcPr>
            <w:tcW w:w="2085" w:type="dxa"/>
          </w:tcPr>
          <w:p w14:paraId="39D30778" w14:textId="77777777" w:rsidR="00BF51FE" w:rsidRPr="009C685E" w:rsidRDefault="00BF51FE" w:rsidP="00DE380F">
            <w:pPr>
              <w:spacing w:line="360" w:lineRule="auto"/>
              <w:jc w:val="both"/>
            </w:pPr>
            <w:r w:rsidRPr="009C685E">
              <w:t xml:space="preserve">Crossover </w:t>
            </w:r>
            <w:proofErr w:type="spellStart"/>
            <w:r w:rsidRPr="009C685E">
              <w:t>deignation</w:t>
            </w:r>
            <w:proofErr w:type="spellEnd"/>
          </w:p>
        </w:tc>
        <w:tc>
          <w:tcPr>
            <w:tcW w:w="1678" w:type="dxa"/>
          </w:tcPr>
          <w:p w14:paraId="6FD24814" w14:textId="77777777" w:rsidR="00BF51FE" w:rsidRPr="009C685E" w:rsidRDefault="00BF51FE" w:rsidP="00DE380F">
            <w:pPr>
              <w:spacing w:line="360" w:lineRule="auto"/>
              <w:jc w:val="both"/>
            </w:pPr>
            <w:r w:rsidRPr="009C685E">
              <w:t>T830</w:t>
            </w:r>
          </w:p>
        </w:tc>
        <w:tc>
          <w:tcPr>
            <w:tcW w:w="1404" w:type="dxa"/>
          </w:tcPr>
          <w:p w14:paraId="71241E06" w14:textId="77777777" w:rsidR="00BF51FE" w:rsidRPr="009C685E" w:rsidRDefault="00BF51FE" w:rsidP="00DE380F">
            <w:pPr>
              <w:spacing w:line="360" w:lineRule="auto"/>
              <w:jc w:val="both"/>
            </w:pPr>
            <w:r w:rsidRPr="009C685E">
              <w:t>Mass spectrometry</w:t>
            </w:r>
          </w:p>
        </w:tc>
        <w:tc>
          <w:tcPr>
            <w:tcW w:w="1622" w:type="dxa"/>
          </w:tcPr>
          <w:p w14:paraId="11A0C8A4"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20382972" w14:textId="77777777" w:rsidTr="00DE380F">
        <w:tc>
          <w:tcPr>
            <w:tcW w:w="1507" w:type="dxa"/>
          </w:tcPr>
          <w:p w14:paraId="41599128" w14:textId="77777777" w:rsidR="00BF51FE" w:rsidRPr="009C685E" w:rsidRDefault="00BF51FE" w:rsidP="00DE380F">
            <w:pPr>
              <w:spacing w:line="360" w:lineRule="auto"/>
              <w:jc w:val="both"/>
            </w:pPr>
            <w:r w:rsidRPr="009C685E">
              <w:lastRenderedPageBreak/>
              <w:t>NBS1</w:t>
            </w:r>
          </w:p>
        </w:tc>
        <w:tc>
          <w:tcPr>
            <w:tcW w:w="2085" w:type="dxa"/>
          </w:tcPr>
          <w:p w14:paraId="24228945" w14:textId="77777777" w:rsidR="00BF51FE" w:rsidRPr="009C685E" w:rsidRDefault="00BF51FE" w:rsidP="00DE380F">
            <w:pPr>
              <w:spacing w:line="360" w:lineRule="auto"/>
              <w:jc w:val="both"/>
            </w:pPr>
            <w:r w:rsidRPr="009C685E">
              <w:t>Required for MRN complex location to DSB sites</w:t>
            </w:r>
          </w:p>
        </w:tc>
        <w:tc>
          <w:tcPr>
            <w:tcW w:w="1678" w:type="dxa"/>
          </w:tcPr>
          <w:p w14:paraId="5BF8D875" w14:textId="77777777" w:rsidR="00BF51FE" w:rsidRPr="009C685E" w:rsidRDefault="00BF51FE" w:rsidP="00DE380F">
            <w:pPr>
              <w:spacing w:line="360" w:lineRule="auto"/>
              <w:jc w:val="both"/>
            </w:pPr>
            <w:r w:rsidRPr="009C685E">
              <w:t>S213</w:t>
            </w:r>
          </w:p>
        </w:tc>
        <w:tc>
          <w:tcPr>
            <w:tcW w:w="1404" w:type="dxa"/>
          </w:tcPr>
          <w:p w14:paraId="7494E9C6" w14:textId="77777777" w:rsidR="00BF51FE" w:rsidRPr="009C685E" w:rsidRDefault="00BF51FE" w:rsidP="00DE380F">
            <w:pPr>
              <w:spacing w:line="360" w:lineRule="auto"/>
              <w:jc w:val="both"/>
            </w:pPr>
            <w:r w:rsidRPr="009C685E">
              <w:t>Mass spectrometry</w:t>
            </w:r>
          </w:p>
        </w:tc>
        <w:tc>
          <w:tcPr>
            <w:tcW w:w="1622" w:type="dxa"/>
          </w:tcPr>
          <w:p w14:paraId="0FD95901" w14:textId="77777777" w:rsidR="00BF51FE" w:rsidRPr="009C685E" w:rsidRDefault="00BF51FE" w:rsidP="00DE380F">
            <w:pPr>
              <w:spacing w:line="360" w:lineRule="auto"/>
              <w:jc w:val="both"/>
            </w:pPr>
            <w:r w:rsidRPr="009C685E">
              <w:fldChar w:fldCharType="begin" w:fldLock="1"/>
            </w:r>
            <w:r w:rsidRPr="009C685E">
              <w:instrText xml:space="preserve">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id":"ITEM-2","itemData":{"DOI":"10.1021/acschembio.1c00981","ISSN":"15548937","PMID":"35254053","abstract":"O-linked-β-N-acetylglucosamine (O-GlcNAc) glycosylation is a ubiquitous protein post-translational modification of the emerging importance in metazoans. Of the thousands of O-GlcNAcylated proteins identified, many carry multiple modification sites with varied stoichiometry. To better match the scale of O-GlcNAc sites and their dynamic nature, we herein report an optimized strategy, termed isotopic photocleavable tagging for O-GlcNAc profiling (isoPTOP), which enables quantitative and site-specific profiling of O-GlcNAcylation with excellent specificity and sensitivity. In HeLa cells, </w:instrText>
            </w:r>
            <w:r w:rsidRPr="009C685E">
              <w:rPr>
                <w:rFonts w:ascii="Cambria Math" w:hAnsi="Cambria Math" w:cs="Cambria Math"/>
              </w:rPr>
              <w:instrText>∼</w:instrText>
            </w:r>
            <w:r w:rsidRPr="009C685E">
              <w:instrText xml:space="preserve">1500 O-GlcNAcylation sites were identified with the optimized procedures, which led to quantification of </w:instrText>
            </w:r>
            <w:r w:rsidRPr="009C685E">
              <w:rPr>
                <w:rFonts w:ascii="Cambria Math" w:hAnsi="Cambria Math" w:cs="Cambria Math"/>
              </w:rPr>
              <w:instrText>∼</w:instrText>
            </w:r>
            <w:r w:rsidRPr="009C685E">
              <w:instrText>1000 O-GlcNAcylation sites with isoPTOP. Furthermore, we apply isoPTOP to probe the O-GlcNAcylation dynamics in a pair of colorectal cancer (CRC) cell lines, SW480 and SW620 cells, which represent primary carcinoma and metastatic cells, representatively. The stoichiometric differences of 625 O-GlcNAcylation sites are quantified. Of these quantified sites, many occur on important regulators involved in tumor progression and metastasis. Our results provide a valuable database for understanding the functional role of O-GlcNAc in CRC. IsoPTOP should be applicable for investigating O-GlcNAcylation dynamics in various pathophysiological processes.","author":[{"dropping-particle":"","family":"Liu","given":"Jialin","non-dropping-particle":"","parse-names":false,"suffix":""},{"dropping-particle":"","family":"Hao","given":"Yi","non-dropping-particle":"","parse-names":false,"suffix":""},{"dropping-particle":"","family":"Wang","given":"Chunting","non-dropping-particle":"","parse-names":false,"suffix":""},{"dropping-particle":"","family":"Jin","given":"Yangya'Nan","non-dropping-particle":"","parse-names":false,"suffix":""},{"dropping-particle":"","family":"Yang","given":"Yong","non-dropping-particle":"","parse-names":false,"suffix":""},{"dropping-particle":"","family":"Gu","given":"Jin","non-dropping-particle":"","parse-names":false,"suffix":""},{"dropping-particle":"","family":"Chen","given":"Xing","non-dropping-particle":"","parse-names":false,"suffix":""}],"container-title":"ACS Chemical Biology","id":"ITEM-2","issue":"3","issued":{"date-parts":[["2022","3","18"]]},"page":"513-520","publisher":"American Chemical Society","title":"An Optimized Isotopic Photocleavable Tagging Strategy for Site-Specific and Quantitative Profiling of Protein O-GlcNAcylation in Colorectal Cancer Metastasis","type":"article-journal","volume":"17"},"uris":["http://www.mendeley.com/documents/?uuid=b5c76ef3-9833-3790-9e88-405e9d189efd"]}],"mendeley":{"formattedCitation":"[46], [47]","plainTextFormattedCitation":"[46], [47]","previouslyFormattedCitation":"[46], [47]"},"properties":{"noteIndex":0},"schema":"https://github.com/citation-style-language/schema/raw/master/csl-citation.json"}</w:instrText>
            </w:r>
            <w:r w:rsidRPr="009C685E">
              <w:fldChar w:fldCharType="separate"/>
            </w:r>
            <w:r w:rsidRPr="009C685E">
              <w:t>[46], [47]</w:t>
            </w:r>
            <w:r w:rsidRPr="009C685E">
              <w:fldChar w:fldCharType="end"/>
            </w:r>
          </w:p>
        </w:tc>
      </w:tr>
      <w:tr w:rsidR="00BF51FE" w:rsidRPr="009C685E" w14:paraId="033B4020" w14:textId="77777777" w:rsidTr="00DE380F">
        <w:tc>
          <w:tcPr>
            <w:tcW w:w="1507" w:type="dxa"/>
          </w:tcPr>
          <w:p w14:paraId="259AC917" w14:textId="77777777" w:rsidR="00BF51FE" w:rsidRPr="009C685E" w:rsidRDefault="00BF51FE" w:rsidP="00DE380F">
            <w:pPr>
              <w:spacing w:line="360" w:lineRule="auto"/>
              <w:jc w:val="both"/>
            </w:pPr>
            <w:r w:rsidRPr="009C685E">
              <w:t>PCNA</w:t>
            </w:r>
          </w:p>
        </w:tc>
        <w:tc>
          <w:tcPr>
            <w:tcW w:w="2085" w:type="dxa"/>
          </w:tcPr>
          <w:p w14:paraId="3E21468E" w14:textId="77777777" w:rsidR="00BF51FE" w:rsidRPr="009C685E" w:rsidRDefault="00BF51FE" w:rsidP="00DE380F">
            <w:pPr>
              <w:spacing w:line="360" w:lineRule="auto"/>
              <w:jc w:val="both"/>
            </w:pPr>
            <w:r w:rsidRPr="009C685E">
              <w:t xml:space="preserve">Required for activation of </w:t>
            </w:r>
            <w:proofErr w:type="spellStart"/>
            <w:r w:rsidRPr="009C685E">
              <w:t>MutL</w:t>
            </w:r>
            <w:proofErr w:type="spellEnd"/>
            <w:r w:rsidRPr="009C685E">
              <w:t xml:space="preserve"> </w:t>
            </w:r>
            <w:proofErr w:type="spellStart"/>
            <w:r w:rsidRPr="009C685E">
              <w:t>endonuceases</w:t>
            </w:r>
            <w:proofErr w:type="spellEnd"/>
          </w:p>
        </w:tc>
        <w:tc>
          <w:tcPr>
            <w:tcW w:w="1678" w:type="dxa"/>
          </w:tcPr>
          <w:p w14:paraId="1D9C8F34" w14:textId="77777777" w:rsidR="00BF51FE" w:rsidRPr="009C685E" w:rsidRDefault="00BF51FE" w:rsidP="00DE380F">
            <w:pPr>
              <w:spacing w:line="360" w:lineRule="auto"/>
              <w:jc w:val="both"/>
            </w:pPr>
            <w:r w:rsidRPr="009C685E">
              <w:t>S10</w:t>
            </w:r>
          </w:p>
        </w:tc>
        <w:tc>
          <w:tcPr>
            <w:tcW w:w="1404" w:type="dxa"/>
          </w:tcPr>
          <w:p w14:paraId="1A2E7AA9" w14:textId="77777777" w:rsidR="00BF51FE" w:rsidRPr="009C685E" w:rsidRDefault="00BF51FE" w:rsidP="00DE380F">
            <w:pPr>
              <w:spacing w:line="360" w:lineRule="auto"/>
              <w:jc w:val="both"/>
            </w:pPr>
            <w:r w:rsidRPr="009C685E">
              <w:t>Mass spectrometry</w:t>
            </w:r>
          </w:p>
        </w:tc>
        <w:tc>
          <w:tcPr>
            <w:tcW w:w="1622" w:type="dxa"/>
          </w:tcPr>
          <w:p w14:paraId="042464CA"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{"citationItems":[{"id":"ITEM-1","itemData":{"DOI":"10.1002/pmic.202100175","ISSN":"16159861","PMID":"35083852","abstract":"Protein O-GlcNAcylation is a specific form of protein glycosylation that targets a wide range of proteins with important functions. O-GlcNAcylation is known to be deregulated in cancer and has been linked to multiple aspects of cancer pathology. Despite its ubiquity and importance, the current understanding of the role of O-GlcNAcylation in the stress response remains limited. In this study, we performed a quantitative chemical proteomics-based open study of the O-GlcNAcome in HeLa cells, and identified 163 differentially-glycosylated proteins under starvation, involving multiple metabolic pathways. Among them, fatty acid metabolism was found to be targeted and subsequent analysis confirmed that fatty acid synthase (FASN) is O-GlcNAcylated. O-GlcNAcylation led to enhanced de novo fatty acid synthesis (FAS) activity, and fatty acids contributed to the cytoprotective effects of O-GlcNAcylation under starvation. Moreover, dual inhibition of O-GlcNAcylation and FASN displayed a strong synergistic effect in vitro in inducing cell death in cancer cells. Together, the results from this study provide novel insights into the role of O-GlcNAcylation in the nutritional stress response and suggest the potential of combining inhibition of O-GlcNAcylation and FAS in cancer therapy.","author":[{"dropping-particle":"","family":"Wong","given":"Yin Kwan","non-dropping-particle":"","parse-names":false,"suffix":""},{"dropping-particle":"","family":"Wang","given":"Jigang","non-dropping-particle":"","parse-names":false,"suffix":""},{"dropping-particle":"","family":"Lim","given":"Teck Kwang","non-dropping-particle":"","parse-names":false,"suffix":""},{"dropping-particle":"","family":"Lin","given":"Qingsong","non-dropping-particle":"","parse-names":false,"suffix":""},{"dropping-particle":"","family":"Yap","given":"Celestial T.","non-dropping-particle":"","parse-names":false,"suffix":""},{"dropping-particle":"","family":"Shen","given":"Han Ming","non-dropping-particle":"","parse-names":false,"suffix":""}],"container-title":"Proteomics","id":"ITEM-1","issue":"9","issued":{"date-parts":[["2022","5","1"]]},"publisher":"John Wiley and Sons Inc","title":"O-GlcNAcylation promotes fatty acid synthase activity under nutritional stress as a pro-survival mechanism in cancer cells","type":"article-journal","volume":"22"},"uris":["http://www.mendeley.com/documents/?uuid=48d616c2-8f10-3ca1-adcd-665e38583d55"]},{"id":"ITEM-2","itemData":{"DOI":"10.3390/cancers14010243","ISSN":"20726694","abstract":"O-GlcNAcylation is a reversible and dynamic post-translational protein modification catalyzed by O-GlcNAc transferase (OGT). Despite the reported association of O-GlcNAcylation with cancer metastasis, the O-GlcNAc proteome profile for cancer aggressiveness remains largely uncharacterized. Here, we report our comparative O-GlcNAc proteome profiling of two differentially invasive lung adenocarcinoma cell lines, which identified 158 down-regulated and 106 up-regulated candidates in highly invasive cells. Among these differential proteins, a nuclear RNA-binding protein, SAM68 (SRC associated in mitosis of 68 kDa), was further investigated. Results showed that SAM68 is O-GlcNAcylated and may interact with OGT in the nucleus. Eleven O-GlcNAcylation sites were identified, and data from mutant analysis suggested that multiple serine residues in the N-terminal region are important for O-GlcNAcylation and the function of SAM68 in modulating cancer cell migration and invasion. Analysis of clinical specimens found that high SAM68 expression was associated with late cancer stages, and patients with high-OGT/high-SAM68 expression in their tumors had poorer overall survival compared to those with low-OGT/low-SAM68 expression. Our study revealed an invasiveness-associated O-GlcNAc proteome profile and connected O-GlcNAcylated SAM68 to lung cancer aggressiveness.","author":[{"dropping-particle":"","family":"Lin","given":"Chia Hung","non-dropping-particle":"","parse-names":false,"suffix":""},{"dropping-particle":"","family":"Liao","given":"Chen Chung","non-dropping-particle":"","parse-names":false,"suffix":""},{"dropping-particle":"","family":"Wang","given":"Shu Ying","non-dropping-particle":"","parse-names":false,"suffix":""},{"dropping-particle":"","family":"Peng","given":"Chia Yi","non-dropping-particle":"","parse-names":false,"suffix":""},{"dropping-particle":"","family":"Yeh","given":"Yi Chen","non-dropping-particle":"","parse-names":false,"suffix":""},{"dropping-particle":"","family":"Chen","given":"Mei Yu","non-dropping-particle":"","parse-names":false,"suffix":""},{"dropping-particle":"","family":"Chou","given":"Teh Ying","non-dropping-particle":"","parse-names":false,"suffix":""}],"container-title":"Cancers","id":"ITEM-2","issue":"1","issued":{"date-parts":[["2022","1","1"]]},"publisher":"MDPI","title":"Comparative O-GlcNAc Proteomic Analysis Reveals a Role of O-GlcNAcylated SAM68 in Lung Cancer Aggressiveness","type":"article-journal","volume":"14"},"uris":["http://www.mendeley.com/documents/?uuid=0f2abc6a-48e1-35e4-8cc2-32b9e12e5083"]}],"mendeley":{"formattedCitation":"[43], [51]","plainTextFormattedCitation":"[43], [51]","previouslyFormattedCitation":"[43], [51]"},"properties":{"noteIndex":0},"schema":"https://github.com/citation-style-language/schema/raw/master/csl-citation.json"}</w:instrText>
            </w:r>
            <w:r w:rsidRPr="009C685E">
              <w:fldChar w:fldCharType="separate"/>
            </w:r>
            <w:r w:rsidRPr="009C685E">
              <w:t>[43], [51]</w:t>
            </w:r>
            <w:r w:rsidRPr="009C685E">
              <w:fldChar w:fldCharType="end"/>
            </w:r>
          </w:p>
        </w:tc>
      </w:tr>
      <w:tr w:rsidR="00BF51FE" w:rsidRPr="009C685E" w14:paraId="2218DDB9" w14:textId="77777777" w:rsidTr="00DE380F">
        <w:tc>
          <w:tcPr>
            <w:tcW w:w="1507" w:type="dxa"/>
          </w:tcPr>
          <w:p w14:paraId="1317BB95" w14:textId="77777777" w:rsidR="00BF51FE" w:rsidRPr="009C685E" w:rsidRDefault="00BF51FE" w:rsidP="00DE380F">
            <w:pPr>
              <w:spacing w:line="360" w:lineRule="auto"/>
              <w:jc w:val="both"/>
            </w:pPr>
            <w:r w:rsidRPr="009C685E">
              <w:t>RAD50</w:t>
            </w:r>
          </w:p>
        </w:tc>
        <w:tc>
          <w:tcPr>
            <w:tcW w:w="2085" w:type="dxa"/>
          </w:tcPr>
          <w:p w14:paraId="10840033" w14:textId="77777777" w:rsidR="00BF51FE" w:rsidRPr="009C685E" w:rsidRDefault="00BF51FE" w:rsidP="00DE380F">
            <w:pPr>
              <w:spacing w:line="360" w:lineRule="auto"/>
              <w:jc w:val="both"/>
            </w:pPr>
            <w:r w:rsidRPr="009C685E">
              <w:t>Required for repair of meiotic DSBs</w:t>
            </w:r>
          </w:p>
        </w:tc>
        <w:tc>
          <w:tcPr>
            <w:tcW w:w="1678" w:type="dxa"/>
          </w:tcPr>
          <w:p w14:paraId="3308706E" w14:textId="77777777" w:rsidR="00BF51FE" w:rsidRPr="009C685E" w:rsidRDefault="00BF51FE" w:rsidP="00DE380F">
            <w:pPr>
              <w:spacing w:line="360" w:lineRule="auto"/>
              <w:jc w:val="both"/>
            </w:pPr>
            <w:r w:rsidRPr="009C685E">
              <w:t>T198, S703, S717, S872, S900</w:t>
            </w:r>
          </w:p>
        </w:tc>
        <w:tc>
          <w:tcPr>
            <w:tcW w:w="1404" w:type="dxa"/>
          </w:tcPr>
          <w:p w14:paraId="65CE05DF" w14:textId="77777777" w:rsidR="00BF51FE" w:rsidRPr="009C685E" w:rsidRDefault="00BF51FE" w:rsidP="00DE380F">
            <w:pPr>
              <w:spacing w:line="360" w:lineRule="auto"/>
              <w:jc w:val="both"/>
            </w:pPr>
            <w:r w:rsidRPr="009C685E">
              <w:t>Mass spectrometry</w:t>
            </w:r>
          </w:p>
        </w:tc>
        <w:tc>
          <w:tcPr>
            <w:tcW w:w="1622" w:type="dxa"/>
          </w:tcPr>
          <w:p w14:paraId="2BC43B04"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{"citationItems":[{"id":"ITEM-1","itemData":{"DOI":"10.1074/mcp.RA117.000261","ISSN":"15359484","PMID":"29351928","abstract":"Post-translational modifications (PTMs) on proteins often function to regulate signaling cascades, with the activation of T cells during an adaptive immune response being a classic example. Mounting evidence indicates that the modification of proteins by O-linked N-acetylglucosamine (O-GlcNAc), the only mammalian glycan found on nuclear and cytoplasmic proteins, helps regulate T cell activation. Yet, a mechanistic understanding of how O-GlcNAc functions in T cell activation remains elusive, partly because of the difficulties in mapping and quantifying O-GlcNAc sites. Thus, to advance insight into the role of O-GlcNAc in T cell activation, we performed glycosite mapping studies via direct glycopeptide measurement on resting and activated primary human T cells with a technique termed Isotope Targeted Glycoproteomics. This approach led to the identification of 2219 intact O-linked glycopeptides across 1045 glycoproteins. A significant proportion (&gt;45%) of the identified O-GlcNAc sites lie near or coincide with a known phosphorylation site, supporting the potential for PTM crosstalk. Consistent with other studies, we find that O-GlcNAc sites in T cells lack a strict consensus sequence. To validate our results, we employed gel shift assays based on conjugating mass tags to O-GlcNAc groups. Notably, we observed that the transcription factors c-JUN and JUNB show higher levels of O-GlcNAc glycosylation and higher levels of expression in activated T cells. Overall, our findings provide a quantitative characterization of O-GlcNAc glycoproteins and their corresponding modification sites in primary human T cells, which will facilitate mechanistic studies into the function of O-GlcNAc in T cell activation.","author":[{"dropping-particle":"","family":"Woo","given":"Christina M.","non-dropping-particle":"","parse-names":false,"suffix":""},{"dropping-particle":"","family":"Lund","given":"Peder J.","non-dropping-particle":"","parse-names":false,"suffix":""},{"dropping-particle":"","family":"Huang","given":"Andrew C.","non-dropping-particle":"","parse-names":false,"suffix":""},{"dropping-particle":"","family":"Davis","given":"Mark M.","non-dropping-particle":"","parse-names":false,"suffix":""},{"dropping-particle":"","family":"Bertozzi","given":"Carolyn R.","non-dropping-particle":"","parse-names":false,"suffix":""},{"dropping-particle":"","family":"Pitteri","given":"Sharon J.","non-dropping-particle":"","parse-names":false,"suffix":""}],"container-title":"Molecular and Cellular Proteomics","id":"ITEM-1","issue":"4","issued":{"date-parts":[["2018","4","1"]]},"page":"764-775","publisher":"American Society for Biochemistry and Molecular Biology Inc.","title":"Mapping and quantification of over 2000 O-linked glycopeptides in activated human T cells with isotope-targeted glycoproteomics (Isotag)","type":"article-journal","volume":"17"},"uris":["http://www.mendeley.com/documents/?uuid=ca659548-89dc-3749-835c-66c0b78b6352"]},{"id":"ITEM-2","itemData":{"DOI":"10.1021/acs.analchem.6b04960","ISSN":"15206882","PMID":"28510447","abstract":"O-linked β-N-acetylglucosamine (O-GlcNAc) is a ubiquitous post-translational modification of proteins in eukaryotic cells. Despite their low abundance, O-GlcNAc-modified proteins play many important roles in regulating gene expression, signal transduction, and cell cycle. Aberrant O-GlcNAc proteins are correlated with many major human diseases, such as Alzheimer's disease, diabetes, and cancer. Because of the extremely low stoichiometry of O-GlcNAc proteins, enrichment is required before mass spectrometry analysis for large-scale identification and in-depth understanding of their cellular function. In this work, we designed and synthesized a novel thermosensitive immobilized triarylphosphine reagent as a convenient tool for efficient enrichment of azide-labeled O-GlcNAc proteins from complex biological samples. Immobilization of triarylphosphine on highly water-soluble thermosensitive polymer largely increases its solubility and reactivity in aqueous solution. As a result, facilitated coupling is achieved between triarylphosphine and azide-labeled O-GlcNAc proteins via Staudinger ligation, due to the increased triarylphosphine concentration, reduced interfacial mass transfer resistance, and steric hindrance in homogeneous reaction. Furthermore, solubility of the polymer from complete dissolution to full precipitation can be easily controlled by simply adjusting the environmental temperature. Therefore, facile sample recovery can be achieved by increasing the temperature to precipitate the polymer-O-GlcNAc protein conjugates from solution. This novel immobilized triarylphosphine reagent enables efficient enrichment and sensitive detection of more than 1700 potential O-GlcNAc proteins from HeLa cell using mass spectrometry, demonstrating its potential as a general strategy for low-abundance target enrichment.","author":[{"dropping-particle":"","family":"Zhang","given":"Wanjun","non-dropping-particle":"","parse-names":false,"suffix":""},{"dropping-particle":"","family":"Liu","given":"Tong","non-dropping-particle":"","parse-names":false,"suffix":""},{"dropping-particle":"","family":"Dong","given":"Hangyan","non-dropping-particle":"","parse-names":false,"suffix":""},{"dropping-particle":"","family":"Bai","given":"Haihong","non-dropping-particle":"","parse-names":false,"suffix":""},{"dropping-particle":"","family":"Tian","given":"Fang","non-dropping-particle":"","parse-names":false,"suffix":""},{"dropping-particle":"","family":"Shi","given":"Zhaomei","non-dropping-particle":"","parse-names":false,"suffix":""},{"dropping-particle":"","family":"Chen","given":"Mingli","non-dropping-particle":"","parse-names":false,"suffix":""},{"dropping-particle":"","family":"Wang","given":"Jianhua","non-dropping-particle":"","parse-names":false,"suffix":""},{"dropping-particle":"","family":"Qin","given":"Weijie","non-dropping-particle":"","parse-names":false,"suffix":""},{"dropping-particle":"","family":"Qian","given":"Xiaohong","non-dropping-particle":"","parse-names":false,"suffix":""}],"container-title":"Analytical Chemistry","id":"ITEM-2","issue":"11","issued":{"date-parts":[["2017","6","6"]]},"page":"5810-5817","publisher":"American Chemical Society","title":"Synthesis of a Highly Azide-Reactive and Thermosensitive Biofunctional Reagent for Efficient Enrichment and Large-Scale Identification of O-GlcNAc Proteins by Mass Spectrometry","type":"article-journal","volume":"89"},"uris":["http://www.mendeley.com/documents/?uuid=a58dc3dd-c1a5-3ea1-a887-39aae489598a"]}],"mendeley":{"formattedCitation":"[44], [49]","plainTextFormattedCitation":"[44], [49]","previouslyFormattedCitation":"[44], [49]"},"properties":{"noteIndex":0},"schema":"https://github.com/citation-style-language/schema/raw/master/csl-citation.json"}</w:instrText>
            </w:r>
            <w:r w:rsidRPr="009C685E">
              <w:fldChar w:fldCharType="separate"/>
            </w:r>
            <w:r w:rsidRPr="009C685E">
              <w:t>[44], [49]</w:t>
            </w:r>
            <w:r w:rsidRPr="009C685E">
              <w:fldChar w:fldCharType="end"/>
            </w:r>
          </w:p>
        </w:tc>
      </w:tr>
      <w:tr w:rsidR="00BF51FE" w:rsidRPr="009C685E" w14:paraId="3ADC8456" w14:textId="77777777" w:rsidTr="00DE380F">
        <w:tc>
          <w:tcPr>
            <w:tcW w:w="1507" w:type="dxa"/>
          </w:tcPr>
          <w:p w14:paraId="2EFED0CF" w14:textId="77777777" w:rsidR="00BF51FE" w:rsidRPr="009C685E" w:rsidRDefault="00BF51FE" w:rsidP="00DE380F">
            <w:pPr>
              <w:spacing w:line="360" w:lineRule="auto"/>
              <w:jc w:val="both"/>
            </w:pPr>
            <w:r w:rsidRPr="009C685E">
              <w:t>RAD51B</w:t>
            </w:r>
          </w:p>
        </w:tc>
        <w:tc>
          <w:tcPr>
            <w:tcW w:w="2085" w:type="dxa"/>
          </w:tcPr>
          <w:p w14:paraId="009D5D6F" w14:textId="77777777" w:rsidR="00BF51FE" w:rsidRPr="009C685E" w:rsidRDefault="00BF51FE" w:rsidP="00DE380F">
            <w:pPr>
              <w:spacing w:line="360" w:lineRule="auto"/>
              <w:jc w:val="both"/>
            </w:pPr>
            <w:r w:rsidRPr="009C685E">
              <w:t>Involved in homolog recognition</w:t>
            </w:r>
          </w:p>
        </w:tc>
        <w:tc>
          <w:tcPr>
            <w:tcW w:w="1678" w:type="dxa"/>
          </w:tcPr>
          <w:p w14:paraId="301622B3" w14:textId="77777777" w:rsidR="00BF51FE" w:rsidRPr="009C685E" w:rsidRDefault="00BF51FE" w:rsidP="00DE380F">
            <w:pPr>
              <w:spacing w:line="360" w:lineRule="auto"/>
              <w:jc w:val="both"/>
            </w:pPr>
            <w:r w:rsidRPr="009C685E">
              <w:t>T66</w:t>
            </w:r>
          </w:p>
        </w:tc>
        <w:tc>
          <w:tcPr>
            <w:tcW w:w="1404" w:type="dxa"/>
          </w:tcPr>
          <w:p w14:paraId="5C3DE96B" w14:textId="77777777" w:rsidR="00BF51FE" w:rsidRPr="009C685E" w:rsidRDefault="00BF51FE" w:rsidP="00DE380F">
            <w:pPr>
              <w:spacing w:line="360" w:lineRule="auto"/>
              <w:jc w:val="both"/>
            </w:pPr>
            <w:r w:rsidRPr="009C685E">
              <w:t>Mass spectrometry</w:t>
            </w:r>
          </w:p>
        </w:tc>
        <w:tc>
          <w:tcPr>
            <w:tcW w:w="1622" w:type="dxa"/>
          </w:tcPr>
          <w:p w14:paraId="4E30A2A5"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24DA2F45" w14:textId="77777777" w:rsidTr="00DE380F">
        <w:tc>
          <w:tcPr>
            <w:tcW w:w="1507" w:type="dxa"/>
          </w:tcPr>
          <w:p w14:paraId="38CD9C67" w14:textId="77777777" w:rsidR="00BF51FE" w:rsidRPr="009C685E" w:rsidRDefault="00BF51FE" w:rsidP="00DE380F">
            <w:pPr>
              <w:spacing w:line="360" w:lineRule="auto"/>
              <w:jc w:val="both"/>
            </w:pPr>
            <w:r w:rsidRPr="009C685E">
              <w:t>RAD51C</w:t>
            </w:r>
          </w:p>
        </w:tc>
        <w:tc>
          <w:tcPr>
            <w:tcW w:w="2085" w:type="dxa"/>
          </w:tcPr>
          <w:p w14:paraId="42F5E7FF" w14:textId="77777777" w:rsidR="00BF51FE" w:rsidRPr="009C685E" w:rsidRDefault="00BF51FE" w:rsidP="00DE380F">
            <w:pPr>
              <w:spacing w:line="360" w:lineRule="auto"/>
              <w:jc w:val="both"/>
            </w:pPr>
            <w:r w:rsidRPr="009C685E">
              <w:t>Involved in homolog recognition</w:t>
            </w:r>
          </w:p>
        </w:tc>
        <w:tc>
          <w:tcPr>
            <w:tcW w:w="1678" w:type="dxa"/>
          </w:tcPr>
          <w:p w14:paraId="6ED1ED89" w14:textId="77777777" w:rsidR="00BF51FE" w:rsidRPr="009C685E" w:rsidRDefault="00BF51FE" w:rsidP="00DE380F">
            <w:pPr>
              <w:spacing w:line="360" w:lineRule="auto"/>
              <w:jc w:val="both"/>
            </w:pPr>
            <w:r w:rsidRPr="009C685E">
              <w:t>T60</w:t>
            </w:r>
          </w:p>
        </w:tc>
        <w:tc>
          <w:tcPr>
            <w:tcW w:w="1404" w:type="dxa"/>
          </w:tcPr>
          <w:p w14:paraId="0692A10D" w14:textId="77777777" w:rsidR="00BF51FE" w:rsidRPr="009C685E" w:rsidRDefault="00BF51FE" w:rsidP="00DE380F">
            <w:pPr>
              <w:spacing w:line="360" w:lineRule="auto"/>
              <w:jc w:val="both"/>
            </w:pPr>
            <w:r w:rsidRPr="009C685E">
              <w:t>Mass spectrometry</w:t>
            </w:r>
          </w:p>
        </w:tc>
        <w:tc>
          <w:tcPr>
            <w:tcW w:w="1622" w:type="dxa"/>
          </w:tcPr>
          <w:p w14:paraId="42392200"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{"citationItems":[{"id":"ITEM-1","itemData":{"DOI":"10.1002/anie.201711710","ISSN":"15213773","PMID":"29237092","abstract":"The unexpected, non-enzymatic S-glycosylation of cysteine residues in various proteins by per-O-acetylated monosaccharides is described. This artificial S-glycosylation greatly compromises the specificity and validity of metabolic glycan labeling in living cells by per-O-acetylated azido and alkynyl sugars, which has been overlooked in the field for decades. It is demonstrated that the use of unacetylated unnatural sugars can avoid the artifact formation and a corrected list of O-GlcNAcylated proteins and O-GlcNAc sites in HeLa cells has been assembled by using N-azidoacetylgalactosamine (GalNAz).","author":[{"dropping-particle":"","family":"Qin","given":"Wei","non-dropping-particle":"","parse-names":false,"suffix":""},{"dropping-particle":"","family":"Qin","given":"Ke","non-dropping-particle":"","parse-names":false,"suffix":""},{"dropping-particle":"","family":"Fan","given":"Xinqi","non-dropping-particle":"","parse-names":false,"suffix":""},{"dropping-particle":"","family":"Peng","given":"Linghang","non-dropping-particle":"","parse-names":false,"suffix":""},{"dropping-particle":"","family":"Hong","given":"Weiyao","non-dropping-particle":"","parse-names":false,"suffix":""},{"dropping-particle":"","family":"Zhu","given":"Yuntao","non-dropping-particle":"","parse-names":false,"suffix":""},{"dropping-particle":"","family":"Lv","given":"Pinou","non-dropping-particle":"","parse-names":false,"suffix":""},{"dropping-particle":"","family":"Du","given":"Yifei","non-dropping-particle":"","parse-names":false,"suffix":""},{"dropping-particle":"","family":"Huang","given":"Rongbing","non-dropping-particle":"","parse-names":false,"suffix":""},{"dropping-particle":"","family":"Han","given":"Mengting","non-dropping-particle":"","parse-names":false,"suffix":""},{"dropping-particle":"","family":"Cheng","given":"Bo","non-dropping-particle":"","parse-names":false,"suffix":""},{"dropping-particle":"","family":"Liu","given":"Yuan","non-dropping-particle":"","parse-names":false,"suffix":""},{"dropping-particle":"","family":"Zhou","given":"Wen","non-dropping-particle":"","parse-names":false,"suffix":""},{"dropping-particle":"","family":"Wang","given":"Chu","non-dropping-particle":"","parse-names":false,"suffix":""},{"dropping-particle":"","family":"Chen","given":"Xing","non-dropping-particle":"","parse-names":false,"suffix":""}],"container-title":"Angewandte Chemie - International Edition","id":"ITEM-1","issue":"7","issued":{"date-parts":[["2018","2","12"]]},"page":"1817-1820","publisher":"Wiley-VCH Verlag","title":"Artificial Cysteine S-Glycosylation Induced by Per-O-Acetylated Unnatural Monosaccharides during Metabolic Glycan Labeling","type":"article-journal","volume":"57"},"uris":["http://www.mendeley.com/documents/?uuid=9689feeb-3b07-360a-bdb7-51dae3091b2d"]}],"mendeley":{"formattedCitation":"[41]","plainTextFormattedCitation":"[41]","previouslyFormattedCitation":"[41]"},"properties":{"noteIndex":0},"schema":"https://github.com/citation-style-language/schema/raw/master/csl-citation.json"}</w:instrText>
            </w:r>
            <w:r w:rsidRPr="009C685E">
              <w:fldChar w:fldCharType="separate"/>
            </w:r>
            <w:r w:rsidRPr="009C685E">
              <w:t>[41]</w:t>
            </w:r>
            <w:r w:rsidRPr="009C685E">
              <w:fldChar w:fldCharType="end"/>
            </w:r>
          </w:p>
        </w:tc>
      </w:tr>
      <w:tr w:rsidR="00BF51FE" w:rsidRPr="009C685E" w14:paraId="6C4868DC" w14:textId="77777777" w:rsidTr="00DE380F">
        <w:tc>
          <w:tcPr>
            <w:tcW w:w="1507" w:type="dxa"/>
          </w:tcPr>
          <w:p w14:paraId="615438AA" w14:textId="77777777" w:rsidR="00BF51FE" w:rsidRPr="009C685E" w:rsidRDefault="00BF51FE" w:rsidP="00DE380F">
            <w:pPr>
              <w:spacing w:line="360" w:lineRule="auto"/>
              <w:jc w:val="both"/>
            </w:pPr>
            <w:r w:rsidRPr="009C685E">
              <w:t>RNF212</w:t>
            </w:r>
          </w:p>
        </w:tc>
        <w:tc>
          <w:tcPr>
            <w:tcW w:w="2085" w:type="dxa"/>
          </w:tcPr>
          <w:p w14:paraId="770EC059" w14:textId="77777777" w:rsidR="00BF51FE" w:rsidRPr="009C685E" w:rsidRDefault="00BF51FE" w:rsidP="00DE380F">
            <w:pPr>
              <w:spacing w:line="360" w:lineRule="auto"/>
              <w:jc w:val="both"/>
            </w:pPr>
            <w:r w:rsidRPr="009C685E">
              <w:t>Required for stabilizing crossover -fated intermediates</w:t>
            </w:r>
          </w:p>
        </w:tc>
        <w:tc>
          <w:tcPr>
            <w:tcW w:w="1678" w:type="dxa"/>
          </w:tcPr>
          <w:p w14:paraId="0BF61A6F" w14:textId="77777777" w:rsidR="00BF51FE" w:rsidRPr="009C685E" w:rsidRDefault="00BF51FE" w:rsidP="00DE380F">
            <w:pPr>
              <w:spacing w:line="360" w:lineRule="auto"/>
              <w:jc w:val="both"/>
            </w:pPr>
          </w:p>
        </w:tc>
        <w:tc>
          <w:tcPr>
            <w:tcW w:w="1404" w:type="dxa"/>
          </w:tcPr>
          <w:p w14:paraId="7B60D0CA" w14:textId="77777777" w:rsidR="00BF51FE" w:rsidRPr="009C685E" w:rsidRDefault="00BF51FE" w:rsidP="00DE380F">
            <w:pPr>
              <w:spacing w:line="360" w:lineRule="auto"/>
              <w:jc w:val="both"/>
            </w:pPr>
            <w:r w:rsidRPr="009C685E">
              <w:t>Mass spectrometry</w:t>
            </w:r>
          </w:p>
        </w:tc>
        <w:tc>
          <w:tcPr>
            <w:tcW w:w="1622" w:type="dxa"/>
          </w:tcPr>
          <w:p w14:paraId="4C36C5A0"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66BC2B01" w14:textId="77777777" w:rsidTr="00DE380F">
        <w:tc>
          <w:tcPr>
            <w:tcW w:w="1507" w:type="dxa"/>
          </w:tcPr>
          <w:p w14:paraId="30EBA2AE" w14:textId="77777777" w:rsidR="00BF51FE" w:rsidRPr="009C685E" w:rsidRDefault="00BF51FE" w:rsidP="00DE380F">
            <w:pPr>
              <w:spacing w:line="360" w:lineRule="auto"/>
              <w:jc w:val="both"/>
            </w:pPr>
            <w:r w:rsidRPr="009C685E">
              <w:t>RPA2</w:t>
            </w:r>
          </w:p>
        </w:tc>
        <w:tc>
          <w:tcPr>
            <w:tcW w:w="2085" w:type="dxa"/>
          </w:tcPr>
          <w:p w14:paraId="5ACCB045" w14:textId="77777777" w:rsidR="00BF51FE" w:rsidRPr="009C685E" w:rsidRDefault="00BF51FE" w:rsidP="00DE380F">
            <w:pPr>
              <w:spacing w:line="360" w:lineRule="auto"/>
              <w:jc w:val="both"/>
            </w:pPr>
            <w:r w:rsidRPr="009C685E">
              <w:t>Binds to ssDNA at DSB sites; prevents ssDNA from degrading</w:t>
            </w:r>
          </w:p>
        </w:tc>
        <w:tc>
          <w:tcPr>
            <w:tcW w:w="1678" w:type="dxa"/>
          </w:tcPr>
          <w:p w14:paraId="799336B5" w14:textId="77777777" w:rsidR="00BF51FE" w:rsidRPr="009C685E" w:rsidRDefault="00BF51FE" w:rsidP="00DE380F">
            <w:pPr>
              <w:spacing w:line="360" w:lineRule="auto"/>
              <w:jc w:val="both"/>
            </w:pPr>
          </w:p>
        </w:tc>
        <w:tc>
          <w:tcPr>
            <w:tcW w:w="1404" w:type="dxa"/>
          </w:tcPr>
          <w:p w14:paraId="1FA6B052" w14:textId="77777777" w:rsidR="00BF51FE" w:rsidRPr="009C685E" w:rsidRDefault="00BF51FE" w:rsidP="00DE380F">
            <w:pPr>
              <w:spacing w:line="360" w:lineRule="auto"/>
              <w:jc w:val="both"/>
            </w:pPr>
            <w:r w:rsidRPr="009C685E">
              <w:t>Mass spectrometry</w:t>
            </w:r>
          </w:p>
        </w:tc>
        <w:tc>
          <w:tcPr>
            <w:tcW w:w="1622" w:type="dxa"/>
          </w:tcPr>
          <w:p w14:paraId="58C70949"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{"citationItems":[{"id":"ITEM-1","itemData":{"DOI":"10.1021/acs.analchem.6b04960","ISSN":"15206882","PMID":"28510447","abstract":"O-linked β-N-acetylglucosamine (O-GlcNAc) is a ubiquitous post-translational modification of proteins in eukaryotic cells. Despite their low abundance, O-GlcNAc-modified proteins play many important roles in regulating gene expression, signal transduction, and cell cycle. Aberrant O-GlcNAc proteins are correlated with many major human diseases, such as Alzheimer's disease, diabetes, and cancer. Because of the extremely low stoichiometry of O-GlcNAc proteins, enrichment is required before mass spectrometry analysis for large-scale identification and in-depth understanding of their cellular function. In this work, we designed and synthesized a novel thermosensitive immobilized triarylphosphine reagent as a convenient tool for efficient enrichment of azide-labeled O-GlcNAc proteins from complex biological samples. Immobilization of triarylphosphine on highly water-soluble thermosensitive polymer largely increases its solubility and reactivity in aqueous solution. As a result, facilitated coupling is achieved between triarylphosphine and azide-labeled O-GlcNAc proteins via Staudinger ligation, due to the increased triarylphosphine concentration, reduced interfacial mass transfer resistance, and steric hindrance in homogeneous reaction. Furthermore, solubility of the polymer from complete dissolution to full precipitation can be easily controlled by simply adjusting the environmental temperature. Therefore, facile sample recovery can be achieved by increasing the temperature to precipitate the polymer-O-GlcNAc protein conjugates from solution. This novel immobilized triarylphosphine reagent enables efficient enrichment and sensitive detection of more than 1700 potential O-GlcNAc proteins from HeLa cell using mass spectrometry, demonstrating its potential as a general strategy for low-abundance target enrichment.","author":[{"dropping-particle":"","family":"Zhang","given":"Wanjun","non-dropping-particle":"","parse-names":false,"suffix":""},{"dropping-particle":"","family":"Liu","given":"Tong","non-dropping-particle":"","parse-names":false,"suffix":""},{"dropping-particle":"","family":"Dong","given":"Hangyan","non-dropping-particle":"","parse-names":false,"suffix":""},{"dropping-particle":"","family":"Bai","given":"Haihong","non-dropping-particle":"","parse-names":false,"suffix":""},{"dropping-particle":"","family":"Tian","given":"Fang","non-dropping-particle":"","parse-names":false,"suffix":""},{"dropping-particle":"","family":"Shi","given":"Zhaomei","non-dropping-particle":"","parse-names":false,"suffix":""},{"dropping-particle":"","family":"Chen","given":"Mingli","non-dropping-particle":"","parse-names":false,"suffix":""},{"dropping-particle":"","family":"Wang","given":"Jianhua","non-dropping-particle":"","parse-names":false,"suffix":""},{"dropping-particle":"","family":"Qin","given":"Weijie","non-dropping-particle":"","parse-names":false,"suffix":""},{"dropping-particle":"","family":"Qian","given":"Xiaohong","non-dropping-particle":"","parse-names":false,"suffix":""}],"container-title":"Analytical Chemistry","id":"ITEM-1","issue":"11","issued":{"date-parts":[["2017","6","6"]]},"page":"5810-5817","publisher":"American Chemical Society","title":"Synthesis of a Highly Azide-Reactive and Thermosensitive Biofunctional Reagent for Efficient Enrichment and Large-Scale Identification of O-GlcNAc Proteins by Mass Spectrometry","type":"article-journal","volume":"89"},"uris":["http://www.mendeley.com/documents/?uuid=10053858-e2dd-338a-be50-b10f74666164"]},{"id":"ITEM-2","itemData":{"DOI":"10.1039/c8cc08416e","ISSN":"1364548X","PMID":"30379171","abstract":"We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Communications","id":"ITEM-2","issue":"98","issued":{"date-parts":[["2018"]]},"page":"13790-13793","publisher":"Royal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 [49]","plainTextFormattedCitation":"[39], [49]","previouslyFormattedCitation":"[39], [49]"},"properties":{"noteIndex":0},"schema":"https://github.com/citation-style-language/schema/raw/master/csl-citation.json"}</w:instrText>
            </w:r>
            <w:r w:rsidRPr="009C685E">
              <w:fldChar w:fldCharType="separate"/>
            </w:r>
            <w:r w:rsidRPr="009C685E">
              <w:t>[39], [49]</w:t>
            </w:r>
            <w:r w:rsidRPr="009C685E">
              <w:fldChar w:fldCharType="end"/>
            </w:r>
          </w:p>
        </w:tc>
      </w:tr>
      <w:tr w:rsidR="00BF51FE" w:rsidRPr="009C685E" w14:paraId="3E6FB293" w14:textId="77777777" w:rsidTr="00DE380F">
        <w:tc>
          <w:tcPr>
            <w:tcW w:w="1507" w:type="dxa"/>
          </w:tcPr>
          <w:p w14:paraId="5BCABE5F" w14:textId="77777777" w:rsidR="00BF51FE" w:rsidRPr="009C685E" w:rsidRDefault="00BF51FE" w:rsidP="00DE380F">
            <w:pPr>
              <w:spacing w:line="360" w:lineRule="auto"/>
              <w:jc w:val="both"/>
            </w:pPr>
            <w:r w:rsidRPr="009C685E">
              <w:t>SPO16</w:t>
            </w:r>
          </w:p>
        </w:tc>
        <w:tc>
          <w:tcPr>
            <w:tcW w:w="2085" w:type="dxa"/>
          </w:tcPr>
          <w:p w14:paraId="0BF629C4" w14:textId="77777777" w:rsidR="00BF51FE" w:rsidRPr="009C685E" w:rsidRDefault="00BF51FE" w:rsidP="00DE380F">
            <w:pPr>
              <w:spacing w:line="360" w:lineRule="auto"/>
              <w:jc w:val="both"/>
            </w:pPr>
            <w:r w:rsidRPr="009C685E">
              <w:t>Promotes formation of recombination intermediates and</w:t>
            </w:r>
          </w:p>
          <w:p w14:paraId="7DAD0337" w14:textId="77777777" w:rsidR="00BF51FE" w:rsidRPr="009C685E" w:rsidRDefault="00BF51FE" w:rsidP="00DE380F">
            <w:pPr>
              <w:spacing w:line="360" w:lineRule="auto"/>
              <w:jc w:val="both"/>
            </w:pPr>
            <w:r w:rsidRPr="009C685E">
              <w:t>crossovers. Required to stabilize the recombination</w:t>
            </w:r>
          </w:p>
          <w:p w14:paraId="71614BF7" w14:textId="77777777" w:rsidR="00BF51FE" w:rsidRPr="009C685E" w:rsidRDefault="00BF51FE" w:rsidP="00DE380F">
            <w:pPr>
              <w:spacing w:line="360" w:lineRule="auto"/>
              <w:jc w:val="both"/>
            </w:pPr>
            <w:r w:rsidRPr="009C685E">
              <w:t>intermediates.</w:t>
            </w:r>
          </w:p>
        </w:tc>
        <w:tc>
          <w:tcPr>
            <w:tcW w:w="1678" w:type="dxa"/>
          </w:tcPr>
          <w:p w14:paraId="3CAC2DA7" w14:textId="77777777" w:rsidR="00BF51FE" w:rsidRPr="009C685E" w:rsidRDefault="00BF51FE" w:rsidP="00DE380F">
            <w:pPr>
              <w:spacing w:line="360" w:lineRule="auto"/>
              <w:jc w:val="both"/>
            </w:pPr>
            <w:r w:rsidRPr="009C685E">
              <w:t>S4</w:t>
            </w:r>
          </w:p>
        </w:tc>
        <w:tc>
          <w:tcPr>
            <w:tcW w:w="1404" w:type="dxa"/>
          </w:tcPr>
          <w:p w14:paraId="3460414D" w14:textId="77777777" w:rsidR="00BF51FE" w:rsidRPr="009C685E" w:rsidRDefault="00BF51FE" w:rsidP="00DE380F">
            <w:pPr>
              <w:spacing w:line="360" w:lineRule="auto"/>
              <w:jc w:val="both"/>
            </w:pPr>
            <w:r w:rsidRPr="009C685E">
              <w:t>Mass spectrometry</w:t>
            </w:r>
          </w:p>
        </w:tc>
        <w:tc>
          <w:tcPr>
            <w:tcW w:w="1622" w:type="dxa"/>
          </w:tcPr>
          <w:p w14:paraId="6BB5F472"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6D4B04C9" w14:textId="77777777" w:rsidTr="00DE380F">
        <w:tc>
          <w:tcPr>
            <w:tcW w:w="1507" w:type="dxa"/>
          </w:tcPr>
          <w:p w14:paraId="5E22804D" w14:textId="77777777" w:rsidR="00BF51FE" w:rsidRPr="009C685E" w:rsidRDefault="00BF51FE" w:rsidP="00DE380F">
            <w:pPr>
              <w:spacing w:line="360" w:lineRule="auto"/>
              <w:jc w:val="both"/>
            </w:pPr>
            <w:bookmarkStart w:id="2" w:name="_Hlk113134097"/>
            <w:r w:rsidRPr="009C685E">
              <w:t>SWSAP1</w:t>
            </w:r>
          </w:p>
        </w:tc>
        <w:tc>
          <w:tcPr>
            <w:tcW w:w="2085" w:type="dxa"/>
          </w:tcPr>
          <w:p w14:paraId="6CA0EE13" w14:textId="77777777" w:rsidR="00BF51FE" w:rsidRPr="009C685E" w:rsidRDefault="00BF51FE" w:rsidP="00DE380F">
            <w:pPr>
              <w:spacing w:line="360" w:lineRule="auto"/>
              <w:jc w:val="both"/>
            </w:pPr>
            <w:r w:rsidRPr="009C685E">
              <w:t>Promotes RAD51- and DMC1-mediated stable presynaptic</w:t>
            </w:r>
          </w:p>
          <w:p w14:paraId="74DA4284" w14:textId="77777777" w:rsidR="00BF51FE" w:rsidRPr="009C685E" w:rsidRDefault="00BF51FE" w:rsidP="00DE380F">
            <w:pPr>
              <w:spacing w:line="360" w:lineRule="auto"/>
              <w:jc w:val="both"/>
            </w:pPr>
            <w:r w:rsidRPr="009C685E">
              <w:t>filament formation</w:t>
            </w:r>
          </w:p>
        </w:tc>
        <w:tc>
          <w:tcPr>
            <w:tcW w:w="1678" w:type="dxa"/>
          </w:tcPr>
          <w:p w14:paraId="7436A647" w14:textId="77777777" w:rsidR="00BF51FE" w:rsidRPr="009C685E" w:rsidRDefault="00BF51FE" w:rsidP="00DE380F">
            <w:pPr>
              <w:spacing w:line="360" w:lineRule="auto"/>
              <w:jc w:val="both"/>
            </w:pPr>
          </w:p>
        </w:tc>
        <w:tc>
          <w:tcPr>
            <w:tcW w:w="1404" w:type="dxa"/>
          </w:tcPr>
          <w:p w14:paraId="6F95FA62" w14:textId="77777777" w:rsidR="00BF51FE" w:rsidRPr="009C685E" w:rsidRDefault="00BF51FE" w:rsidP="00DE380F">
            <w:pPr>
              <w:spacing w:line="360" w:lineRule="auto"/>
              <w:jc w:val="both"/>
            </w:pPr>
            <w:r w:rsidRPr="009C685E">
              <w:t>Mass spectrometry</w:t>
            </w:r>
          </w:p>
        </w:tc>
        <w:tc>
          <w:tcPr>
            <w:tcW w:w="1622" w:type="dxa"/>
          </w:tcPr>
          <w:p w14:paraId="67B386E6"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bookmarkEnd w:id="2"/>
      <w:tr w:rsidR="00BF51FE" w:rsidRPr="009C685E" w14:paraId="2185132C" w14:textId="77777777" w:rsidTr="00DE380F">
        <w:tc>
          <w:tcPr>
            <w:tcW w:w="1507" w:type="dxa"/>
          </w:tcPr>
          <w:p w14:paraId="72038E0D" w14:textId="77777777" w:rsidR="00BF51FE" w:rsidRPr="009C685E" w:rsidRDefault="00BF51FE" w:rsidP="00DE380F">
            <w:pPr>
              <w:spacing w:line="360" w:lineRule="auto"/>
              <w:jc w:val="both"/>
            </w:pPr>
            <w:r w:rsidRPr="009C685E">
              <w:lastRenderedPageBreak/>
              <w:t>TDP-43</w:t>
            </w:r>
          </w:p>
        </w:tc>
        <w:tc>
          <w:tcPr>
            <w:tcW w:w="2085" w:type="dxa"/>
          </w:tcPr>
          <w:p w14:paraId="0D6D6C75" w14:textId="77777777" w:rsidR="00BF51FE" w:rsidRPr="009C685E" w:rsidRDefault="00BF51FE" w:rsidP="00DE380F">
            <w:pPr>
              <w:spacing w:line="360" w:lineRule="auto"/>
              <w:jc w:val="both"/>
            </w:pPr>
            <w:r w:rsidRPr="009C685E">
              <w:t>Required for homologous pairing and synapsis</w:t>
            </w:r>
          </w:p>
        </w:tc>
        <w:tc>
          <w:tcPr>
            <w:tcW w:w="1678" w:type="dxa"/>
          </w:tcPr>
          <w:p w14:paraId="39E66EFD" w14:textId="77777777" w:rsidR="00BF51FE" w:rsidRPr="009C685E" w:rsidRDefault="00BF51FE" w:rsidP="00DE380F">
            <w:pPr>
              <w:spacing w:line="360" w:lineRule="auto"/>
              <w:jc w:val="both"/>
            </w:pPr>
          </w:p>
        </w:tc>
        <w:tc>
          <w:tcPr>
            <w:tcW w:w="1404" w:type="dxa"/>
          </w:tcPr>
          <w:p w14:paraId="583CB960" w14:textId="77777777" w:rsidR="00BF51FE" w:rsidRPr="009C685E" w:rsidRDefault="00BF51FE" w:rsidP="00DE380F">
            <w:pPr>
              <w:spacing w:line="360" w:lineRule="auto"/>
              <w:jc w:val="both"/>
            </w:pPr>
            <w:r w:rsidRPr="009C685E">
              <w:t>Mass spectrometry and experimental validation</w:t>
            </w:r>
          </w:p>
        </w:tc>
        <w:tc>
          <w:tcPr>
            <w:tcW w:w="1622" w:type="dxa"/>
          </w:tcPr>
          <w:p w14:paraId="2CA06D12"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{"citationItems":[{"id":"ITEM-1","itemData":{"DOI":"10.1016/j.bbagen.2021.129930","ISSN":"18728006","PMID":"34019948","abstract":"Background: Chromatin modifier metastasis-associated protein 1 (MTA1), closely associated with tumor angiogenesis in breast cancer, plays an important role in gene expression and cancer cell behavior. Recently, an association between O-GlcNAc transferase (OGT) and MTA1 was identified by mass spectroscopy. However, the potential relationship between MTA1 and O-GlcNAc modification has not yet explored. Methods: In the current study, the role of MTA1 and its O-GlcNAc modification in breast cancer cell genotoxic adaptation was investigated through quantitative proteomics, chromatin immunoprecipitation followed by sequencing (ChIP-seq), transcriptome analysis, and loss- and gain-of-function experiments. Results: We demonstrate that the O-GlcNAc modification promotes MTA1 to interaction with chromatin and thus changes the expression of target genes, contributing to breast cancer cell genotoxic adaptation. MTA1 is modified with O-GlcNAc residues at serine (S) residues S237/S241/S246 in adriamycin-adaptive breast cancer cells, and this modification improves the genome-wide interactions of MTA1 with gene promotor regions by enhancing its association with nucleosome remodeling and histone deacetylation (NuRD) complex. Further, O-GlcNAc modification modulates MTA1 chromatin binding, influencing the specific transcriptional regulation of genes involved in the adaptation of breast cancer cells to genotoxic stress. Conclusions: Our findings reveal a previously unrecognized role for O-GlcNAc-modified MTA1 in transcriptional regulation and suggest that the O-GlcNAc modification is a key to the molecular regulation of chemoresistance in breast cancers.","author":[{"dropping-particle":"","family":"Xie","given":"Xueqin","non-dropping-particle":"","parse-names":false,"suffix":""},{"dropping-particle":"","family":"Wu","given":"Qiutong","non-dropping-particle":"","parse-names":false,"suffix":""},{"dropping-particle":"","family":"Zhang","given":"Keren","non-dropping-particle":"","parse-names":false,"suffix":""},{"dropping-particle":"","family":"Liu","given":"Yimin","non-dropping-particle":"","parse-names":false,"suffix":""},{"dropping-particle":"","family":"Zhang","given":"Nana","non-dropping-particle":"","parse-names":false,"suffix":""},{"dropping-particle":"","family":"Chen","given":"Qiushi","non-dropping-particle":"","parse-names":false,"suffix":""},{"dropping-particle":"","family":"Wang","given":"Lingyan","non-dropping-particle":"","parse-names":false,"suffix":""},{"dropping-particle":"","family":"Li","given":"Wenli","non-dropping-particle":"","parse-names":false,"suffix":""},{"dropping-particle":"","family":"Zhang","given":"Jianing","non-dropping-particle":"","parse-names":false,"suffix":""},{"dropping-particle":"","family":"Liu","given":"Yubo","non-dropping-particle":"","parse-names":false,"suffix":""}],"container-title":"Biochimica et Biophysica Acta - General Subjects","id":"ITEM-1","issue":"8","issued":{"date-parts":[["2021","8","1"]]},"publisher":"Elsevier B.V.","title":"O-GlcNAc modification regulates MTA1 transcriptional activity during breast cancer cell genotoxic adaptation","type":"article-journal","volume":"1865"},"uris":["http://www.mendeley.com/documents/?uuid=33afb42e-546e-3e10-a1c6-243f8afb7fa0"]}],"mendeley":{"formattedCitation":"[46]","plainTextFormattedCitation":"[46]","previouslyFormattedCitation":"[46]"},"properties":{"noteIndex":0},"schema":"https://github.com/citation-style-language/schema/raw/master/csl-citation.json"}</w:instrText>
            </w:r>
            <w:r w:rsidRPr="009C685E">
              <w:fldChar w:fldCharType="separate"/>
            </w:r>
            <w:r w:rsidRPr="009C685E">
              <w:t>[46]</w:t>
            </w:r>
            <w:r w:rsidRPr="009C685E">
              <w:fldChar w:fldCharType="end"/>
            </w:r>
          </w:p>
        </w:tc>
      </w:tr>
      <w:tr w:rsidR="00BF51FE" w:rsidRPr="009C685E" w14:paraId="2A040933" w14:textId="77777777" w:rsidTr="00DE380F">
        <w:tc>
          <w:tcPr>
            <w:tcW w:w="1507" w:type="dxa"/>
          </w:tcPr>
          <w:p w14:paraId="093D4B57" w14:textId="77777777" w:rsidR="00BF51FE" w:rsidRPr="009C685E" w:rsidRDefault="00BF51FE" w:rsidP="00DE380F">
            <w:pPr>
              <w:spacing w:line="360" w:lineRule="auto"/>
              <w:jc w:val="both"/>
            </w:pPr>
            <w:r w:rsidRPr="009C685E">
              <w:t>TEX15</w:t>
            </w:r>
          </w:p>
        </w:tc>
        <w:tc>
          <w:tcPr>
            <w:tcW w:w="2085" w:type="dxa"/>
          </w:tcPr>
          <w:p w14:paraId="0F7FFF9B" w14:textId="77777777" w:rsidR="00BF51FE" w:rsidRPr="009C685E" w:rsidRDefault="00BF51FE" w:rsidP="00DE380F">
            <w:pPr>
              <w:spacing w:line="360" w:lineRule="auto"/>
              <w:jc w:val="both"/>
            </w:pPr>
            <w:r w:rsidRPr="009C685E">
              <w:t>Required for loading of RAD51 and DMC1 at DSB sites in</w:t>
            </w:r>
          </w:p>
          <w:p w14:paraId="3C7D9D39" w14:textId="77777777" w:rsidR="00BF51FE" w:rsidRPr="009C685E" w:rsidRDefault="00BF51FE" w:rsidP="00DE380F">
            <w:pPr>
              <w:spacing w:line="360" w:lineRule="auto"/>
              <w:jc w:val="both"/>
            </w:pPr>
            <w:r w:rsidRPr="009C685E">
              <w:t>males.</w:t>
            </w:r>
          </w:p>
        </w:tc>
        <w:tc>
          <w:tcPr>
            <w:tcW w:w="1678" w:type="dxa"/>
          </w:tcPr>
          <w:p w14:paraId="3A056B39" w14:textId="77777777" w:rsidR="00BF51FE" w:rsidRPr="009C685E" w:rsidRDefault="00BF51FE" w:rsidP="00DE380F">
            <w:pPr>
              <w:spacing w:line="360" w:lineRule="auto"/>
              <w:jc w:val="both"/>
            </w:pPr>
            <w:r w:rsidRPr="009C685E">
              <w:rPr>
                <w:color w:val="212529"/>
                <w:shd w:val="clear" w:color="auto" w:fill="F8F8F8"/>
              </w:rPr>
              <w:t>T1901, S2443</w:t>
            </w:r>
          </w:p>
        </w:tc>
        <w:tc>
          <w:tcPr>
            <w:tcW w:w="1404" w:type="dxa"/>
          </w:tcPr>
          <w:p w14:paraId="7CEF4989" w14:textId="77777777" w:rsidR="00BF51FE" w:rsidRPr="009C685E" w:rsidRDefault="00BF51FE" w:rsidP="00DE380F">
            <w:pPr>
              <w:spacing w:line="360" w:lineRule="auto"/>
              <w:jc w:val="both"/>
            </w:pPr>
            <w:r w:rsidRPr="009C685E">
              <w:t>Mass spectrometry</w:t>
            </w:r>
          </w:p>
        </w:tc>
        <w:tc>
          <w:tcPr>
            <w:tcW w:w="1622" w:type="dxa"/>
          </w:tcPr>
          <w:p w14:paraId="02E51930"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Communications","id":"ITEM-1","issue":"98","issued":{"date-parts":[["2018"]]},"page":"13790-13793","publisher":"Royal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plainTextFormattedCitation":"[39]","previouslyFormattedCitation":"[39]"},"properties":{"noteIndex":0},"schema":"https://github.com/citation-style-language/schema/raw/master/csl-citation.json"}</w:instrText>
            </w:r>
            <w:r w:rsidRPr="009C685E">
              <w:fldChar w:fldCharType="separate"/>
            </w:r>
            <w:r w:rsidRPr="009C685E">
              <w:t>[39]</w:t>
            </w:r>
            <w:r w:rsidRPr="009C685E">
              <w:fldChar w:fldCharType="end"/>
            </w:r>
          </w:p>
        </w:tc>
      </w:tr>
      <w:tr w:rsidR="00BF51FE" w:rsidRPr="009C685E" w14:paraId="1882EC32" w14:textId="77777777" w:rsidTr="00DE380F">
        <w:tc>
          <w:tcPr>
            <w:tcW w:w="1507" w:type="dxa"/>
          </w:tcPr>
          <w:p w14:paraId="77E1BD4C" w14:textId="77777777" w:rsidR="00BF51FE" w:rsidRPr="009C685E" w:rsidRDefault="00BF51FE" w:rsidP="00DE380F">
            <w:pPr>
              <w:spacing w:line="360" w:lineRule="auto"/>
              <w:jc w:val="both"/>
            </w:pPr>
            <w:r w:rsidRPr="009C685E">
              <w:t>ZCWPW1</w:t>
            </w:r>
          </w:p>
        </w:tc>
        <w:tc>
          <w:tcPr>
            <w:tcW w:w="2085" w:type="dxa"/>
          </w:tcPr>
          <w:p w14:paraId="2A28004D" w14:textId="77777777" w:rsidR="00BF51FE" w:rsidRPr="009C685E" w:rsidRDefault="00BF51FE" w:rsidP="00DE380F">
            <w:pPr>
              <w:spacing w:line="360" w:lineRule="auto"/>
              <w:jc w:val="both"/>
            </w:pPr>
            <w:r w:rsidRPr="009C685E">
              <w:t>Interacts with PRDM9 and recognizes H3K4me3 and</w:t>
            </w:r>
          </w:p>
          <w:p w14:paraId="5BA04ED5" w14:textId="77777777" w:rsidR="00BF51FE" w:rsidRPr="009C685E" w:rsidRDefault="00BF51FE" w:rsidP="00DE380F">
            <w:pPr>
              <w:spacing w:line="360" w:lineRule="auto"/>
              <w:jc w:val="both"/>
            </w:pPr>
            <w:r w:rsidRPr="009C685E">
              <w:t>H3K36me3 to ensure efficient DSB repair</w:t>
            </w:r>
          </w:p>
        </w:tc>
        <w:tc>
          <w:tcPr>
            <w:tcW w:w="1678" w:type="dxa"/>
          </w:tcPr>
          <w:p w14:paraId="2FFD1872" w14:textId="77777777" w:rsidR="00BF51FE" w:rsidRPr="009C685E" w:rsidRDefault="00BF51FE" w:rsidP="00DE380F">
            <w:pPr>
              <w:spacing w:line="360" w:lineRule="auto"/>
              <w:jc w:val="both"/>
            </w:pPr>
            <w:r w:rsidRPr="009C685E">
              <w:rPr>
                <w:color w:val="212529"/>
                <w:shd w:val="clear" w:color="auto" w:fill="F8F8F8"/>
              </w:rPr>
              <w:t>T68, T470</w:t>
            </w:r>
          </w:p>
        </w:tc>
        <w:tc>
          <w:tcPr>
            <w:tcW w:w="1404" w:type="dxa"/>
          </w:tcPr>
          <w:p w14:paraId="1B9FA9CE" w14:textId="77777777" w:rsidR="00BF51FE" w:rsidRPr="009C685E" w:rsidRDefault="00BF51FE" w:rsidP="00DE380F">
            <w:pPr>
              <w:spacing w:line="360" w:lineRule="auto"/>
              <w:jc w:val="both"/>
            </w:pPr>
            <w:r w:rsidRPr="009C685E">
              <w:t>Mass spectrometry</w:t>
            </w:r>
          </w:p>
        </w:tc>
        <w:tc>
          <w:tcPr>
            <w:tcW w:w="1622" w:type="dxa"/>
          </w:tcPr>
          <w:p w14:paraId="5741F5E3" w14:textId="77777777" w:rsidR="00BF51FE" w:rsidRPr="009C685E" w:rsidRDefault="00BF51FE" w:rsidP="00DE380F">
            <w:pPr>
              <w:spacing w:line="360" w:lineRule="auto"/>
              <w:jc w:val="both"/>
            </w:pPr>
            <w:r w:rsidRPr="009C685E">
              <w:fldChar w:fldCharType="begin" w:fldLock="1"/>
            </w:r>
            <w:r w:rsidRPr="009C685E">
              <w:instrText>ADDIN CSL_CITATION {"citationItems":[{"id":"ITEM-1","itemData":{"DOI":"10.1074/mcp.RA117.000261","ISSN":"15359484","PMID":"29351928","abstract":"Post-translational modifications (PTMs) on proteins often function to regulate signaling cascades, with the activation of T cells during an adaptive immune response being a classic example. Mounting evidence indicates that the modification of proteins by O-linked N-acetylglucosamine (O-GlcNAc), the only mammalian glycan found on nuclear and cytoplasmic proteins, helps regulate T cell activation. Yet, a mechanistic understanding of how O-GlcNAc functions in T cell activation remains elusive, partly because of the difficulties in mapping and quantifying O-GlcNAc sites. Thus, to advance insight into the role of O-GlcNAc in T cell activation, we performed glycosite mapping studies via direct glycopeptide measurement on resting and activated primary human T cells with a technique termed Isotope Targeted Glycoproteomics. This approach led to the identification of 2219 intact O-linked glycopeptides across 1045 glycoproteins. A significant proportion (&gt;45%) of the identified O-GlcNAc sites lie near or coincide with a known phosphorylation site, supporting the potential for PTM crosstalk. Consistent with other studies, we find that O-GlcNAc sites in T cells lack a strict consensus sequence. To validate our results, we employed gel shift assays based on conjugating mass tags to O-GlcNAc groups. Notably, we observed that the transcription factors c-JUN and JUNB show higher levels of O-GlcNAc glycosylation and higher levels of expression in activated T cells. Overall, our findings provide a quantitative characterization of O-GlcNAc glycoproteins and their corresponding modification sites in primary human T cells, which will facilitate mechanistic studies into the function of O-GlcNAc in T cell activation.","author":[{"dropping-particle":"","family":"Woo","given":"Christina M.","non-dropping-particle":"","parse-names":false,"suffix":""},{"dropping-particle":"","family":"Lund","given":"Peder J.","non-dropping-particle":"","parse-names":false,"suffix":""},{"dropping-particle":"","family":"Huang","given":"Andrew C.","non-dropping-particle":"","parse-names":false,"suffix":""},{"dropping-particle":"","family":"Davis","given":"Mark M.","non-dropping-particle":"","parse-names":false,"suffix":""},{"dropping-particle":"","family":"Bertozzi","given":"Carolyn R.","non-dropping-particle":"","parse-names":false,"suffix":""},{"dropping-particle":"","family":"Pitteri","given":"Sharon J.","non-dropping-particle":"","parse-names":false,"suffix":""}],"container-title":"Molecular and Cellular Proteomics","id":"ITEM-1","issue":"4","issued":{"date-parts":[["2018","4","1"]]},"page":"764-775","publisher":"American Society for Biochemistry and Molecular Biology Inc.","title":"Mapping and quantification of over 2000 O-linked glycopeptides in activated human T cells with isotope-targeted glycoproteomics (Isotag)","type":"article-journal","volume":"17"},"uris":["http://www.mendeley.com/documents/?uuid=ca659548-89dc-3749-835c-66c0b78b6352"]},{"id":"ITEM-2","itemData":{"DOI":"10.1039/c8cc08416e","ISSN":"1364548X","PMID":"30379171","abstract":"We report a new reagent that is capable of both chemical derivatization and selective enrichment of azide-labeled PTM peptides for sensitive identification by mass spectrometry (MS). Facile sample recovery, enhanced ionization and fragmentation in MS of the enriched PTM peptides are achieved, which leads to the identification of 3293 O-GlcNAc peptides and the location of 1706 sites in HeLa cells and efficiently expands the current mapping scale.","author":[{"dropping-particle":"","family":"Huo","given":"Bianbian","non-dropping-particle":"","parse-names":false,"suffix":""},{"dropping-particle":"","family":"Zhang","given":"Wanjun","non-dropping-particle":"","parse-names":false,"suffix":""},{"dropping-particle":"","family":"Zhao","given":"Xinyuan","non-dropping-particle":"","parse-names":false,"suffix":""},{"dropping-particle":"","family":"Dong","given":"Hangyan","non-dropping-particle":"","parse-names":false,"suffix":""},{"dropping-particle":"","family":"Yu","given":"Yongliang","non-dropping-particle":"","parse-names":false,"suffix":""},{"dropping-particle":"","family":"Wang","given":"Jianhua","non-dropping-particle":"","parse-names":false,"suffix":""},{"dropping-particle":"","family":"Qian","given":"Xiaohong","non-dropping-particle":"","parse-names":false,"suffix":""},{"dropping-particle":"","family":"Qin","given":"Weijie","non-dropping-particle":"","parse-names":false,"suffix":""}],"container-title":"Chemical Communications","id":"ITEM-2","issue":"98","issued":{"date-parts":[["2018"]]},"page":"13790-13793","publisher":"Royal Society of Chemistry","title":"A triarylphosphine-trimethylpiperidine reagent for the one-step derivatization and enrichment of protein post-translational modifications and identification by mass spectrometry","type":"article-journal","volume":"54"},"uris":["http://www.mendeley.com/documents/?uuid=32f1d9b9-4195-39cf-bed1-03454bae5a6f"]}],"mendeley":{"formattedCitation":"[39], [44]","plainTextFormattedCitation":"[39], [44]","previouslyFormattedCitation":"[39], [44]"},"properties":{"noteIndex":0},"schema":"https://github.com/citation-style-language/schema/raw/master/csl-citation.json"}</w:instrText>
            </w:r>
            <w:r w:rsidRPr="009C685E">
              <w:fldChar w:fldCharType="separate"/>
            </w:r>
            <w:r w:rsidRPr="009C685E">
              <w:t>[39], [44]</w:t>
            </w:r>
            <w:r w:rsidRPr="009C685E">
              <w:fldChar w:fldCharType="end"/>
            </w:r>
          </w:p>
        </w:tc>
      </w:tr>
      <w:bookmarkEnd w:id="0"/>
    </w:tbl>
    <w:p w14:paraId="71ABEEC3" w14:textId="77777777" w:rsidR="00BF51FE" w:rsidRPr="009C685E" w:rsidRDefault="00BF51FE" w:rsidP="00BF51FE">
      <w:pPr>
        <w:pStyle w:val="Paragraph"/>
        <w:spacing w:before="0" w:line="360" w:lineRule="auto"/>
        <w:ind w:left="720" w:firstLine="0"/>
        <w:jc w:val="both"/>
        <w:rPr>
          <w:rFonts w:eastAsiaTheme="minorEastAsia"/>
          <w:b/>
          <w:bCs/>
          <w:lang w:eastAsia="zh-CN"/>
        </w:rPr>
      </w:pPr>
    </w:p>
    <w:p w14:paraId="6BF39C4F" w14:textId="77777777" w:rsidR="00BF51FE" w:rsidRPr="009C685E" w:rsidRDefault="00BF51FE" w:rsidP="00BF51FE">
      <w:pPr>
        <w:pStyle w:val="Paragraph"/>
        <w:spacing w:before="0" w:line="360" w:lineRule="auto"/>
        <w:ind w:left="720" w:firstLine="0"/>
        <w:jc w:val="both"/>
      </w:pPr>
    </w:p>
    <w:p w14:paraId="42F3BE06" w14:textId="77777777" w:rsidR="00BF51FE" w:rsidRPr="009C685E" w:rsidRDefault="00BF51FE" w:rsidP="00B82A1D">
      <w:pPr>
        <w:pStyle w:val="Paragraph"/>
        <w:spacing w:before="0" w:line="360" w:lineRule="auto"/>
        <w:ind w:firstLine="0"/>
        <w:jc w:val="both"/>
        <w:rPr>
          <w:rFonts w:eastAsiaTheme="minorEastAsia" w:hint="eastAsia"/>
          <w:b/>
          <w:bCs/>
          <w:i/>
          <w:sz w:val="20"/>
          <w:szCs w:val="20"/>
          <w:lang w:eastAsia="zh-CN"/>
        </w:rPr>
      </w:pPr>
    </w:p>
    <w:p w14:paraId="1BCDD3BC" w14:textId="77777777" w:rsidR="00BF51FE" w:rsidRPr="009C685E" w:rsidRDefault="00BF51FE" w:rsidP="00BF51FE">
      <w:pPr>
        <w:pStyle w:val="Paragraph"/>
        <w:spacing w:before="0" w:line="360" w:lineRule="auto"/>
        <w:ind w:left="720" w:firstLine="0"/>
        <w:jc w:val="both"/>
        <w:rPr>
          <w:rFonts w:eastAsiaTheme="minorEastAsia"/>
          <w:b/>
          <w:bCs/>
          <w:i/>
          <w:sz w:val="20"/>
          <w:szCs w:val="20"/>
          <w:lang w:eastAsia="zh-CN"/>
        </w:rPr>
      </w:pPr>
      <w:r w:rsidRPr="009C685E">
        <w:rPr>
          <w:rFonts w:eastAsiaTheme="minorEastAsia"/>
          <w:b/>
          <w:bCs/>
          <w:i/>
          <w:sz w:val="20"/>
          <w:szCs w:val="20"/>
          <w:lang w:eastAsia="zh-CN"/>
        </w:rPr>
        <w:t>Table. S2 Antibody information</w:t>
      </w:r>
    </w:p>
    <w:tbl>
      <w:tblPr>
        <w:tblStyle w:val="a7"/>
        <w:tblW w:w="0" w:type="auto"/>
        <w:tblLook w:val="04A0" w:firstRow="1" w:lastRow="0" w:firstColumn="1" w:lastColumn="0" w:noHBand="0" w:noVBand="1"/>
      </w:tblPr>
      <w:tblGrid>
        <w:gridCol w:w="2830"/>
        <w:gridCol w:w="3686"/>
        <w:gridCol w:w="1780"/>
      </w:tblGrid>
      <w:tr w:rsidR="00BF51FE" w:rsidRPr="009C685E" w14:paraId="1618F04F" w14:textId="77777777" w:rsidTr="00DE380F">
        <w:tc>
          <w:tcPr>
            <w:tcW w:w="2830" w:type="dxa"/>
            <w:tcBorders>
              <w:top w:val="single" w:sz="4" w:space="0" w:color="auto"/>
              <w:left w:val="single" w:sz="4" w:space="0" w:color="auto"/>
              <w:bottom w:val="single" w:sz="4" w:space="0" w:color="auto"/>
              <w:right w:val="single" w:sz="4" w:space="0" w:color="auto"/>
            </w:tcBorders>
          </w:tcPr>
          <w:p w14:paraId="424087D2" w14:textId="77777777" w:rsidR="00BF51FE" w:rsidRPr="009C685E" w:rsidRDefault="00BF51FE" w:rsidP="00DE380F">
            <w:pPr>
              <w:spacing w:line="360" w:lineRule="auto"/>
              <w:jc w:val="both"/>
              <w:rPr>
                <w:szCs w:val="21"/>
              </w:rPr>
            </w:pPr>
            <w:r w:rsidRPr="009C685E">
              <w:rPr>
                <w:szCs w:val="21"/>
              </w:rPr>
              <w:t>Antibody name</w:t>
            </w:r>
          </w:p>
        </w:tc>
        <w:tc>
          <w:tcPr>
            <w:tcW w:w="3686" w:type="dxa"/>
            <w:tcBorders>
              <w:top w:val="single" w:sz="4" w:space="0" w:color="auto"/>
              <w:left w:val="single" w:sz="4" w:space="0" w:color="auto"/>
              <w:bottom w:val="single" w:sz="4" w:space="0" w:color="auto"/>
              <w:right w:val="single" w:sz="4" w:space="0" w:color="auto"/>
            </w:tcBorders>
          </w:tcPr>
          <w:p w14:paraId="40A769CB" w14:textId="77777777" w:rsidR="00BF51FE" w:rsidRPr="009C685E" w:rsidRDefault="00BF51FE" w:rsidP="00DE380F">
            <w:pPr>
              <w:spacing w:line="360" w:lineRule="auto"/>
              <w:jc w:val="both"/>
              <w:rPr>
                <w:szCs w:val="21"/>
              </w:rPr>
            </w:pPr>
            <w:r w:rsidRPr="009C685E">
              <w:rPr>
                <w:szCs w:val="21"/>
              </w:rPr>
              <w:t>Manufacture (catalogue number)</w:t>
            </w:r>
          </w:p>
        </w:tc>
        <w:tc>
          <w:tcPr>
            <w:tcW w:w="1780" w:type="dxa"/>
            <w:tcBorders>
              <w:top w:val="single" w:sz="4" w:space="0" w:color="auto"/>
              <w:left w:val="single" w:sz="4" w:space="0" w:color="auto"/>
              <w:bottom w:val="single" w:sz="4" w:space="0" w:color="auto"/>
              <w:right w:val="single" w:sz="4" w:space="0" w:color="auto"/>
            </w:tcBorders>
          </w:tcPr>
          <w:p w14:paraId="719256CD" w14:textId="77777777" w:rsidR="00BF51FE" w:rsidRPr="009C685E" w:rsidRDefault="00BF51FE" w:rsidP="00DE380F">
            <w:pPr>
              <w:spacing w:line="360" w:lineRule="auto"/>
              <w:jc w:val="both"/>
              <w:rPr>
                <w:szCs w:val="21"/>
              </w:rPr>
            </w:pPr>
            <w:r w:rsidRPr="009C685E">
              <w:rPr>
                <w:szCs w:val="21"/>
              </w:rPr>
              <w:t>Applications (working dilution)</w:t>
            </w:r>
          </w:p>
        </w:tc>
      </w:tr>
      <w:tr w:rsidR="00BF51FE" w:rsidRPr="009C685E" w14:paraId="4185B6CD" w14:textId="77777777" w:rsidTr="00DE380F">
        <w:tc>
          <w:tcPr>
            <w:tcW w:w="2830" w:type="dxa"/>
            <w:tcBorders>
              <w:top w:val="single" w:sz="4" w:space="0" w:color="auto"/>
              <w:left w:val="single" w:sz="4" w:space="0" w:color="auto"/>
              <w:bottom w:val="single" w:sz="4" w:space="0" w:color="auto"/>
              <w:right w:val="single" w:sz="4" w:space="0" w:color="auto"/>
            </w:tcBorders>
          </w:tcPr>
          <w:p w14:paraId="55C7C7A9" w14:textId="77777777" w:rsidR="00BF51FE" w:rsidRPr="009C685E" w:rsidRDefault="00BF51FE" w:rsidP="00DE380F">
            <w:pPr>
              <w:spacing w:line="360" w:lineRule="auto"/>
              <w:jc w:val="both"/>
              <w:rPr>
                <w:szCs w:val="21"/>
              </w:rPr>
            </w:pPr>
            <w:r w:rsidRPr="009C685E">
              <w:rPr>
                <w:szCs w:val="21"/>
              </w:rPr>
              <w:t>O-linked N-acetylglucosamine (O-GlcNAc) Monoclonal Antibody (RL2)</w:t>
            </w:r>
          </w:p>
        </w:tc>
        <w:tc>
          <w:tcPr>
            <w:tcW w:w="3686" w:type="dxa"/>
            <w:tcBorders>
              <w:top w:val="single" w:sz="4" w:space="0" w:color="auto"/>
              <w:left w:val="single" w:sz="4" w:space="0" w:color="auto"/>
              <w:bottom w:val="single" w:sz="4" w:space="0" w:color="auto"/>
              <w:right w:val="single" w:sz="4" w:space="0" w:color="auto"/>
            </w:tcBorders>
          </w:tcPr>
          <w:p w14:paraId="6C438ABD" w14:textId="77777777" w:rsidR="00BF51FE" w:rsidRPr="009C685E" w:rsidRDefault="00BF51FE" w:rsidP="00DE380F">
            <w:pPr>
              <w:spacing w:line="360" w:lineRule="auto"/>
              <w:jc w:val="both"/>
              <w:rPr>
                <w:szCs w:val="21"/>
              </w:rPr>
            </w:pPr>
            <w:r w:rsidRPr="009C685E">
              <w:rPr>
                <w:szCs w:val="21"/>
              </w:rPr>
              <w:t>Invitrogen (MA1-072)</w:t>
            </w:r>
          </w:p>
        </w:tc>
        <w:tc>
          <w:tcPr>
            <w:tcW w:w="1780" w:type="dxa"/>
            <w:tcBorders>
              <w:top w:val="single" w:sz="4" w:space="0" w:color="auto"/>
              <w:left w:val="single" w:sz="4" w:space="0" w:color="auto"/>
              <w:bottom w:val="single" w:sz="4" w:space="0" w:color="auto"/>
              <w:right w:val="single" w:sz="4" w:space="0" w:color="auto"/>
            </w:tcBorders>
          </w:tcPr>
          <w:p w14:paraId="762E6786" w14:textId="77777777" w:rsidR="00BF51FE" w:rsidRPr="009C685E" w:rsidRDefault="00BF51FE" w:rsidP="00DE380F">
            <w:pPr>
              <w:spacing w:line="360" w:lineRule="auto"/>
              <w:jc w:val="both"/>
              <w:rPr>
                <w:szCs w:val="21"/>
              </w:rPr>
            </w:pPr>
            <w:r w:rsidRPr="009C685E">
              <w:rPr>
                <w:szCs w:val="21"/>
              </w:rPr>
              <w:t>WB (1:1000)</w:t>
            </w:r>
          </w:p>
          <w:p w14:paraId="6D466B0D" w14:textId="77777777" w:rsidR="00BF51FE" w:rsidRPr="009C685E" w:rsidRDefault="00BF51FE" w:rsidP="00DE380F">
            <w:pPr>
              <w:spacing w:line="360" w:lineRule="auto"/>
              <w:jc w:val="both"/>
              <w:rPr>
                <w:szCs w:val="21"/>
              </w:rPr>
            </w:pPr>
            <w:r w:rsidRPr="009C685E">
              <w:rPr>
                <w:szCs w:val="21"/>
              </w:rPr>
              <w:t>IF (1:100)</w:t>
            </w:r>
          </w:p>
        </w:tc>
      </w:tr>
      <w:tr w:rsidR="00BF51FE" w:rsidRPr="009C685E" w14:paraId="0606D0D1" w14:textId="77777777" w:rsidTr="00DE380F">
        <w:tc>
          <w:tcPr>
            <w:tcW w:w="2830" w:type="dxa"/>
            <w:tcBorders>
              <w:top w:val="single" w:sz="4" w:space="0" w:color="auto"/>
              <w:left w:val="single" w:sz="4" w:space="0" w:color="auto"/>
              <w:bottom w:val="single" w:sz="4" w:space="0" w:color="auto"/>
              <w:right w:val="single" w:sz="4" w:space="0" w:color="auto"/>
            </w:tcBorders>
          </w:tcPr>
          <w:p w14:paraId="41C2B1A9" w14:textId="77777777" w:rsidR="00BF51FE" w:rsidRPr="009C685E" w:rsidRDefault="00BF51FE" w:rsidP="00DE380F">
            <w:pPr>
              <w:spacing w:line="360" w:lineRule="auto"/>
              <w:jc w:val="both"/>
              <w:rPr>
                <w:szCs w:val="21"/>
              </w:rPr>
            </w:pPr>
            <w:r w:rsidRPr="009C685E">
              <w:rPr>
                <w:szCs w:val="21"/>
              </w:rPr>
              <w:t>OGT Polyclonal Antibody</w:t>
            </w:r>
          </w:p>
        </w:tc>
        <w:tc>
          <w:tcPr>
            <w:tcW w:w="3686" w:type="dxa"/>
            <w:tcBorders>
              <w:top w:val="single" w:sz="4" w:space="0" w:color="auto"/>
              <w:left w:val="single" w:sz="4" w:space="0" w:color="auto"/>
              <w:bottom w:val="single" w:sz="4" w:space="0" w:color="auto"/>
              <w:right w:val="single" w:sz="4" w:space="0" w:color="auto"/>
            </w:tcBorders>
          </w:tcPr>
          <w:p w14:paraId="65267C68" w14:textId="77777777" w:rsidR="00BF51FE" w:rsidRPr="009C685E" w:rsidRDefault="00BF51FE" w:rsidP="00DE380F">
            <w:pPr>
              <w:spacing w:line="360" w:lineRule="auto"/>
              <w:jc w:val="both"/>
              <w:rPr>
                <w:szCs w:val="21"/>
              </w:rPr>
            </w:pPr>
            <w:r w:rsidRPr="009C685E">
              <w:rPr>
                <w:szCs w:val="21"/>
              </w:rPr>
              <w:t>Invitrogen (PA5-22071)</w:t>
            </w:r>
          </w:p>
        </w:tc>
        <w:tc>
          <w:tcPr>
            <w:tcW w:w="1780" w:type="dxa"/>
            <w:tcBorders>
              <w:top w:val="single" w:sz="4" w:space="0" w:color="auto"/>
              <w:left w:val="single" w:sz="4" w:space="0" w:color="auto"/>
              <w:bottom w:val="single" w:sz="4" w:space="0" w:color="auto"/>
              <w:right w:val="single" w:sz="4" w:space="0" w:color="auto"/>
            </w:tcBorders>
          </w:tcPr>
          <w:p w14:paraId="107F7DB9" w14:textId="77777777" w:rsidR="00BF51FE" w:rsidRPr="009C685E" w:rsidRDefault="00BF51FE" w:rsidP="00DE380F">
            <w:pPr>
              <w:spacing w:line="360" w:lineRule="auto"/>
              <w:jc w:val="both"/>
              <w:rPr>
                <w:szCs w:val="21"/>
              </w:rPr>
            </w:pPr>
            <w:r w:rsidRPr="009C685E">
              <w:rPr>
                <w:szCs w:val="21"/>
              </w:rPr>
              <w:t>WB (1:1000)</w:t>
            </w:r>
          </w:p>
        </w:tc>
      </w:tr>
      <w:tr w:rsidR="00BF51FE" w:rsidRPr="009C685E" w14:paraId="409A2EF8" w14:textId="77777777" w:rsidTr="00DE380F">
        <w:tc>
          <w:tcPr>
            <w:tcW w:w="2830" w:type="dxa"/>
            <w:tcBorders>
              <w:top w:val="single" w:sz="4" w:space="0" w:color="auto"/>
              <w:left w:val="single" w:sz="4" w:space="0" w:color="auto"/>
              <w:bottom w:val="single" w:sz="4" w:space="0" w:color="auto"/>
              <w:right w:val="single" w:sz="4" w:space="0" w:color="auto"/>
            </w:tcBorders>
          </w:tcPr>
          <w:p w14:paraId="4E8594A7" w14:textId="77777777" w:rsidR="00BF51FE" w:rsidRPr="009C685E" w:rsidRDefault="00BF51FE" w:rsidP="00DE380F">
            <w:pPr>
              <w:spacing w:line="360" w:lineRule="auto"/>
              <w:jc w:val="both"/>
              <w:rPr>
                <w:szCs w:val="21"/>
              </w:rPr>
            </w:pPr>
            <w:r w:rsidRPr="009C685E">
              <w:rPr>
                <w:szCs w:val="21"/>
              </w:rPr>
              <w:t>MGEA5 Polyclonal antibody</w:t>
            </w:r>
          </w:p>
        </w:tc>
        <w:tc>
          <w:tcPr>
            <w:tcW w:w="3686" w:type="dxa"/>
            <w:tcBorders>
              <w:top w:val="single" w:sz="4" w:space="0" w:color="auto"/>
              <w:left w:val="single" w:sz="4" w:space="0" w:color="auto"/>
              <w:bottom w:val="single" w:sz="4" w:space="0" w:color="auto"/>
              <w:right w:val="single" w:sz="4" w:space="0" w:color="auto"/>
            </w:tcBorders>
          </w:tcPr>
          <w:p w14:paraId="75A4A361" w14:textId="77777777" w:rsidR="00BF51FE" w:rsidRPr="009C685E" w:rsidRDefault="00BF51FE" w:rsidP="00DE380F">
            <w:pPr>
              <w:spacing w:line="360" w:lineRule="auto"/>
              <w:jc w:val="both"/>
              <w:rPr>
                <w:szCs w:val="21"/>
              </w:rPr>
            </w:pPr>
            <w:proofErr w:type="spellStart"/>
            <w:r w:rsidRPr="009C685E">
              <w:rPr>
                <w:szCs w:val="21"/>
              </w:rPr>
              <w:t>Proteintech</w:t>
            </w:r>
            <w:proofErr w:type="spellEnd"/>
            <w:r w:rsidRPr="009C685E">
              <w:rPr>
                <w:szCs w:val="21"/>
              </w:rPr>
              <w:t xml:space="preserve"> Biotechnology(14711-1-AP)</w:t>
            </w:r>
          </w:p>
        </w:tc>
        <w:tc>
          <w:tcPr>
            <w:tcW w:w="1780" w:type="dxa"/>
            <w:tcBorders>
              <w:top w:val="single" w:sz="4" w:space="0" w:color="auto"/>
              <w:left w:val="single" w:sz="4" w:space="0" w:color="auto"/>
              <w:bottom w:val="single" w:sz="4" w:space="0" w:color="auto"/>
              <w:right w:val="single" w:sz="4" w:space="0" w:color="auto"/>
            </w:tcBorders>
          </w:tcPr>
          <w:p w14:paraId="481CC2D7" w14:textId="77777777" w:rsidR="00BF51FE" w:rsidRPr="009C685E" w:rsidRDefault="00BF51FE" w:rsidP="00DE380F">
            <w:pPr>
              <w:spacing w:line="360" w:lineRule="auto"/>
              <w:jc w:val="both"/>
              <w:rPr>
                <w:szCs w:val="21"/>
              </w:rPr>
            </w:pPr>
            <w:r w:rsidRPr="009C685E">
              <w:rPr>
                <w:szCs w:val="21"/>
              </w:rPr>
              <w:t>WB (1:1000)</w:t>
            </w:r>
          </w:p>
          <w:p w14:paraId="126B7CAA" w14:textId="77777777" w:rsidR="00BF51FE" w:rsidRPr="009C685E" w:rsidRDefault="00BF51FE" w:rsidP="00DE380F">
            <w:pPr>
              <w:spacing w:line="360" w:lineRule="auto"/>
              <w:jc w:val="both"/>
              <w:rPr>
                <w:szCs w:val="21"/>
              </w:rPr>
            </w:pPr>
            <w:r w:rsidRPr="009C685E">
              <w:rPr>
                <w:szCs w:val="21"/>
              </w:rPr>
              <w:t>IF (1:100)</w:t>
            </w:r>
          </w:p>
        </w:tc>
      </w:tr>
      <w:tr w:rsidR="00BF51FE" w:rsidRPr="009C685E" w14:paraId="44B0EB21" w14:textId="77777777" w:rsidTr="00DE380F">
        <w:tc>
          <w:tcPr>
            <w:tcW w:w="2830" w:type="dxa"/>
            <w:tcBorders>
              <w:top w:val="single" w:sz="4" w:space="0" w:color="auto"/>
              <w:left w:val="single" w:sz="4" w:space="0" w:color="auto"/>
              <w:bottom w:val="single" w:sz="4" w:space="0" w:color="auto"/>
              <w:right w:val="single" w:sz="4" w:space="0" w:color="auto"/>
            </w:tcBorders>
          </w:tcPr>
          <w:p w14:paraId="7608B62F" w14:textId="77777777" w:rsidR="00BF51FE" w:rsidRPr="009C685E" w:rsidRDefault="00BF51FE" w:rsidP="00DE380F">
            <w:pPr>
              <w:shd w:val="clear" w:color="auto" w:fill="FFFFFF"/>
              <w:spacing w:before="100" w:beforeAutospacing="1" w:after="100" w:afterAutospacing="1" w:line="360" w:lineRule="auto"/>
              <w:jc w:val="both"/>
              <w:outlineLvl w:val="0"/>
              <w:rPr>
                <w:szCs w:val="21"/>
              </w:rPr>
            </w:pPr>
            <w:r w:rsidRPr="009C685E">
              <w:rPr>
                <w:szCs w:val="21"/>
              </w:rPr>
              <w:t>Anti-MLH1 antibody</w:t>
            </w:r>
          </w:p>
        </w:tc>
        <w:tc>
          <w:tcPr>
            <w:tcW w:w="3686" w:type="dxa"/>
            <w:tcBorders>
              <w:top w:val="single" w:sz="4" w:space="0" w:color="auto"/>
              <w:left w:val="single" w:sz="4" w:space="0" w:color="auto"/>
              <w:bottom w:val="single" w:sz="4" w:space="0" w:color="auto"/>
              <w:right w:val="single" w:sz="4" w:space="0" w:color="auto"/>
            </w:tcBorders>
          </w:tcPr>
          <w:p w14:paraId="47421DF6" w14:textId="77777777" w:rsidR="00BF51FE" w:rsidRPr="009C685E" w:rsidRDefault="00BF51FE" w:rsidP="00DE380F">
            <w:pPr>
              <w:spacing w:line="360" w:lineRule="auto"/>
              <w:jc w:val="both"/>
              <w:rPr>
                <w:szCs w:val="21"/>
              </w:rPr>
            </w:pPr>
            <w:r w:rsidRPr="009C685E">
              <w:rPr>
                <w:szCs w:val="21"/>
              </w:rPr>
              <w:t>Abcam (ab91312)</w:t>
            </w:r>
          </w:p>
        </w:tc>
        <w:tc>
          <w:tcPr>
            <w:tcW w:w="1780" w:type="dxa"/>
            <w:tcBorders>
              <w:top w:val="single" w:sz="4" w:space="0" w:color="auto"/>
              <w:left w:val="single" w:sz="4" w:space="0" w:color="auto"/>
              <w:bottom w:val="single" w:sz="4" w:space="0" w:color="auto"/>
              <w:right w:val="single" w:sz="4" w:space="0" w:color="auto"/>
            </w:tcBorders>
          </w:tcPr>
          <w:p w14:paraId="4E844DFE" w14:textId="77777777" w:rsidR="00BF51FE" w:rsidRPr="009C685E" w:rsidRDefault="00BF51FE" w:rsidP="00DE380F">
            <w:pPr>
              <w:spacing w:line="360" w:lineRule="auto"/>
              <w:jc w:val="both"/>
              <w:rPr>
                <w:szCs w:val="21"/>
              </w:rPr>
            </w:pPr>
            <w:r w:rsidRPr="009C685E">
              <w:rPr>
                <w:szCs w:val="21"/>
              </w:rPr>
              <w:t>IF (1:50)</w:t>
            </w:r>
          </w:p>
        </w:tc>
      </w:tr>
      <w:tr w:rsidR="00BF51FE" w:rsidRPr="009C685E" w14:paraId="4F7868EE" w14:textId="77777777" w:rsidTr="00DE380F">
        <w:tc>
          <w:tcPr>
            <w:tcW w:w="2830" w:type="dxa"/>
            <w:tcBorders>
              <w:top w:val="single" w:sz="4" w:space="0" w:color="auto"/>
              <w:left w:val="single" w:sz="4" w:space="0" w:color="auto"/>
              <w:bottom w:val="single" w:sz="4" w:space="0" w:color="auto"/>
              <w:right w:val="single" w:sz="4" w:space="0" w:color="auto"/>
            </w:tcBorders>
          </w:tcPr>
          <w:p w14:paraId="5239335E" w14:textId="77777777" w:rsidR="00BF51FE" w:rsidRPr="009C685E" w:rsidRDefault="00BF51FE" w:rsidP="00DE380F">
            <w:pPr>
              <w:spacing w:line="360" w:lineRule="auto"/>
              <w:jc w:val="both"/>
              <w:rPr>
                <w:szCs w:val="21"/>
              </w:rPr>
            </w:pPr>
            <w:r w:rsidRPr="009C685E">
              <w:rPr>
                <w:szCs w:val="21"/>
              </w:rPr>
              <w:t>Anti-Rec8 antibody</w:t>
            </w:r>
          </w:p>
        </w:tc>
        <w:tc>
          <w:tcPr>
            <w:tcW w:w="3686" w:type="dxa"/>
            <w:tcBorders>
              <w:top w:val="single" w:sz="4" w:space="0" w:color="auto"/>
              <w:left w:val="single" w:sz="4" w:space="0" w:color="auto"/>
              <w:bottom w:val="single" w:sz="4" w:space="0" w:color="auto"/>
              <w:right w:val="single" w:sz="4" w:space="0" w:color="auto"/>
            </w:tcBorders>
          </w:tcPr>
          <w:p w14:paraId="777489F1" w14:textId="77777777" w:rsidR="00BF51FE" w:rsidRPr="009C685E" w:rsidRDefault="00BF51FE" w:rsidP="00DE380F">
            <w:pPr>
              <w:spacing w:line="360" w:lineRule="auto"/>
              <w:jc w:val="both"/>
              <w:rPr>
                <w:szCs w:val="21"/>
              </w:rPr>
            </w:pPr>
            <w:r w:rsidRPr="009C685E">
              <w:rPr>
                <w:szCs w:val="21"/>
              </w:rPr>
              <w:t>Abcam (ab192241)</w:t>
            </w:r>
          </w:p>
        </w:tc>
        <w:tc>
          <w:tcPr>
            <w:tcW w:w="1780" w:type="dxa"/>
            <w:tcBorders>
              <w:top w:val="single" w:sz="4" w:space="0" w:color="auto"/>
              <w:left w:val="single" w:sz="4" w:space="0" w:color="auto"/>
              <w:bottom w:val="single" w:sz="4" w:space="0" w:color="auto"/>
              <w:right w:val="single" w:sz="4" w:space="0" w:color="auto"/>
            </w:tcBorders>
          </w:tcPr>
          <w:p w14:paraId="4CDCD8DD" w14:textId="77777777" w:rsidR="00BF51FE" w:rsidRPr="009C685E" w:rsidRDefault="00BF51FE" w:rsidP="00DE380F">
            <w:pPr>
              <w:spacing w:line="360" w:lineRule="auto"/>
              <w:jc w:val="both"/>
              <w:rPr>
                <w:szCs w:val="21"/>
              </w:rPr>
            </w:pPr>
            <w:r w:rsidRPr="009C685E">
              <w:rPr>
                <w:szCs w:val="21"/>
              </w:rPr>
              <w:t>IF (1:100)</w:t>
            </w:r>
          </w:p>
        </w:tc>
      </w:tr>
      <w:tr w:rsidR="00BF51FE" w:rsidRPr="009C685E" w14:paraId="0E73F567" w14:textId="77777777" w:rsidTr="00DE380F">
        <w:tc>
          <w:tcPr>
            <w:tcW w:w="2830" w:type="dxa"/>
            <w:tcBorders>
              <w:top w:val="single" w:sz="4" w:space="0" w:color="auto"/>
              <w:left w:val="single" w:sz="4" w:space="0" w:color="auto"/>
              <w:bottom w:val="single" w:sz="4" w:space="0" w:color="auto"/>
              <w:right w:val="single" w:sz="4" w:space="0" w:color="auto"/>
            </w:tcBorders>
          </w:tcPr>
          <w:p w14:paraId="595E59B6" w14:textId="77777777" w:rsidR="00BF51FE" w:rsidRPr="009C685E" w:rsidRDefault="00BF51FE" w:rsidP="00DE380F">
            <w:pPr>
              <w:spacing w:line="360" w:lineRule="auto"/>
              <w:jc w:val="both"/>
              <w:rPr>
                <w:szCs w:val="21"/>
              </w:rPr>
            </w:pPr>
            <w:r w:rsidRPr="009C685E">
              <w:rPr>
                <w:szCs w:val="21"/>
              </w:rPr>
              <w:t>Anti-Rpa2 antibody</w:t>
            </w:r>
          </w:p>
        </w:tc>
        <w:tc>
          <w:tcPr>
            <w:tcW w:w="3686" w:type="dxa"/>
            <w:tcBorders>
              <w:top w:val="single" w:sz="4" w:space="0" w:color="auto"/>
              <w:left w:val="single" w:sz="4" w:space="0" w:color="auto"/>
              <w:bottom w:val="single" w:sz="4" w:space="0" w:color="auto"/>
              <w:right w:val="single" w:sz="4" w:space="0" w:color="auto"/>
            </w:tcBorders>
          </w:tcPr>
          <w:p w14:paraId="13A48080" w14:textId="77777777" w:rsidR="00BF51FE" w:rsidRPr="009C685E" w:rsidRDefault="00BF51FE" w:rsidP="00DE380F">
            <w:pPr>
              <w:spacing w:line="360" w:lineRule="auto"/>
              <w:jc w:val="both"/>
              <w:rPr>
                <w:szCs w:val="21"/>
              </w:rPr>
            </w:pPr>
            <w:r w:rsidRPr="009C685E">
              <w:rPr>
                <w:szCs w:val="21"/>
              </w:rPr>
              <w:t>Abcam (ab76420)</w:t>
            </w:r>
          </w:p>
        </w:tc>
        <w:tc>
          <w:tcPr>
            <w:tcW w:w="1780" w:type="dxa"/>
            <w:tcBorders>
              <w:top w:val="single" w:sz="4" w:space="0" w:color="auto"/>
              <w:left w:val="single" w:sz="4" w:space="0" w:color="auto"/>
              <w:bottom w:val="single" w:sz="4" w:space="0" w:color="auto"/>
              <w:right w:val="single" w:sz="4" w:space="0" w:color="auto"/>
            </w:tcBorders>
          </w:tcPr>
          <w:p w14:paraId="28E258C3" w14:textId="77777777" w:rsidR="00BF51FE" w:rsidRPr="009C685E" w:rsidRDefault="00BF51FE" w:rsidP="00DE380F">
            <w:pPr>
              <w:spacing w:line="360" w:lineRule="auto"/>
              <w:jc w:val="both"/>
              <w:rPr>
                <w:szCs w:val="21"/>
              </w:rPr>
            </w:pPr>
            <w:r w:rsidRPr="009C685E">
              <w:rPr>
                <w:szCs w:val="21"/>
              </w:rPr>
              <w:t>IF (1:100)</w:t>
            </w:r>
          </w:p>
        </w:tc>
      </w:tr>
      <w:tr w:rsidR="00BF51FE" w:rsidRPr="009C685E" w14:paraId="3FAE1BF5" w14:textId="77777777" w:rsidTr="00DE380F">
        <w:tc>
          <w:tcPr>
            <w:tcW w:w="2830" w:type="dxa"/>
            <w:tcBorders>
              <w:top w:val="single" w:sz="4" w:space="0" w:color="auto"/>
              <w:left w:val="single" w:sz="4" w:space="0" w:color="auto"/>
              <w:bottom w:val="single" w:sz="4" w:space="0" w:color="auto"/>
              <w:right w:val="single" w:sz="4" w:space="0" w:color="auto"/>
            </w:tcBorders>
          </w:tcPr>
          <w:p w14:paraId="119A2B9D" w14:textId="77777777" w:rsidR="00BF51FE" w:rsidRPr="009C685E" w:rsidRDefault="00BF51FE" w:rsidP="00DE380F">
            <w:pPr>
              <w:spacing w:line="360" w:lineRule="auto"/>
              <w:jc w:val="both"/>
              <w:rPr>
                <w:szCs w:val="21"/>
              </w:rPr>
            </w:pPr>
            <w:r w:rsidRPr="009C685E">
              <w:rPr>
                <w:szCs w:val="21"/>
              </w:rPr>
              <w:lastRenderedPageBreak/>
              <w:t>Anti-gamma H2AX (</w:t>
            </w:r>
            <w:proofErr w:type="spellStart"/>
            <w:r w:rsidRPr="009C685E">
              <w:rPr>
                <w:szCs w:val="21"/>
              </w:rPr>
              <w:t>phospho</w:t>
            </w:r>
            <w:proofErr w:type="spellEnd"/>
            <w:r w:rsidRPr="009C685E">
              <w:rPr>
                <w:szCs w:val="21"/>
              </w:rPr>
              <w:t xml:space="preserve"> S139) antibody</w:t>
            </w:r>
          </w:p>
        </w:tc>
        <w:tc>
          <w:tcPr>
            <w:tcW w:w="3686" w:type="dxa"/>
            <w:tcBorders>
              <w:top w:val="single" w:sz="4" w:space="0" w:color="auto"/>
              <w:left w:val="single" w:sz="4" w:space="0" w:color="auto"/>
              <w:bottom w:val="single" w:sz="4" w:space="0" w:color="auto"/>
              <w:right w:val="single" w:sz="4" w:space="0" w:color="auto"/>
            </w:tcBorders>
          </w:tcPr>
          <w:p w14:paraId="6287EC8A" w14:textId="77777777" w:rsidR="00BF51FE" w:rsidRPr="009C685E" w:rsidRDefault="00BF51FE" w:rsidP="00DE380F">
            <w:pPr>
              <w:spacing w:line="360" w:lineRule="auto"/>
              <w:jc w:val="both"/>
              <w:rPr>
                <w:szCs w:val="21"/>
              </w:rPr>
            </w:pPr>
            <w:r w:rsidRPr="009C685E">
              <w:rPr>
                <w:szCs w:val="21"/>
              </w:rPr>
              <w:t>Abcam (ab81299)</w:t>
            </w:r>
          </w:p>
        </w:tc>
        <w:tc>
          <w:tcPr>
            <w:tcW w:w="1780" w:type="dxa"/>
            <w:tcBorders>
              <w:top w:val="single" w:sz="4" w:space="0" w:color="auto"/>
              <w:left w:val="single" w:sz="4" w:space="0" w:color="auto"/>
              <w:bottom w:val="single" w:sz="4" w:space="0" w:color="auto"/>
              <w:right w:val="single" w:sz="4" w:space="0" w:color="auto"/>
            </w:tcBorders>
          </w:tcPr>
          <w:p w14:paraId="138A676A" w14:textId="77777777" w:rsidR="00BF51FE" w:rsidRPr="009C685E" w:rsidRDefault="00BF51FE" w:rsidP="00DE380F">
            <w:pPr>
              <w:spacing w:line="360" w:lineRule="auto"/>
              <w:jc w:val="both"/>
              <w:rPr>
                <w:szCs w:val="21"/>
              </w:rPr>
            </w:pPr>
            <w:r w:rsidRPr="009C685E">
              <w:rPr>
                <w:szCs w:val="21"/>
              </w:rPr>
              <w:t>IF (1:500)</w:t>
            </w:r>
          </w:p>
        </w:tc>
      </w:tr>
      <w:tr w:rsidR="00BF51FE" w:rsidRPr="009C685E" w14:paraId="2F775D46" w14:textId="77777777" w:rsidTr="00DE380F">
        <w:tc>
          <w:tcPr>
            <w:tcW w:w="2830" w:type="dxa"/>
            <w:tcBorders>
              <w:top w:val="single" w:sz="4" w:space="0" w:color="auto"/>
              <w:left w:val="single" w:sz="4" w:space="0" w:color="auto"/>
              <w:bottom w:val="single" w:sz="4" w:space="0" w:color="auto"/>
              <w:right w:val="single" w:sz="4" w:space="0" w:color="auto"/>
            </w:tcBorders>
          </w:tcPr>
          <w:p w14:paraId="157366AA" w14:textId="77777777" w:rsidR="00BF51FE" w:rsidRPr="009C685E" w:rsidRDefault="00BF51FE" w:rsidP="00DE380F">
            <w:pPr>
              <w:spacing w:line="360" w:lineRule="auto"/>
              <w:jc w:val="both"/>
              <w:rPr>
                <w:szCs w:val="21"/>
              </w:rPr>
            </w:pPr>
            <w:r w:rsidRPr="009C685E">
              <w:rPr>
                <w:szCs w:val="21"/>
              </w:rPr>
              <w:t>Anti-SYCP3 Antibody</w:t>
            </w:r>
          </w:p>
        </w:tc>
        <w:tc>
          <w:tcPr>
            <w:tcW w:w="3686" w:type="dxa"/>
            <w:tcBorders>
              <w:top w:val="single" w:sz="4" w:space="0" w:color="auto"/>
              <w:left w:val="single" w:sz="4" w:space="0" w:color="auto"/>
              <w:bottom w:val="single" w:sz="4" w:space="0" w:color="auto"/>
              <w:right w:val="single" w:sz="4" w:space="0" w:color="auto"/>
            </w:tcBorders>
          </w:tcPr>
          <w:p w14:paraId="07364760" w14:textId="77777777" w:rsidR="00BF51FE" w:rsidRPr="009C685E" w:rsidRDefault="00BF51FE" w:rsidP="00DE380F">
            <w:pPr>
              <w:spacing w:line="360" w:lineRule="auto"/>
              <w:jc w:val="both"/>
              <w:rPr>
                <w:szCs w:val="21"/>
              </w:rPr>
            </w:pPr>
            <w:r w:rsidRPr="009C685E">
              <w:rPr>
                <w:szCs w:val="21"/>
              </w:rPr>
              <w:t>Abcam (ab97672)</w:t>
            </w:r>
          </w:p>
        </w:tc>
        <w:tc>
          <w:tcPr>
            <w:tcW w:w="1780" w:type="dxa"/>
            <w:tcBorders>
              <w:top w:val="single" w:sz="4" w:space="0" w:color="auto"/>
              <w:left w:val="single" w:sz="4" w:space="0" w:color="auto"/>
              <w:bottom w:val="single" w:sz="4" w:space="0" w:color="auto"/>
              <w:right w:val="single" w:sz="4" w:space="0" w:color="auto"/>
            </w:tcBorders>
          </w:tcPr>
          <w:p w14:paraId="485CE985" w14:textId="77777777" w:rsidR="00BF51FE" w:rsidRPr="009C685E" w:rsidRDefault="00BF51FE" w:rsidP="00DE380F">
            <w:pPr>
              <w:spacing w:line="360" w:lineRule="auto"/>
              <w:jc w:val="both"/>
              <w:rPr>
                <w:szCs w:val="21"/>
              </w:rPr>
            </w:pPr>
            <w:r w:rsidRPr="009C685E">
              <w:rPr>
                <w:szCs w:val="21"/>
              </w:rPr>
              <w:t>IF (1:200)</w:t>
            </w:r>
          </w:p>
        </w:tc>
      </w:tr>
      <w:tr w:rsidR="00BF51FE" w:rsidRPr="009C685E" w14:paraId="698D2A20" w14:textId="77777777" w:rsidTr="00DE380F">
        <w:tc>
          <w:tcPr>
            <w:tcW w:w="2830" w:type="dxa"/>
            <w:tcBorders>
              <w:top w:val="single" w:sz="4" w:space="0" w:color="auto"/>
              <w:left w:val="single" w:sz="4" w:space="0" w:color="auto"/>
              <w:bottom w:val="single" w:sz="4" w:space="0" w:color="auto"/>
              <w:right w:val="single" w:sz="4" w:space="0" w:color="auto"/>
            </w:tcBorders>
          </w:tcPr>
          <w:p w14:paraId="114204A0" w14:textId="77777777" w:rsidR="00BF51FE" w:rsidRPr="009C685E" w:rsidRDefault="00BF51FE" w:rsidP="00DE380F">
            <w:pPr>
              <w:spacing w:line="360" w:lineRule="auto"/>
              <w:jc w:val="both"/>
              <w:rPr>
                <w:szCs w:val="21"/>
              </w:rPr>
            </w:pPr>
            <w:r w:rsidRPr="009C685E">
              <w:rPr>
                <w:szCs w:val="21"/>
              </w:rPr>
              <w:t>Anti-Rad51 Antibody</w:t>
            </w:r>
          </w:p>
        </w:tc>
        <w:tc>
          <w:tcPr>
            <w:tcW w:w="3686" w:type="dxa"/>
            <w:tcBorders>
              <w:top w:val="single" w:sz="4" w:space="0" w:color="auto"/>
              <w:left w:val="single" w:sz="4" w:space="0" w:color="auto"/>
              <w:bottom w:val="single" w:sz="4" w:space="0" w:color="auto"/>
              <w:right w:val="single" w:sz="4" w:space="0" w:color="auto"/>
            </w:tcBorders>
          </w:tcPr>
          <w:p w14:paraId="2CB81876" w14:textId="77777777" w:rsidR="00BF51FE" w:rsidRPr="009C685E" w:rsidRDefault="00BF51FE" w:rsidP="00DE380F">
            <w:pPr>
              <w:spacing w:line="360" w:lineRule="auto"/>
              <w:jc w:val="both"/>
              <w:rPr>
                <w:szCs w:val="21"/>
              </w:rPr>
            </w:pPr>
            <w:r w:rsidRPr="009C685E">
              <w:rPr>
                <w:szCs w:val="21"/>
              </w:rPr>
              <w:t>Abcam (ab133534)</w:t>
            </w:r>
          </w:p>
        </w:tc>
        <w:tc>
          <w:tcPr>
            <w:tcW w:w="1780" w:type="dxa"/>
            <w:tcBorders>
              <w:top w:val="single" w:sz="4" w:space="0" w:color="auto"/>
              <w:left w:val="single" w:sz="4" w:space="0" w:color="auto"/>
              <w:bottom w:val="single" w:sz="4" w:space="0" w:color="auto"/>
              <w:right w:val="single" w:sz="4" w:space="0" w:color="auto"/>
            </w:tcBorders>
          </w:tcPr>
          <w:p w14:paraId="2D8F3265" w14:textId="77777777" w:rsidR="00BF51FE" w:rsidRPr="009C685E" w:rsidRDefault="00BF51FE" w:rsidP="00DE380F">
            <w:pPr>
              <w:spacing w:line="360" w:lineRule="auto"/>
              <w:jc w:val="both"/>
              <w:rPr>
                <w:szCs w:val="21"/>
              </w:rPr>
            </w:pPr>
            <w:r w:rsidRPr="009C685E">
              <w:rPr>
                <w:szCs w:val="21"/>
              </w:rPr>
              <w:t>IF (1:50)</w:t>
            </w:r>
          </w:p>
        </w:tc>
      </w:tr>
      <w:tr w:rsidR="00BF51FE" w:rsidRPr="009C685E" w14:paraId="2A39DD71" w14:textId="77777777" w:rsidTr="00DE380F">
        <w:tc>
          <w:tcPr>
            <w:tcW w:w="2830" w:type="dxa"/>
            <w:tcBorders>
              <w:top w:val="single" w:sz="4" w:space="0" w:color="auto"/>
              <w:left w:val="single" w:sz="4" w:space="0" w:color="auto"/>
              <w:bottom w:val="single" w:sz="4" w:space="0" w:color="auto"/>
              <w:right w:val="single" w:sz="4" w:space="0" w:color="auto"/>
            </w:tcBorders>
          </w:tcPr>
          <w:p w14:paraId="6795FADE" w14:textId="77777777" w:rsidR="00BF51FE" w:rsidRPr="009C685E" w:rsidRDefault="00BF51FE" w:rsidP="00DE380F">
            <w:pPr>
              <w:spacing w:line="360" w:lineRule="auto"/>
              <w:jc w:val="both"/>
              <w:rPr>
                <w:szCs w:val="21"/>
              </w:rPr>
            </w:pPr>
            <w:r w:rsidRPr="009C685E">
              <w:rPr>
                <w:szCs w:val="21"/>
              </w:rPr>
              <w:t>Anti-c-Kit Antibody</w:t>
            </w:r>
          </w:p>
        </w:tc>
        <w:tc>
          <w:tcPr>
            <w:tcW w:w="3686" w:type="dxa"/>
            <w:tcBorders>
              <w:top w:val="single" w:sz="4" w:space="0" w:color="auto"/>
              <w:left w:val="single" w:sz="4" w:space="0" w:color="auto"/>
              <w:bottom w:val="single" w:sz="4" w:space="0" w:color="auto"/>
              <w:right w:val="single" w:sz="4" w:space="0" w:color="auto"/>
            </w:tcBorders>
          </w:tcPr>
          <w:p w14:paraId="7FC61067" w14:textId="77777777" w:rsidR="00BF51FE" w:rsidRPr="009C685E" w:rsidRDefault="00BF51FE" w:rsidP="00DE380F">
            <w:pPr>
              <w:spacing w:line="360" w:lineRule="auto"/>
              <w:jc w:val="both"/>
              <w:rPr>
                <w:szCs w:val="21"/>
              </w:rPr>
            </w:pPr>
            <w:r w:rsidRPr="009C685E">
              <w:rPr>
                <w:szCs w:val="21"/>
              </w:rPr>
              <w:t>Abcam (ab32363)</w:t>
            </w:r>
          </w:p>
        </w:tc>
        <w:tc>
          <w:tcPr>
            <w:tcW w:w="1780" w:type="dxa"/>
            <w:tcBorders>
              <w:top w:val="single" w:sz="4" w:space="0" w:color="auto"/>
              <w:left w:val="single" w:sz="4" w:space="0" w:color="auto"/>
              <w:bottom w:val="single" w:sz="4" w:space="0" w:color="auto"/>
              <w:right w:val="single" w:sz="4" w:space="0" w:color="auto"/>
            </w:tcBorders>
          </w:tcPr>
          <w:p w14:paraId="6C7045FD" w14:textId="77777777" w:rsidR="00BF51FE" w:rsidRPr="009C685E" w:rsidRDefault="00BF51FE" w:rsidP="00DE380F">
            <w:pPr>
              <w:spacing w:line="360" w:lineRule="auto"/>
              <w:jc w:val="both"/>
              <w:rPr>
                <w:szCs w:val="21"/>
              </w:rPr>
            </w:pPr>
            <w:r w:rsidRPr="009C685E">
              <w:rPr>
                <w:szCs w:val="21"/>
              </w:rPr>
              <w:t>IF (1:200)</w:t>
            </w:r>
          </w:p>
        </w:tc>
      </w:tr>
      <w:tr w:rsidR="00BF51FE" w:rsidRPr="009C685E" w14:paraId="5A522674" w14:textId="77777777" w:rsidTr="00DE380F">
        <w:tc>
          <w:tcPr>
            <w:tcW w:w="2830" w:type="dxa"/>
            <w:tcBorders>
              <w:top w:val="single" w:sz="4" w:space="0" w:color="auto"/>
              <w:left w:val="single" w:sz="4" w:space="0" w:color="auto"/>
              <w:bottom w:val="single" w:sz="4" w:space="0" w:color="auto"/>
              <w:right w:val="single" w:sz="4" w:space="0" w:color="auto"/>
            </w:tcBorders>
          </w:tcPr>
          <w:p w14:paraId="08F10C80" w14:textId="77777777" w:rsidR="00BF51FE" w:rsidRPr="009C685E" w:rsidRDefault="00BF51FE" w:rsidP="00DE380F">
            <w:pPr>
              <w:spacing w:line="360" w:lineRule="auto"/>
              <w:jc w:val="both"/>
              <w:rPr>
                <w:szCs w:val="21"/>
              </w:rPr>
            </w:pPr>
            <w:r w:rsidRPr="009C685E">
              <w:rPr>
                <w:szCs w:val="21"/>
              </w:rPr>
              <w:t>Anti-Stra8 Antibody</w:t>
            </w:r>
          </w:p>
        </w:tc>
        <w:tc>
          <w:tcPr>
            <w:tcW w:w="3686" w:type="dxa"/>
            <w:tcBorders>
              <w:top w:val="single" w:sz="4" w:space="0" w:color="auto"/>
              <w:left w:val="single" w:sz="4" w:space="0" w:color="auto"/>
              <w:bottom w:val="single" w:sz="4" w:space="0" w:color="auto"/>
              <w:right w:val="single" w:sz="4" w:space="0" w:color="auto"/>
            </w:tcBorders>
          </w:tcPr>
          <w:p w14:paraId="227932D0" w14:textId="77777777" w:rsidR="00BF51FE" w:rsidRPr="009C685E" w:rsidRDefault="00BF51FE" w:rsidP="00DE380F">
            <w:pPr>
              <w:spacing w:line="360" w:lineRule="auto"/>
              <w:jc w:val="both"/>
              <w:rPr>
                <w:szCs w:val="21"/>
              </w:rPr>
            </w:pPr>
            <w:r w:rsidRPr="009C685E">
              <w:rPr>
                <w:szCs w:val="21"/>
              </w:rPr>
              <w:t>Abcam (ab49602)</w:t>
            </w:r>
          </w:p>
        </w:tc>
        <w:tc>
          <w:tcPr>
            <w:tcW w:w="1780" w:type="dxa"/>
            <w:tcBorders>
              <w:top w:val="single" w:sz="4" w:space="0" w:color="auto"/>
              <w:left w:val="single" w:sz="4" w:space="0" w:color="auto"/>
              <w:bottom w:val="single" w:sz="4" w:space="0" w:color="auto"/>
              <w:right w:val="single" w:sz="4" w:space="0" w:color="auto"/>
            </w:tcBorders>
          </w:tcPr>
          <w:p w14:paraId="1E9F24C4" w14:textId="77777777" w:rsidR="00BF51FE" w:rsidRPr="009C685E" w:rsidRDefault="00BF51FE" w:rsidP="00DE380F">
            <w:pPr>
              <w:spacing w:line="360" w:lineRule="auto"/>
              <w:jc w:val="both"/>
              <w:rPr>
                <w:szCs w:val="21"/>
              </w:rPr>
            </w:pPr>
            <w:r w:rsidRPr="009C685E">
              <w:rPr>
                <w:szCs w:val="21"/>
              </w:rPr>
              <w:t>IF (1:400)</w:t>
            </w:r>
          </w:p>
        </w:tc>
      </w:tr>
      <w:tr w:rsidR="00BF51FE" w:rsidRPr="009C685E" w14:paraId="53D35EA5" w14:textId="77777777" w:rsidTr="00DE380F">
        <w:tc>
          <w:tcPr>
            <w:tcW w:w="2830" w:type="dxa"/>
            <w:tcBorders>
              <w:top w:val="single" w:sz="4" w:space="0" w:color="auto"/>
              <w:left w:val="single" w:sz="4" w:space="0" w:color="auto"/>
              <w:bottom w:val="single" w:sz="4" w:space="0" w:color="auto"/>
              <w:right w:val="single" w:sz="4" w:space="0" w:color="auto"/>
            </w:tcBorders>
          </w:tcPr>
          <w:p w14:paraId="1C9A1346" w14:textId="77777777" w:rsidR="00BF51FE" w:rsidRPr="009C685E" w:rsidRDefault="00BF51FE" w:rsidP="00DE380F">
            <w:pPr>
              <w:spacing w:line="360" w:lineRule="auto"/>
              <w:jc w:val="both"/>
              <w:rPr>
                <w:szCs w:val="21"/>
              </w:rPr>
            </w:pPr>
            <w:r w:rsidRPr="009C685E">
              <w:rPr>
                <w:szCs w:val="21"/>
              </w:rPr>
              <w:t>Anti-Lin28 Antibody</w:t>
            </w:r>
          </w:p>
        </w:tc>
        <w:tc>
          <w:tcPr>
            <w:tcW w:w="3686" w:type="dxa"/>
            <w:tcBorders>
              <w:top w:val="single" w:sz="4" w:space="0" w:color="auto"/>
              <w:left w:val="single" w:sz="4" w:space="0" w:color="auto"/>
              <w:bottom w:val="single" w:sz="4" w:space="0" w:color="auto"/>
              <w:right w:val="single" w:sz="4" w:space="0" w:color="auto"/>
            </w:tcBorders>
          </w:tcPr>
          <w:p w14:paraId="5DE223D1" w14:textId="77777777" w:rsidR="00BF51FE" w:rsidRPr="009C685E" w:rsidRDefault="00BF51FE" w:rsidP="00DE380F">
            <w:pPr>
              <w:spacing w:line="360" w:lineRule="auto"/>
              <w:jc w:val="both"/>
              <w:rPr>
                <w:szCs w:val="21"/>
              </w:rPr>
            </w:pPr>
            <w:r w:rsidRPr="009C685E">
              <w:rPr>
                <w:szCs w:val="21"/>
              </w:rPr>
              <w:t>Abcam (ab63740)</w:t>
            </w:r>
          </w:p>
        </w:tc>
        <w:tc>
          <w:tcPr>
            <w:tcW w:w="1780" w:type="dxa"/>
            <w:tcBorders>
              <w:top w:val="single" w:sz="4" w:space="0" w:color="auto"/>
              <w:left w:val="single" w:sz="4" w:space="0" w:color="auto"/>
              <w:bottom w:val="single" w:sz="4" w:space="0" w:color="auto"/>
              <w:right w:val="single" w:sz="4" w:space="0" w:color="auto"/>
            </w:tcBorders>
          </w:tcPr>
          <w:p w14:paraId="4784FC64" w14:textId="77777777" w:rsidR="00BF51FE" w:rsidRPr="009C685E" w:rsidRDefault="00BF51FE" w:rsidP="00DE380F">
            <w:pPr>
              <w:spacing w:line="360" w:lineRule="auto"/>
              <w:jc w:val="both"/>
              <w:rPr>
                <w:szCs w:val="21"/>
              </w:rPr>
            </w:pPr>
            <w:r w:rsidRPr="009C685E">
              <w:rPr>
                <w:szCs w:val="21"/>
              </w:rPr>
              <w:t>IF (1:200)</w:t>
            </w:r>
          </w:p>
        </w:tc>
      </w:tr>
      <w:tr w:rsidR="00BF51FE" w:rsidRPr="009C685E" w14:paraId="47C4F634" w14:textId="77777777" w:rsidTr="00DE380F">
        <w:tc>
          <w:tcPr>
            <w:tcW w:w="2830" w:type="dxa"/>
            <w:tcBorders>
              <w:top w:val="single" w:sz="4" w:space="0" w:color="auto"/>
              <w:left w:val="single" w:sz="4" w:space="0" w:color="auto"/>
              <w:bottom w:val="single" w:sz="4" w:space="0" w:color="auto"/>
              <w:right w:val="single" w:sz="4" w:space="0" w:color="auto"/>
            </w:tcBorders>
          </w:tcPr>
          <w:p w14:paraId="6EE2C35E" w14:textId="77777777" w:rsidR="00BF51FE" w:rsidRPr="009C685E" w:rsidRDefault="00BF51FE" w:rsidP="00DE380F">
            <w:pPr>
              <w:spacing w:line="360" w:lineRule="auto"/>
              <w:jc w:val="both"/>
              <w:rPr>
                <w:szCs w:val="21"/>
              </w:rPr>
            </w:pPr>
            <w:r w:rsidRPr="009C685E">
              <w:rPr>
                <w:szCs w:val="21"/>
              </w:rPr>
              <w:t>FITC-labeled Goat Anti Rabbit Antibody</w:t>
            </w:r>
          </w:p>
        </w:tc>
        <w:tc>
          <w:tcPr>
            <w:tcW w:w="3686" w:type="dxa"/>
            <w:tcBorders>
              <w:top w:val="single" w:sz="4" w:space="0" w:color="auto"/>
              <w:left w:val="single" w:sz="4" w:space="0" w:color="auto"/>
              <w:bottom w:val="single" w:sz="4" w:space="0" w:color="auto"/>
              <w:right w:val="single" w:sz="4" w:space="0" w:color="auto"/>
            </w:tcBorders>
          </w:tcPr>
          <w:p w14:paraId="0C6DEEC7" w14:textId="77777777" w:rsidR="00BF51FE" w:rsidRPr="009C685E" w:rsidRDefault="00BF51FE" w:rsidP="00DE380F">
            <w:pPr>
              <w:spacing w:line="360" w:lineRule="auto"/>
              <w:jc w:val="both"/>
              <w:rPr>
                <w:szCs w:val="21"/>
              </w:rPr>
            </w:pPr>
            <w:r w:rsidRPr="009C685E">
              <w:rPr>
                <w:szCs w:val="21"/>
              </w:rPr>
              <w:t>ZSGB bio (ZF-0311)</w:t>
            </w:r>
          </w:p>
        </w:tc>
        <w:tc>
          <w:tcPr>
            <w:tcW w:w="1780" w:type="dxa"/>
            <w:tcBorders>
              <w:top w:val="single" w:sz="4" w:space="0" w:color="auto"/>
              <w:left w:val="single" w:sz="4" w:space="0" w:color="auto"/>
              <w:bottom w:val="single" w:sz="4" w:space="0" w:color="auto"/>
              <w:right w:val="single" w:sz="4" w:space="0" w:color="auto"/>
            </w:tcBorders>
          </w:tcPr>
          <w:p w14:paraId="706E050F" w14:textId="77777777" w:rsidR="00BF51FE" w:rsidRPr="009C685E" w:rsidRDefault="00BF51FE" w:rsidP="00DE380F">
            <w:pPr>
              <w:spacing w:line="360" w:lineRule="auto"/>
              <w:jc w:val="both"/>
              <w:rPr>
                <w:szCs w:val="21"/>
              </w:rPr>
            </w:pPr>
            <w:r w:rsidRPr="009C685E">
              <w:rPr>
                <w:szCs w:val="21"/>
              </w:rPr>
              <w:t>IF (1:50)</w:t>
            </w:r>
          </w:p>
        </w:tc>
      </w:tr>
      <w:tr w:rsidR="00BF51FE" w:rsidRPr="009C685E" w14:paraId="7519BF2F" w14:textId="77777777" w:rsidTr="00DE380F">
        <w:tc>
          <w:tcPr>
            <w:tcW w:w="2830" w:type="dxa"/>
            <w:tcBorders>
              <w:top w:val="single" w:sz="4" w:space="0" w:color="auto"/>
              <w:left w:val="single" w:sz="4" w:space="0" w:color="auto"/>
              <w:bottom w:val="single" w:sz="4" w:space="0" w:color="auto"/>
              <w:right w:val="single" w:sz="4" w:space="0" w:color="auto"/>
            </w:tcBorders>
          </w:tcPr>
          <w:p w14:paraId="6A25F624" w14:textId="77777777" w:rsidR="00BF51FE" w:rsidRPr="009C685E" w:rsidRDefault="00BF51FE" w:rsidP="00DE380F">
            <w:pPr>
              <w:spacing w:line="360" w:lineRule="auto"/>
              <w:jc w:val="both"/>
              <w:rPr>
                <w:szCs w:val="21"/>
              </w:rPr>
            </w:pPr>
            <w:r w:rsidRPr="009C685E">
              <w:rPr>
                <w:szCs w:val="21"/>
              </w:rPr>
              <w:t>Alexa Fluor® 594 labeled Goat Anti Mouse Antibody</w:t>
            </w:r>
          </w:p>
        </w:tc>
        <w:tc>
          <w:tcPr>
            <w:tcW w:w="3686" w:type="dxa"/>
            <w:tcBorders>
              <w:top w:val="single" w:sz="4" w:space="0" w:color="auto"/>
              <w:left w:val="single" w:sz="4" w:space="0" w:color="auto"/>
              <w:bottom w:val="single" w:sz="4" w:space="0" w:color="auto"/>
              <w:right w:val="single" w:sz="4" w:space="0" w:color="auto"/>
            </w:tcBorders>
          </w:tcPr>
          <w:p w14:paraId="4D60A755" w14:textId="77777777" w:rsidR="00BF51FE" w:rsidRPr="009C685E" w:rsidRDefault="00BF51FE" w:rsidP="00DE380F">
            <w:pPr>
              <w:spacing w:line="360" w:lineRule="auto"/>
              <w:jc w:val="both"/>
              <w:rPr>
                <w:szCs w:val="21"/>
              </w:rPr>
            </w:pPr>
            <w:r w:rsidRPr="009C685E">
              <w:rPr>
                <w:szCs w:val="21"/>
              </w:rPr>
              <w:t>ZSGB bio (ZF-0513)</w:t>
            </w:r>
          </w:p>
        </w:tc>
        <w:tc>
          <w:tcPr>
            <w:tcW w:w="1780" w:type="dxa"/>
            <w:tcBorders>
              <w:top w:val="single" w:sz="4" w:space="0" w:color="auto"/>
              <w:left w:val="single" w:sz="4" w:space="0" w:color="auto"/>
              <w:bottom w:val="single" w:sz="4" w:space="0" w:color="auto"/>
              <w:right w:val="single" w:sz="4" w:space="0" w:color="auto"/>
            </w:tcBorders>
          </w:tcPr>
          <w:p w14:paraId="10004312" w14:textId="77777777" w:rsidR="00BF51FE" w:rsidRPr="009C685E" w:rsidRDefault="00BF51FE" w:rsidP="00DE380F">
            <w:pPr>
              <w:spacing w:line="360" w:lineRule="auto"/>
              <w:jc w:val="both"/>
              <w:rPr>
                <w:szCs w:val="21"/>
              </w:rPr>
            </w:pPr>
            <w:r w:rsidRPr="009C685E">
              <w:rPr>
                <w:szCs w:val="21"/>
              </w:rPr>
              <w:t>IF (1:50)</w:t>
            </w:r>
          </w:p>
        </w:tc>
      </w:tr>
      <w:tr w:rsidR="00BF51FE" w:rsidRPr="009C685E" w14:paraId="4665EA6D" w14:textId="77777777" w:rsidTr="00DE380F">
        <w:tc>
          <w:tcPr>
            <w:tcW w:w="2830" w:type="dxa"/>
            <w:tcBorders>
              <w:top w:val="single" w:sz="4" w:space="0" w:color="auto"/>
              <w:left w:val="single" w:sz="4" w:space="0" w:color="auto"/>
              <w:bottom w:val="single" w:sz="4" w:space="0" w:color="auto"/>
              <w:right w:val="single" w:sz="4" w:space="0" w:color="auto"/>
            </w:tcBorders>
          </w:tcPr>
          <w:p w14:paraId="77C8705F" w14:textId="77777777" w:rsidR="00BF51FE" w:rsidRPr="009C685E" w:rsidRDefault="00BF51FE" w:rsidP="00DE380F">
            <w:pPr>
              <w:spacing w:line="360" w:lineRule="auto"/>
              <w:jc w:val="both"/>
              <w:rPr>
                <w:szCs w:val="21"/>
              </w:rPr>
            </w:pPr>
            <w:r w:rsidRPr="009C685E">
              <w:rPr>
                <w:szCs w:val="21"/>
              </w:rPr>
              <w:t>Goat anti-Mouse IgG (H+L) Secondary Antibody, HRP</w:t>
            </w:r>
          </w:p>
        </w:tc>
        <w:tc>
          <w:tcPr>
            <w:tcW w:w="3686" w:type="dxa"/>
            <w:tcBorders>
              <w:top w:val="single" w:sz="4" w:space="0" w:color="auto"/>
              <w:left w:val="single" w:sz="4" w:space="0" w:color="auto"/>
              <w:bottom w:val="single" w:sz="4" w:space="0" w:color="auto"/>
              <w:right w:val="single" w:sz="4" w:space="0" w:color="auto"/>
            </w:tcBorders>
          </w:tcPr>
          <w:p w14:paraId="5F8BE7EB" w14:textId="77777777" w:rsidR="00BF51FE" w:rsidRPr="009C685E" w:rsidRDefault="00BF51FE" w:rsidP="00DE380F">
            <w:pPr>
              <w:spacing w:line="360" w:lineRule="auto"/>
              <w:jc w:val="both"/>
              <w:rPr>
                <w:szCs w:val="21"/>
              </w:rPr>
            </w:pPr>
            <w:r w:rsidRPr="009C685E">
              <w:rPr>
                <w:szCs w:val="21"/>
              </w:rPr>
              <w:t>Invitrogen (31430)</w:t>
            </w:r>
          </w:p>
        </w:tc>
        <w:tc>
          <w:tcPr>
            <w:tcW w:w="1780" w:type="dxa"/>
            <w:tcBorders>
              <w:top w:val="single" w:sz="4" w:space="0" w:color="auto"/>
              <w:left w:val="single" w:sz="4" w:space="0" w:color="auto"/>
              <w:bottom w:val="single" w:sz="4" w:space="0" w:color="auto"/>
              <w:right w:val="single" w:sz="4" w:space="0" w:color="auto"/>
            </w:tcBorders>
          </w:tcPr>
          <w:p w14:paraId="154D0282" w14:textId="77777777" w:rsidR="00BF51FE" w:rsidRPr="009C685E" w:rsidRDefault="00BF51FE" w:rsidP="00DE380F">
            <w:pPr>
              <w:spacing w:line="360" w:lineRule="auto"/>
              <w:jc w:val="both"/>
              <w:rPr>
                <w:szCs w:val="21"/>
              </w:rPr>
            </w:pPr>
            <w:r w:rsidRPr="009C685E">
              <w:rPr>
                <w:szCs w:val="21"/>
              </w:rPr>
              <w:t>WB (1:5000)</w:t>
            </w:r>
          </w:p>
        </w:tc>
      </w:tr>
      <w:tr w:rsidR="00BF51FE" w:rsidRPr="009C685E" w14:paraId="031B0F24" w14:textId="77777777" w:rsidTr="00DE380F">
        <w:tc>
          <w:tcPr>
            <w:tcW w:w="2830" w:type="dxa"/>
            <w:tcBorders>
              <w:top w:val="single" w:sz="4" w:space="0" w:color="auto"/>
              <w:left w:val="single" w:sz="4" w:space="0" w:color="auto"/>
              <w:bottom w:val="single" w:sz="4" w:space="0" w:color="auto"/>
              <w:right w:val="single" w:sz="4" w:space="0" w:color="auto"/>
            </w:tcBorders>
          </w:tcPr>
          <w:p w14:paraId="4EDF3016" w14:textId="77777777" w:rsidR="00BF51FE" w:rsidRPr="009C685E" w:rsidRDefault="00BF51FE" w:rsidP="00DE380F">
            <w:pPr>
              <w:spacing w:line="360" w:lineRule="auto"/>
              <w:jc w:val="both"/>
              <w:rPr>
                <w:szCs w:val="21"/>
              </w:rPr>
            </w:pPr>
            <w:r w:rsidRPr="009C685E">
              <w:rPr>
                <w:szCs w:val="21"/>
              </w:rPr>
              <w:t>Goat anti-Rabbit IgG (H+L) Secondary Antibody, HRP</w:t>
            </w:r>
          </w:p>
        </w:tc>
        <w:tc>
          <w:tcPr>
            <w:tcW w:w="3686" w:type="dxa"/>
            <w:tcBorders>
              <w:top w:val="single" w:sz="4" w:space="0" w:color="auto"/>
              <w:left w:val="single" w:sz="4" w:space="0" w:color="auto"/>
              <w:bottom w:val="single" w:sz="4" w:space="0" w:color="auto"/>
              <w:right w:val="single" w:sz="4" w:space="0" w:color="auto"/>
            </w:tcBorders>
          </w:tcPr>
          <w:p w14:paraId="6344A9AF" w14:textId="77777777" w:rsidR="00BF51FE" w:rsidRPr="009C685E" w:rsidRDefault="00BF51FE" w:rsidP="00DE380F">
            <w:pPr>
              <w:spacing w:line="360" w:lineRule="auto"/>
              <w:jc w:val="both"/>
              <w:rPr>
                <w:szCs w:val="21"/>
              </w:rPr>
            </w:pPr>
            <w:r w:rsidRPr="009C685E">
              <w:rPr>
                <w:szCs w:val="21"/>
              </w:rPr>
              <w:t>Invitrogen (31460)</w:t>
            </w:r>
          </w:p>
        </w:tc>
        <w:tc>
          <w:tcPr>
            <w:tcW w:w="1780" w:type="dxa"/>
            <w:tcBorders>
              <w:top w:val="single" w:sz="4" w:space="0" w:color="auto"/>
              <w:left w:val="single" w:sz="4" w:space="0" w:color="auto"/>
              <w:bottom w:val="single" w:sz="4" w:space="0" w:color="auto"/>
              <w:right w:val="single" w:sz="4" w:space="0" w:color="auto"/>
            </w:tcBorders>
          </w:tcPr>
          <w:p w14:paraId="5C2E9BC7" w14:textId="77777777" w:rsidR="00BF51FE" w:rsidRPr="009C685E" w:rsidRDefault="00BF51FE" w:rsidP="00DE380F">
            <w:pPr>
              <w:spacing w:line="360" w:lineRule="auto"/>
              <w:jc w:val="both"/>
              <w:rPr>
                <w:szCs w:val="21"/>
              </w:rPr>
            </w:pPr>
            <w:r w:rsidRPr="009C685E">
              <w:rPr>
                <w:szCs w:val="21"/>
              </w:rPr>
              <w:t>WB (1:5000)</w:t>
            </w:r>
          </w:p>
        </w:tc>
      </w:tr>
    </w:tbl>
    <w:p w14:paraId="4020967E" w14:textId="77777777" w:rsidR="00BF51FE" w:rsidRPr="009C685E" w:rsidRDefault="00BF51FE" w:rsidP="00BF51FE">
      <w:pPr>
        <w:pStyle w:val="Paragraph"/>
        <w:spacing w:before="0" w:line="360" w:lineRule="auto"/>
        <w:ind w:firstLine="0"/>
        <w:jc w:val="both"/>
        <w:rPr>
          <w:szCs w:val="21"/>
        </w:rPr>
      </w:pPr>
    </w:p>
    <w:p w14:paraId="3D3A4561" w14:textId="77777777" w:rsidR="00BF51FE" w:rsidRPr="009C685E" w:rsidRDefault="00BF51FE" w:rsidP="00BF51FE">
      <w:pPr>
        <w:pStyle w:val="Paragraph"/>
        <w:spacing w:before="0" w:line="360" w:lineRule="auto"/>
        <w:ind w:firstLine="0"/>
        <w:jc w:val="both"/>
        <w:rPr>
          <w:szCs w:val="21"/>
        </w:rPr>
      </w:pPr>
    </w:p>
    <w:p w14:paraId="7F847067" w14:textId="77777777" w:rsidR="00BF51FE" w:rsidRPr="009C685E" w:rsidRDefault="00BF51FE" w:rsidP="00BF51FE">
      <w:pPr>
        <w:pStyle w:val="Paragraph"/>
        <w:spacing w:before="0" w:line="360" w:lineRule="auto"/>
        <w:jc w:val="both"/>
        <w:rPr>
          <w:rFonts w:eastAsiaTheme="minorEastAsia"/>
          <w:b/>
          <w:bCs/>
          <w:i/>
          <w:sz w:val="20"/>
          <w:szCs w:val="20"/>
          <w:lang w:eastAsia="zh-CN"/>
        </w:rPr>
      </w:pPr>
      <w:r w:rsidRPr="009C685E">
        <w:rPr>
          <w:rFonts w:eastAsiaTheme="minorEastAsia"/>
          <w:b/>
          <w:bCs/>
          <w:i/>
          <w:sz w:val="20"/>
          <w:szCs w:val="20"/>
          <w:lang w:eastAsia="zh-CN"/>
        </w:rPr>
        <w:t xml:space="preserve">Table S3 Information </w:t>
      </w:r>
      <w:r w:rsidRPr="009C685E">
        <w:rPr>
          <w:rFonts w:eastAsia="等线"/>
          <w:b/>
          <w:bCs/>
          <w:i/>
          <w:sz w:val="20"/>
          <w:szCs w:val="20"/>
          <w:lang w:eastAsia="zh-CN"/>
        </w:rPr>
        <w:t>on</w:t>
      </w:r>
      <w:r w:rsidRPr="009C685E">
        <w:rPr>
          <w:rFonts w:eastAsiaTheme="minorEastAsia"/>
          <w:b/>
          <w:bCs/>
          <w:i/>
          <w:sz w:val="20"/>
          <w:szCs w:val="20"/>
          <w:lang w:eastAsia="zh-CN"/>
        </w:rPr>
        <w:t xml:space="preserve"> the primers</w:t>
      </w:r>
    </w:p>
    <w:tbl>
      <w:tblPr>
        <w:tblStyle w:val="a7"/>
        <w:tblW w:w="0" w:type="auto"/>
        <w:tblLook w:val="04A0" w:firstRow="1" w:lastRow="0" w:firstColumn="1" w:lastColumn="0" w:noHBand="0" w:noVBand="1"/>
      </w:tblPr>
      <w:tblGrid>
        <w:gridCol w:w="1129"/>
        <w:gridCol w:w="3828"/>
        <w:gridCol w:w="3339"/>
      </w:tblGrid>
      <w:tr w:rsidR="00BF51FE" w:rsidRPr="009C685E" w14:paraId="1C284FD7" w14:textId="77777777" w:rsidTr="00DE380F">
        <w:tc>
          <w:tcPr>
            <w:tcW w:w="1129" w:type="dxa"/>
            <w:tcBorders>
              <w:top w:val="single" w:sz="4" w:space="0" w:color="auto"/>
              <w:left w:val="single" w:sz="4" w:space="0" w:color="auto"/>
              <w:bottom w:val="single" w:sz="4" w:space="0" w:color="auto"/>
              <w:right w:val="single" w:sz="4" w:space="0" w:color="auto"/>
            </w:tcBorders>
          </w:tcPr>
          <w:p w14:paraId="16D91B47" w14:textId="77777777" w:rsidR="00BF51FE" w:rsidRPr="009C685E" w:rsidRDefault="00BF51FE" w:rsidP="00DE380F">
            <w:pPr>
              <w:spacing w:line="360" w:lineRule="auto"/>
              <w:jc w:val="both"/>
              <w:rPr>
                <w:szCs w:val="21"/>
              </w:rPr>
            </w:pPr>
            <w:r w:rsidRPr="009C685E">
              <w:rPr>
                <w:szCs w:val="21"/>
              </w:rPr>
              <w:t>Gene</w:t>
            </w:r>
          </w:p>
        </w:tc>
        <w:tc>
          <w:tcPr>
            <w:tcW w:w="3828" w:type="dxa"/>
            <w:tcBorders>
              <w:top w:val="single" w:sz="4" w:space="0" w:color="auto"/>
              <w:left w:val="single" w:sz="4" w:space="0" w:color="auto"/>
              <w:bottom w:val="single" w:sz="4" w:space="0" w:color="auto"/>
              <w:right w:val="single" w:sz="4" w:space="0" w:color="auto"/>
            </w:tcBorders>
          </w:tcPr>
          <w:p w14:paraId="21F83003" w14:textId="77777777" w:rsidR="00BF51FE" w:rsidRPr="009C685E" w:rsidRDefault="00BF51FE" w:rsidP="00DE380F">
            <w:pPr>
              <w:spacing w:line="360" w:lineRule="auto"/>
              <w:jc w:val="both"/>
              <w:rPr>
                <w:szCs w:val="21"/>
              </w:rPr>
            </w:pPr>
            <w:r w:rsidRPr="009C685E">
              <w:rPr>
                <w:szCs w:val="21"/>
              </w:rPr>
              <w:t>Forward (5’-3’)</w:t>
            </w:r>
          </w:p>
        </w:tc>
        <w:tc>
          <w:tcPr>
            <w:tcW w:w="3339" w:type="dxa"/>
            <w:tcBorders>
              <w:top w:val="single" w:sz="4" w:space="0" w:color="auto"/>
              <w:left w:val="single" w:sz="4" w:space="0" w:color="auto"/>
              <w:bottom w:val="single" w:sz="4" w:space="0" w:color="auto"/>
              <w:right w:val="single" w:sz="4" w:space="0" w:color="auto"/>
            </w:tcBorders>
          </w:tcPr>
          <w:p w14:paraId="4956A5ED" w14:textId="77777777" w:rsidR="00BF51FE" w:rsidRPr="009C685E" w:rsidRDefault="00BF51FE" w:rsidP="00DE380F">
            <w:pPr>
              <w:spacing w:line="360" w:lineRule="auto"/>
              <w:jc w:val="both"/>
              <w:rPr>
                <w:szCs w:val="21"/>
              </w:rPr>
            </w:pPr>
            <w:r w:rsidRPr="009C685E">
              <w:rPr>
                <w:szCs w:val="21"/>
              </w:rPr>
              <w:t>Reverse (5’-3’)</w:t>
            </w:r>
          </w:p>
        </w:tc>
      </w:tr>
      <w:tr w:rsidR="00BF51FE" w:rsidRPr="009C685E" w14:paraId="7A89690F" w14:textId="77777777" w:rsidTr="00DE380F">
        <w:tc>
          <w:tcPr>
            <w:tcW w:w="1129" w:type="dxa"/>
            <w:tcBorders>
              <w:top w:val="single" w:sz="4" w:space="0" w:color="auto"/>
              <w:left w:val="single" w:sz="4" w:space="0" w:color="auto"/>
              <w:bottom w:val="single" w:sz="4" w:space="0" w:color="auto"/>
              <w:right w:val="single" w:sz="4" w:space="0" w:color="auto"/>
            </w:tcBorders>
          </w:tcPr>
          <w:p w14:paraId="518B9D4F" w14:textId="77777777" w:rsidR="00BF51FE" w:rsidRPr="009C685E" w:rsidRDefault="00BF51FE" w:rsidP="00DE380F">
            <w:pPr>
              <w:spacing w:line="360" w:lineRule="auto"/>
              <w:jc w:val="both"/>
              <w:rPr>
                <w:szCs w:val="21"/>
              </w:rPr>
            </w:pPr>
            <w:proofErr w:type="spellStart"/>
            <w:r w:rsidRPr="009C685E">
              <w:rPr>
                <w:szCs w:val="21"/>
              </w:rPr>
              <w:t>gapdh</w:t>
            </w:r>
            <w:proofErr w:type="spellEnd"/>
          </w:p>
        </w:tc>
        <w:tc>
          <w:tcPr>
            <w:tcW w:w="3828" w:type="dxa"/>
            <w:tcBorders>
              <w:top w:val="single" w:sz="4" w:space="0" w:color="auto"/>
              <w:left w:val="single" w:sz="4" w:space="0" w:color="auto"/>
              <w:bottom w:val="single" w:sz="4" w:space="0" w:color="auto"/>
              <w:right w:val="single" w:sz="4" w:space="0" w:color="auto"/>
            </w:tcBorders>
          </w:tcPr>
          <w:p w14:paraId="741EADFF" w14:textId="77777777" w:rsidR="00BF51FE" w:rsidRPr="009C685E" w:rsidRDefault="00BF51FE" w:rsidP="00DE380F">
            <w:pPr>
              <w:spacing w:line="360" w:lineRule="auto"/>
              <w:jc w:val="both"/>
              <w:rPr>
                <w:szCs w:val="21"/>
              </w:rPr>
            </w:pPr>
            <w:r w:rsidRPr="009C685E">
              <w:rPr>
                <w:szCs w:val="21"/>
              </w:rPr>
              <w:t>TGACCTCAACTACATGGTCTACA</w:t>
            </w:r>
          </w:p>
        </w:tc>
        <w:tc>
          <w:tcPr>
            <w:tcW w:w="3339" w:type="dxa"/>
            <w:tcBorders>
              <w:top w:val="single" w:sz="4" w:space="0" w:color="auto"/>
              <w:left w:val="single" w:sz="4" w:space="0" w:color="auto"/>
              <w:bottom w:val="single" w:sz="4" w:space="0" w:color="auto"/>
              <w:right w:val="single" w:sz="4" w:space="0" w:color="auto"/>
            </w:tcBorders>
          </w:tcPr>
          <w:p w14:paraId="580608B8" w14:textId="77777777" w:rsidR="00BF51FE" w:rsidRPr="009C685E" w:rsidRDefault="00BF51FE" w:rsidP="00DE380F">
            <w:pPr>
              <w:spacing w:line="360" w:lineRule="auto"/>
              <w:jc w:val="both"/>
              <w:rPr>
                <w:szCs w:val="21"/>
              </w:rPr>
            </w:pPr>
            <w:r w:rsidRPr="009C685E">
              <w:rPr>
                <w:szCs w:val="21"/>
              </w:rPr>
              <w:t>CTTCCCATTCTCGGCCTTG</w:t>
            </w:r>
          </w:p>
        </w:tc>
      </w:tr>
      <w:tr w:rsidR="00BF51FE" w:rsidRPr="009C685E" w14:paraId="285682B8" w14:textId="77777777" w:rsidTr="00DE380F">
        <w:tc>
          <w:tcPr>
            <w:tcW w:w="1129" w:type="dxa"/>
            <w:tcBorders>
              <w:top w:val="single" w:sz="4" w:space="0" w:color="auto"/>
              <w:left w:val="single" w:sz="4" w:space="0" w:color="auto"/>
              <w:bottom w:val="single" w:sz="4" w:space="0" w:color="auto"/>
              <w:right w:val="single" w:sz="4" w:space="0" w:color="auto"/>
            </w:tcBorders>
          </w:tcPr>
          <w:p w14:paraId="04906C13" w14:textId="77777777" w:rsidR="00BF51FE" w:rsidRPr="009C685E" w:rsidRDefault="00BF51FE" w:rsidP="00DE380F">
            <w:pPr>
              <w:spacing w:line="360" w:lineRule="auto"/>
              <w:jc w:val="both"/>
              <w:rPr>
                <w:szCs w:val="21"/>
              </w:rPr>
            </w:pPr>
            <w:r w:rsidRPr="009C685E">
              <w:rPr>
                <w:szCs w:val="21"/>
              </w:rPr>
              <w:t>hsd3b1</w:t>
            </w:r>
          </w:p>
        </w:tc>
        <w:tc>
          <w:tcPr>
            <w:tcW w:w="3828" w:type="dxa"/>
            <w:tcBorders>
              <w:top w:val="single" w:sz="4" w:space="0" w:color="auto"/>
              <w:left w:val="single" w:sz="4" w:space="0" w:color="auto"/>
              <w:bottom w:val="single" w:sz="4" w:space="0" w:color="auto"/>
              <w:right w:val="single" w:sz="4" w:space="0" w:color="auto"/>
            </w:tcBorders>
          </w:tcPr>
          <w:p w14:paraId="338EBFB0" w14:textId="77777777" w:rsidR="00BF51FE" w:rsidRPr="009C685E" w:rsidRDefault="00BF51FE" w:rsidP="00DE380F">
            <w:pPr>
              <w:spacing w:line="360" w:lineRule="auto"/>
              <w:jc w:val="both"/>
              <w:rPr>
                <w:szCs w:val="21"/>
              </w:rPr>
            </w:pPr>
            <w:r w:rsidRPr="009C685E">
              <w:rPr>
                <w:szCs w:val="21"/>
              </w:rPr>
              <w:t>TGGACAAAGTATTCCGACCAGA</w:t>
            </w:r>
          </w:p>
        </w:tc>
        <w:tc>
          <w:tcPr>
            <w:tcW w:w="3339" w:type="dxa"/>
            <w:tcBorders>
              <w:top w:val="single" w:sz="4" w:space="0" w:color="auto"/>
              <w:left w:val="single" w:sz="4" w:space="0" w:color="auto"/>
              <w:bottom w:val="single" w:sz="4" w:space="0" w:color="auto"/>
              <w:right w:val="single" w:sz="4" w:space="0" w:color="auto"/>
            </w:tcBorders>
          </w:tcPr>
          <w:p w14:paraId="065C91EA" w14:textId="77777777" w:rsidR="00BF51FE" w:rsidRPr="009C685E" w:rsidRDefault="00BF51FE" w:rsidP="00DE380F">
            <w:pPr>
              <w:spacing w:line="360" w:lineRule="auto"/>
              <w:jc w:val="both"/>
              <w:rPr>
                <w:szCs w:val="21"/>
              </w:rPr>
            </w:pPr>
            <w:r w:rsidRPr="009C685E">
              <w:rPr>
                <w:szCs w:val="21"/>
              </w:rPr>
              <w:t>GGCACACTTGCTTGAACACAG</w:t>
            </w:r>
          </w:p>
        </w:tc>
      </w:tr>
      <w:tr w:rsidR="00BF51FE" w:rsidRPr="009C685E" w14:paraId="589157F3" w14:textId="77777777" w:rsidTr="00DE380F">
        <w:tc>
          <w:tcPr>
            <w:tcW w:w="1129" w:type="dxa"/>
            <w:tcBorders>
              <w:top w:val="single" w:sz="4" w:space="0" w:color="auto"/>
              <w:left w:val="single" w:sz="4" w:space="0" w:color="auto"/>
              <w:bottom w:val="single" w:sz="4" w:space="0" w:color="auto"/>
              <w:right w:val="single" w:sz="4" w:space="0" w:color="auto"/>
            </w:tcBorders>
          </w:tcPr>
          <w:p w14:paraId="19E195FA" w14:textId="77777777" w:rsidR="00BF51FE" w:rsidRPr="009C685E" w:rsidRDefault="00BF51FE" w:rsidP="00DE380F">
            <w:pPr>
              <w:spacing w:line="360" w:lineRule="auto"/>
              <w:jc w:val="both"/>
              <w:rPr>
                <w:szCs w:val="21"/>
              </w:rPr>
            </w:pPr>
            <w:r w:rsidRPr="009C685E">
              <w:rPr>
                <w:szCs w:val="21"/>
              </w:rPr>
              <w:t>star</w:t>
            </w:r>
          </w:p>
        </w:tc>
        <w:tc>
          <w:tcPr>
            <w:tcW w:w="3828" w:type="dxa"/>
            <w:tcBorders>
              <w:top w:val="single" w:sz="4" w:space="0" w:color="auto"/>
              <w:left w:val="single" w:sz="4" w:space="0" w:color="auto"/>
              <w:bottom w:val="single" w:sz="4" w:space="0" w:color="auto"/>
              <w:right w:val="single" w:sz="4" w:space="0" w:color="auto"/>
            </w:tcBorders>
          </w:tcPr>
          <w:p w14:paraId="7E435615" w14:textId="77777777" w:rsidR="00BF51FE" w:rsidRPr="009C685E" w:rsidRDefault="00BF51FE" w:rsidP="00DE380F">
            <w:pPr>
              <w:spacing w:line="360" w:lineRule="auto"/>
              <w:jc w:val="both"/>
              <w:rPr>
                <w:szCs w:val="21"/>
              </w:rPr>
            </w:pPr>
            <w:r w:rsidRPr="009C685E">
              <w:rPr>
                <w:szCs w:val="21"/>
              </w:rPr>
              <w:t>ATGTTCCTCGCTACGTTCAAG</w:t>
            </w:r>
          </w:p>
        </w:tc>
        <w:tc>
          <w:tcPr>
            <w:tcW w:w="3339" w:type="dxa"/>
            <w:tcBorders>
              <w:top w:val="single" w:sz="4" w:space="0" w:color="auto"/>
              <w:left w:val="single" w:sz="4" w:space="0" w:color="auto"/>
              <w:bottom w:val="single" w:sz="4" w:space="0" w:color="auto"/>
              <w:right w:val="single" w:sz="4" w:space="0" w:color="auto"/>
            </w:tcBorders>
          </w:tcPr>
          <w:p w14:paraId="784A61A8" w14:textId="77777777" w:rsidR="00BF51FE" w:rsidRPr="009C685E" w:rsidRDefault="00BF51FE" w:rsidP="00DE380F">
            <w:pPr>
              <w:spacing w:line="360" w:lineRule="auto"/>
              <w:jc w:val="both"/>
              <w:rPr>
                <w:szCs w:val="21"/>
              </w:rPr>
            </w:pPr>
            <w:r w:rsidRPr="009C685E">
              <w:rPr>
                <w:szCs w:val="21"/>
              </w:rPr>
              <w:t>CCCAGTGCTCTCCAGTTGAG</w:t>
            </w:r>
          </w:p>
        </w:tc>
      </w:tr>
      <w:tr w:rsidR="00BF51FE" w:rsidRPr="009C685E" w14:paraId="284937DA" w14:textId="77777777" w:rsidTr="00DE380F">
        <w:tc>
          <w:tcPr>
            <w:tcW w:w="1129" w:type="dxa"/>
            <w:tcBorders>
              <w:top w:val="single" w:sz="4" w:space="0" w:color="auto"/>
              <w:left w:val="single" w:sz="4" w:space="0" w:color="auto"/>
              <w:bottom w:val="single" w:sz="4" w:space="0" w:color="auto"/>
              <w:right w:val="single" w:sz="4" w:space="0" w:color="auto"/>
            </w:tcBorders>
          </w:tcPr>
          <w:p w14:paraId="5AE7F119" w14:textId="77777777" w:rsidR="00BF51FE" w:rsidRPr="009C685E" w:rsidRDefault="00BF51FE" w:rsidP="00DE380F">
            <w:pPr>
              <w:spacing w:line="360" w:lineRule="auto"/>
              <w:jc w:val="both"/>
              <w:rPr>
                <w:szCs w:val="21"/>
              </w:rPr>
            </w:pPr>
            <w:r w:rsidRPr="009C685E">
              <w:rPr>
                <w:szCs w:val="21"/>
              </w:rPr>
              <w:t>cldn11</w:t>
            </w:r>
          </w:p>
        </w:tc>
        <w:tc>
          <w:tcPr>
            <w:tcW w:w="3828" w:type="dxa"/>
            <w:tcBorders>
              <w:top w:val="single" w:sz="4" w:space="0" w:color="auto"/>
              <w:left w:val="single" w:sz="4" w:space="0" w:color="auto"/>
              <w:bottom w:val="single" w:sz="4" w:space="0" w:color="auto"/>
              <w:right w:val="single" w:sz="4" w:space="0" w:color="auto"/>
            </w:tcBorders>
          </w:tcPr>
          <w:p w14:paraId="0F193489" w14:textId="77777777" w:rsidR="00BF51FE" w:rsidRPr="009C685E" w:rsidRDefault="00BF51FE" w:rsidP="00DE380F">
            <w:pPr>
              <w:spacing w:line="360" w:lineRule="auto"/>
              <w:jc w:val="both"/>
              <w:rPr>
                <w:szCs w:val="21"/>
              </w:rPr>
            </w:pPr>
            <w:r w:rsidRPr="009C685E">
              <w:rPr>
                <w:szCs w:val="21"/>
              </w:rPr>
              <w:t>ATGGTAGCCACTTGCCTTCAG</w:t>
            </w:r>
          </w:p>
        </w:tc>
        <w:tc>
          <w:tcPr>
            <w:tcW w:w="3339" w:type="dxa"/>
            <w:tcBorders>
              <w:top w:val="single" w:sz="4" w:space="0" w:color="auto"/>
              <w:left w:val="single" w:sz="4" w:space="0" w:color="auto"/>
              <w:bottom w:val="single" w:sz="4" w:space="0" w:color="auto"/>
              <w:right w:val="single" w:sz="4" w:space="0" w:color="auto"/>
            </w:tcBorders>
          </w:tcPr>
          <w:p w14:paraId="55012730" w14:textId="77777777" w:rsidR="00BF51FE" w:rsidRPr="009C685E" w:rsidRDefault="00BF51FE" w:rsidP="00DE380F">
            <w:pPr>
              <w:spacing w:line="360" w:lineRule="auto"/>
              <w:jc w:val="both"/>
              <w:rPr>
                <w:szCs w:val="21"/>
              </w:rPr>
            </w:pPr>
            <w:r w:rsidRPr="009C685E">
              <w:rPr>
                <w:szCs w:val="21"/>
              </w:rPr>
              <w:t>AGTTCGTCCATTTTTCGGCAG</w:t>
            </w:r>
          </w:p>
        </w:tc>
      </w:tr>
      <w:tr w:rsidR="00BF51FE" w:rsidRPr="009C685E" w14:paraId="1881DA7D" w14:textId="77777777" w:rsidTr="00DE380F">
        <w:tc>
          <w:tcPr>
            <w:tcW w:w="1129" w:type="dxa"/>
            <w:tcBorders>
              <w:top w:val="single" w:sz="4" w:space="0" w:color="auto"/>
              <w:left w:val="single" w:sz="4" w:space="0" w:color="auto"/>
              <w:bottom w:val="single" w:sz="4" w:space="0" w:color="auto"/>
              <w:right w:val="single" w:sz="4" w:space="0" w:color="auto"/>
            </w:tcBorders>
          </w:tcPr>
          <w:p w14:paraId="1BF070C0" w14:textId="77777777" w:rsidR="00BF51FE" w:rsidRPr="009C685E" w:rsidRDefault="00BF51FE" w:rsidP="00DE380F">
            <w:pPr>
              <w:spacing w:line="360" w:lineRule="auto"/>
              <w:jc w:val="both"/>
              <w:rPr>
                <w:szCs w:val="21"/>
              </w:rPr>
            </w:pPr>
            <w:r w:rsidRPr="009C685E">
              <w:rPr>
                <w:szCs w:val="21"/>
              </w:rPr>
              <w:t>sox9</w:t>
            </w:r>
          </w:p>
        </w:tc>
        <w:tc>
          <w:tcPr>
            <w:tcW w:w="3828" w:type="dxa"/>
            <w:tcBorders>
              <w:top w:val="single" w:sz="4" w:space="0" w:color="auto"/>
              <w:left w:val="single" w:sz="4" w:space="0" w:color="auto"/>
              <w:bottom w:val="single" w:sz="4" w:space="0" w:color="auto"/>
              <w:right w:val="single" w:sz="4" w:space="0" w:color="auto"/>
            </w:tcBorders>
          </w:tcPr>
          <w:p w14:paraId="72224552" w14:textId="77777777" w:rsidR="00BF51FE" w:rsidRPr="009C685E" w:rsidRDefault="00BF51FE" w:rsidP="00DE380F">
            <w:pPr>
              <w:spacing w:line="360" w:lineRule="auto"/>
              <w:jc w:val="both"/>
              <w:rPr>
                <w:szCs w:val="21"/>
              </w:rPr>
            </w:pPr>
            <w:r w:rsidRPr="009C685E">
              <w:rPr>
                <w:szCs w:val="21"/>
              </w:rPr>
              <w:t>AGTACCCGCATCTGCACAAC</w:t>
            </w:r>
          </w:p>
        </w:tc>
        <w:tc>
          <w:tcPr>
            <w:tcW w:w="3339" w:type="dxa"/>
            <w:tcBorders>
              <w:top w:val="single" w:sz="4" w:space="0" w:color="auto"/>
              <w:left w:val="single" w:sz="4" w:space="0" w:color="auto"/>
              <w:bottom w:val="single" w:sz="4" w:space="0" w:color="auto"/>
              <w:right w:val="single" w:sz="4" w:space="0" w:color="auto"/>
            </w:tcBorders>
          </w:tcPr>
          <w:p w14:paraId="27CA573F" w14:textId="77777777" w:rsidR="00BF51FE" w:rsidRPr="009C685E" w:rsidRDefault="00BF51FE" w:rsidP="00DE380F">
            <w:pPr>
              <w:spacing w:line="360" w:lineRule="auto"/>
              <w:jc w:val="both"/>
              <w:rPr>
                <w:szCs w:val="21"/>
              </w:rPr>
            </w:pPr>
            <w:r w:rsidRPr="009C685E">
              <w:rPr>
                <w:szCs w:val="21"/>
              </w:rPr>
              <w:t>ACGAAGGGTCTCTTCTCGCT</w:t>
            </w:r>
            <w:r w:rsidRPr="009C685E">
              <w:rPr>
                <w:szCs w:val="21"/>
              </w:rPr>
              <w:tab/>
            </w:r>
          </w:p>
        </w:tc>
      </w:tr>
      <w:tr w:rsidR="00BF51FE" w:rsidRPr="009C685E" w14:paraId="07D08034" w14:textId="77777777" w:rsidTr="00DE380F">
        <w:tc>
          <w:tcPr>
            <w:tcW w:w="1129" w:type="dxa"/>
            <w:tcBorders>
              <w:top w:val="single" w:sz="4" w:space="0" w:color="auto"/>
              <w:left w:val="single" w:sz="4" w:space="0" w:color="auto"/>
              <w:bottom w:val="single" w:sz="4" w:space="0" w:color="auto"/>
              <w:right w:val="single" w:sz="4" w:space="0" w:color="auto"/>
            </w:tcBorders>
          </w:tcPr>
          <w:p w14:paraId="48A7B5A4" w14:textId="77777777" w:rsidR="00BF51FE" w:rsidRPr="009C685E" w:rsidRDefault="00BF51FE" w:rsidP="00DE380F">
            <w:pPr>
              <w:spacing w:line="360" w:lineRule="auto"/>
              <w:jc w:val="both"/>
              <w:rPr>
                <w:szCs w:val="21"/>
              </w:rPr>
            </w:pPr>
            <w:proofErr w:type="spellStart"/>
            <w:r w:rsidRPr="009C685E">
              <w:rPr>
                <w:szCs w:val="21"/>
              </w:rPr>
              <w:t>plzf</w:t>
            </w:r>
            <w:proofErr w:type="spellEnd"/>
          </w:p>
        </w:tc>
        <w:tc>
          <w:tcPr>
            <w:tcW w:w="3828" w:type="dxa"/>
            <w:tcBorders>
              <w:top w:val="single" w:sz="4" w:space="0" w:color="auto"/>
              <w:left w:val="single" w:sz="4" w:space="0" w:color="auto"/>
              <w:bottom w:val="single" w:sz="4" w:space="0" w:color="auto"/>
              <w:right w:val="single" w:sz="4" w:space="0" w:color="auto"/>
            </w:tcBorders>
          </w:tcPr>
          <w:p w14:paraId="64F03250" w14:textId="77777777" w:rsidR="00BF51FE" w:rsidRPr="009C685E" w:rsidRDefault="00BF51FE" w:rsidP="00DE380F">
            <w:pPr>
              <w:spacing w:line="360" w:lineRule="auto"/>
              <w:jc w:val="both"/>
              <w:rPr>
                <w:color w:val="000000"/>
              </w:rPr>
            </w:pPr>
            <w:r w:rsidRPr="009C685E">
              <w:rPr>
                <w:szCs w:val="21"/>
              </w:rPr>
              <w:t>CTGGGACTTTGTGCGATGTG</w:t>
            </w:r>
          </w:p>
        </w:tc>
        <w:tc>
          <w:tcPr>
            <w:tcW w:w="3339" w:type="dxa"/>
            <w:tcBorders>
              <w:top w:val="single" w:sz="4" w:space="0" w:color="auto"/>
              <w:left w:val="single" w:sz="4" w:space="0" w:color="auto"/>
              <w:bottom w:val="single" w:sz="4" w:space="0" w:color="auto"/>
              <w:right w:val="single" w:sz="4" w:space="0" w:color="auto"/>
            </w:tcBorders>
          </w:tcPr>
          <w:p w14:paraId="6DC709D1" w14:textId="77777777" w:rsidR="00BF51FE" w:rsidRPr="009C685E" w:rsidRDefault="00BF51FE" w:rsidP="00DE380F">
            <w:pPr>
              <w:spacing w:line="360" w:lineRule="auto"/>
              <w:jc w:val="both"/>
              <w:rPr>
                <w:szCs w:val="21"/>
              </w:rPr>
            </w:pPr>
            <w:r w:rsidRPr="009C685E">
              <w:rPr>
                <w:szCs w:val="21"/>
              </w:rPr>
              <w:t>CGGTGGAAGAGGATCTCAAACA</w:t>
            </w:r>
          </w:p>
        </w:tc>
      </w:tr>
      <w:tr w:rsidR="00BF51FE" w:rsidRPr="009C685E" w14:paraId="1218D8EF" w14:textId="77777777" w:rsidTr="00DE380F">
        <w:tc>
          <w:tcPr>
            <w:tcW w:w="1129" w:type="dxa"/>
            <w:tcBorders>
              <w:top w:val="single" w:sz="4" w:space="0" w:color="auto"/>
              <w:left w:val="single" w:sz="4" w:space="0" w:color="auto"/>
              <w:bottom w:val="single" w:sz="4" w:space="0" w:color="auto"/>
              <w:right w:val="single" w:sz="4" w:space="0" w:color="auto"/>
            </w:tcBorders>
          </w:tcPr>
          <w:p w14:paraId="64D3064F" w14:textId="77777777" w:rsidR="00BF51FE" w:rsidRPr="009C685E" w:rsidRDefault="00BF51FE" w:rsidP="00DE380F">
            <w:pPr>
              <w:spacing w:line="360" w:lineRule="auto"/>
              <w:jc w:val="both"/>
              <w:rPr>
                <w:szCs w:val="21"/>
              </w:rPr>
            </w:pPr>
            <w:r w:rsidRPr="009C685E">
              <w:rPr>
                <w:szCs w:val="21"/>
              </w:rPr>
              <w:t>lin28</w:t>
            </w:r>
          </w:p>
        </w:tc>
        <w:tc>
          <w:tcPr>
            <w:tcW w:w="3828" w:type="dxa"/>
            <w:tcBorders>
              <w:top w:val="single" w:sz="4" w:space="0" w:color="auto"/>
              <w:left w:val="single" w:sz="4" w:space="0" w:color="auto"/>
              <w:bottom w:val="single" w:sz="4" w:space="0" w:color="auto"/>
              <w:right w:val="single" w:sz="4" w:space="0" w:color="auto"/>
            </w:tcBorders>
          </w:tcPr>
          <w:p w14:paraId="0EA5E01D" w14:textId="77777777" w:rsidR="00BF51FE" w:rsidRPr="009C685E" w:rsidRDefault="00BF51FE" w:rsidP="00DE380F">
            <w:pPr>
              <w:spacing w:line="360" w:lineRule="auto"/>
              <w:jc w:val="both"/>
              <w:rPr>
                <w:szCs w:val="21"/>
              </w:rPr>
            </w:pPr>
            <w:r w:rsidRPr="009C685E">
              <w:rPr>
                <w:szCs w:val="21"/>
              </w:rPr>
              <w:t>GGCATCTGTAAGTGGTTCAACG</w:t>
            </w:r>
          </w:p>
        </w:tc>
        <w:tc>
          <w:tcPr>
            <w:tcW w:w="3339" w:type="dxa"/>
            <w:tcBorders>
              <w:top w:val="single" w:sz="4" w:space="0" w:color="auto"/>
              <w:left w:val="single" w:sz="4" w:space="0" w:color="auto"/>
              <w:bottom w:val="single" w:sz="4" w:space="0" w:color="auto"/>
              <w:right w:val="single" w:sz="4" w:space="0" w:color="auto"/>
            </w:tcBorders>
          </w:tcPr>
          <w:p w14:paraId="0C938318" w14:textId="77777777" w:rsidR="00BF51FE" w:rsidRPr="009C685E" w:rsidRDefault="00BF51FE" w:rsidP="00DE380F">
            <w:pPr>
              <w:spacing w:line="360" w:lineRule="auto"/>
              <w:jc w:val="both"/>
              <w:rPr>
                <w:szCs w:val="21"/>
              </w:rPr>
            </w:pPr>
            <w:r w:rsidRPr="009C685E">
              <w:rPr>
                <w:szCs w:val="21"/>
              </w:rPr>
              <w:t>GCCAGTGACACGGATGGATT</w:t>
            </w:r>
          </w:p>
        </w:tc>
      </w:tr>
      <w:tr w:rsidR="00BF51FE" w:rsidRPr="009C685E" w14:paraId="0D3BA6F8" w14:textId="77777777" w:rsidTr="00DE380F">
        <w:tc>
          <w:tcPr>
            <w:tcW w:w="1129" w:type="dxa"/>
            <w:tcBorders>
              <w:top w:val="single" w:sz="4" w:space="0" w:color="auto"/>
              <w:left w:val="single" w:sz="4" w:space="0" w:color="auto"/>
              <w:bottom w:val="single" w:sz="4" w:space="0" w:color="auto"/>
              <w:right w:val="single" w:sz="4" w:space="0" w:color="auto"/>
            </w:tcBorders>
          </w:tcPr>
          <w:p w14:paraId="5E46F88D" w14:textId="77777777" w:rsidR="00BF51FE" w:rsidRPr="009C685E" w:rsidRDefault="00BF51FE" w:rsidP="00DE380F">
            <w:pPr>
              <w:spacing w:line="360" w:lineRule="auto"/>
              <w:jc w:val="both"/>
              <w:rPr>
                <w:szCs w:val="21"/>
              </w:rPr>
            </w:pPr>
            <w:r w:rsidRPr="009C685E">
              <w:rPr>
                <w:szCs w:val="21"/>
              </w:rPr>
              <w:t>c-kit</w:t>
            </w:r>
          </w:p>
        </w:tc>
        <w:tc>
          <w:tcPr>
            <w:tcW w:w="3828" w:type="dxa"/>
            <w:tcBorders>
              <w:top w:val="single" w:sz="4" w:space="0" w:color="auto"/>
              <w:left w:val="single" w:sz="4" w:space="0" w:color="auto"/>
              <w:bottom w:val="single" w:sz="4" w:space="0" w:color="auto"/>
              <w:right w:val="single" w:sz="4" w:space="0" w:color="auto"/>
            </w:tcBorders>
          </w:tcPr>
          <w:p w14:paraId="63BA2E1C" w14:textId="77777777" w:rsidR="00BF51FE" w:rsidRPr="009C685E" w:rsidRDefault="00BF51FE" w:rsidP="00DE380F">
            <w:pPr>
              <w:spacing w:line="360" w:lineRule="auto"/>
              <w:jc w:val="both"/>
              <w:rPr>
                <w:szCs w:val="21"/>
              </w:rPr>
            </w:pPr>
            <w:r w:rsidRPr="009C685E">
              <w:rPr>
                <w:szCs w:val="21"/>
              </w:rPr>
              <w:t>GCCACGTCTCAGCCATCTG</w:t>
            </w:r>
          </w:p>
        </w:tc>
        <w:tc>
          <w:tcPr>
            <w:tcW w:w="3339" w:type="dxa"/>
            <w:tcBorders>
              <w:top w:val="single" w:sz="4" w:space="0" w:color="auto"/>
              <w:left w:val="single" w:sz="4" w:space="0" w:color="auto"/>
              <w:bottom w:val="single" w:sz="4" w:space="0" w:color="auto"/>
              <w:right w:val="single" w:sz="4" w:space="0" w:color="auto"/>
            </w:tcBorders>
          </w:tcPr>
          <w:p w14:paraId="7887CFCB" w14:textId="77777777" w:rsidR="00BF51FE" w:rsidRPr="009C685E" w:rsidRDefault="00BF51FE" w:rsidP="00DE380F">
            <w:pPr>
              <w:spacing w:line="360" w:lineRule="auto"/>
              <w:jc w:val="both"/>
              <w:rPr>
                <w:szCs w:val="21"/>
              </w:rPr>
            </w:pPr>
            <w:r w:rsidRPr="009C685E">
              <w:rPr>
                <w:szCs w:val="21"/>
              </w:rPr>
              <w:t>GTCGCCAGCTTCAACTATTAACT</w:t>
            </w:r>
          </w:p>
        </w:tc>
      </w:tr>
      <w:tr w:rsidR="00BF51FE" w:rsidRPr="009C685E" w14:paraId="56A77CF9" w14:textId="77777777" w:rsidTr="00DE380F">
        <w:tc>
          <w:tcPr>
            <w:tcW w:w="1129" w:type="dxa"/>
            <w:tcBorders>
              <w:top w:val="single" w:sz="4" w:space="0" w:color="auto"/>
              <w:left w:val="single" w:sz="4" w:space="0" w:color="auto"/>
              <w:bottom w:val="single" w:sz="4" w:space="0" w:color="auto"/>
              <w:right w:val="single" w:sz="4" w:space="0" w:color="auto"/>
            </w:tcBorders>
          </w:tcPr>
          <w:p w14:paraId="44813443" w14:textId="77777777" w:rsidR="00BF51FE" w:rsidRPr="009C685E" w:rsidRDefault="00BF51FE" w:rsidP="00DE380F">
            <w:pPr>
              <w:spacing w:line="360" w:lineRule="auto"/>
              <w:jc w:val="both"/>
              <w:rPr>
                <w:szCs w:val="21"/>
              </w:rPr>
            </w:pPr>
            <w:r w:rsidRPr="009C685E">
              <w:rPr>
                <w:szCs w:val="21"/>
              </w:rPr>
              <w:t>stra8</w:t>
            </w:r>
          </w:p>
        </w:tc>
        <w:tc>
          <w:tcPr>
            <w:tcW w:w="3828" w:type="dxa"/>
            <w:tcBorders>
              <w:top w:val="single" w:sz="4" w:space="0" w:color="auto"/>
              <w:left w:val="single" w:sz="4" w:space="0" w:color="auto"/>
              <w:bottom w:val="single" w:sz="4" w:space="0" w:color="auto"/>
              <w:right w:val="single" w:sz="4" w:space="0" w:color="auto"/>
            </w:tcBorders>
          </w:tcPr>
          <w:p w14:paraId="2BBEC2B6" w14:textId="77777777" w:rsidR="00BF51FE" w:rsidRPr="009C685E" w:rsidRDefault="00BF51FE" w:rsidP="00DE380F">
            <w:pPr>
              <w:spacing w:line="360" w:lineRule="auto"/>
              <w:jc w:val="both"/>
              <w:rPr>
                <w:szCs w:val="21"/>
              </w:rPr>
            </w:pPr>
            <w:r w:rsidRPr="009C685E">
              <w:rPr>
                <w:szCs w:val="21"/>
              </w:rPr>
              <w:t>ACAACCTAAGGAAGGCAGTTTAC</w:t>
            </w:r>
          </w:p>
        </w:tc>
        <w:tc>
          <w:tcPr>
            <w:tcW w:w="3339" w:type="dxa"/>
            <w:tcBorders>
              <w:top w:val="single" w:sz="4" w:space="0" w:color="auto"/>
              <w:left w:val="single" w:sz="4" w:space="0" w:color="auto"/>
              <w:bottom w:val="single" w:sz="4" w:space="0" w:color="auto"/>
              <w:right w:val="single" w:sz="4" w:space="0" w:color="auto"/>
            </w:tcBorders>
          </w:tcPr>
          <w:p w14:paraId="504087D3" w14:textId="77777777" w:rsidR="00BF51FE" w:rsidRPr="009C685E" w:rsidRDefault="00BF51FE" w:rsidP="00DE380F">
            <w:pPr>
              <w:spacing w:line="360" w:lineRule="auto"/>
              <w:jc w:val="both"/>
              <w:rPr>
                <w:szCs w:val="21"/>
              </w:rPr>
            </w:pPr>
            <w:r w:rsidRPr="009C685E">
              <w:rPr>
                <w:szCs w:val="21"/>
              </w:rPr>
              <w:t>GACCTCCTCTAAGCTGTTGGG</w:t>
            </w:r>
          </w:p>
        </w:tc>
      </w:tr>
      <w:tr w:rsidR="00BF51FE" w:rsidRPr="009C685E" w14:paraId="031AE935" w14:textId="77777777" w:rsidTr="00DE380F">
        <w:tc>
          <w:tcPr>
            <w:tcW w:w="1129" w:type="dxa"/>
            <w:tcBorders>
              <w:top w:val="single" w:sz="4" w:space="0" w:color="auto"/>
              <w:left w:val="single" w:sz="4" w:space="0" w:color="auto"/>
              <w:bottom w:val="single" w:sz="4" w:space="0" w:color="auto"/>
              <w:right w:val="single" w:sz="4" w:space="0" w:color="auto"/>
            </w:tcBorders>
          </w:tcPr>
          <w:p w14:paraId="727235B2" w14:textId="77777777" w:rsidR="00BF51FE" w:rsidRPr="009C685E" w:rsidRDefault="00BF51FE" w:rsidP="00DE380F">
            <w:pPr>
              <w:spacing w:line="360" w:lineRule="auto"/>
              <w:jc w:val="both"/>
              <w:rPr>
                <w:szCs w:val="21"/>
              </w:rPr>
            </w:pPr>
            <w:r w:rsidRPr="009C685E">
              <w:rPr>
                <w:szCs w:val="21"/>
              </w:rPr>
              <w:t>sycp3</w:t>
            </w:r>
          </w:p>
        </w:tc>
        <w:tc>
          <w:tcPr>
            <w:tcW w:w="3828" w:type="dxa"/>
            <w:tcBorders>
              <w:top w:val="single" w:sz="4" w:space="0" w:color="auto"/>
              <w:left w:val="single" w:sz="4" w:space="0" w:color="auto"/>
              <w:bottom w:val="single" w:sz="4" w:space="0" w:color="auto"/>
              <w:right w:val="single" w:sz="4" w:space="0" w:color="auto"/>
            </w:tcBorders>
          </w:tcPr>
          <w:p w14:paraId="2282D451" w14:textId="77777777" w:rsidR="00BF51FE" w:rsidRPr="009C685E" w:rsidRDefault="00BF51FE" w:rsidP="00DE380F">
            <w:pPr>
              <w:spacing w:line="360" w:lineRule="auto"/>
              <w:jc w:val="both"/>
              <w:rPr>
                <w:szCs w:val="21"/>
              </w:rPr>
            </w:pPr>
            <w:r w:rsidRPr="009C685E">
              <w:rPr>
                <w:szCs w:val="21"/>
              </w:rPr>
              <w:t>AGACATGGGACATGAAGTAGGC</w:t>
            </w:r>
          </w:p>
        </w:tc>
        <w:tc>
          <w:tcPr>
            <w:tcW w:w="3339" w:type="dxa"/>
            <w:tcBorders>
              <w:top w:val="single" w:sz="4" w:space="0" w:color="auto"/>
              <w:left w:val="single" w:sz="4" w:space="0" w:color="auto"/>
              <w:bottom w:val="single" w:sz="4" w:space="0" w:color="auto"/>
              <w:right w:val="single" w:sz="4" w:space="0" w:color="auto"/>
            </w:tcBorders>
          </w:tcPr>
          <w:p w14:paraId="1017FB93" w14:textId="77777777" w:rsidR="00BF51FE" w:rsidRPr="009C685E" w:rsidRDefault="00BF51FE" w:rsidP="00DE380F">
            <w:pPr>
              <w:spacing w:line="360" w:lineRule="auto"/>
              <w:jc w:val="both"/>
              <w:rPr>
                <w:szCs w:val="21"/>
              </w:rPr>
            </w:pPr>
            <w:r w:rsidRPr="009C685E">
              <w:rPr>
                <w:szCs w:val="21"/>
              </w:rPr>
              <w:t>CCTCTCTCGTTCGTTCGTTTT</w:t>
            </w:r>
          </w:p>
        </w:tc>
      </w:tr>
      <w:tr w:rsidR="00BF51FE" w:rsidRPr="009C685E" w14:paraId="09D1AC5E" w14:textId="77777777" w:rsidTr="00DE380F">
        <w:tc>
          <w:tcPr>
            <w:tcW w:w="1129" w:type="dxa"/>
            <w:tcBorders>
              <w:top w:val="single" w:sz="4" w:space="0" w:color="auto"/>
              <w:left w:val="single" w:sz="4" w:space="0" w:color="auto"/>
              <w:bottom w:val="single" w:sz="4" w:space="0" w:color="auto"/>
              <w:right w:val="single" w:sz="4" w:space="0" w:color="auto"/>
            </w:tcBorders>
          </w:tcPr>
          <w:p w14:paraId="3A714F93" w14:textId="77777777" w:rsidR="00BF51FE" w:rsidRPr="009C685E" w:rsidRDefault="00BF51FE" w:rsidP="00DE380F">
            <w:pPr>
              <w:spacing w:line="360" w:lineRule="auto"/>
              <w:jc w:val="both"/>
              <w:rPr>
                <w:szCs w:val="21"/>
              </w:rPr>
            </w:pPr>
            <w:r w:rsidRPr="009C685E">
              <w:rPr>
                <w:szCs w:val="21"/>
              </w:rPr>
              <w:lastRenderedPageBreak/>
              <w:t>piwil1</w:t>
            </w:r>
          </w:p>
        </w:tc>
        <w:tc>
          <w:tcPr>
            <w:tcW w:w="3828" w:type="dxa"/>
            <w:tcBorders>
              <w:top w:val="single" w:sz="4" w:space="0" w:color="auto"/>
              <w:left w:val="single" w:sz="4" w:space="0" w:color="auto"/>
              <w:bottom w:val="single" w:sz="4" w:space="0" w:color="auto"/>
              <w:right w:val="single" w:sz="4" w:space="0" w:color="auto"/>
            </w:tcBorders>
          </w:tcPr>
          <w:p w14:paraId="28069286" w14:textId="77777777" w:rsidR="00BF51FE" w:rsidRPr="009C685E" w:rsidRDefault="00BF51FE" w:rsidP="00DE380F">
            <w:pPr>
              <w:spacing w:line="360" w:lineRule="auto"/>
              <w:jc w:val="both"/>
              <w:rPr>
                <w:szCs w:val="21"/>
              </w:rPr>
            </w:pPr>
            <w:r w:rsidRPr="009C685E">
              <w:rPr>
                <w:szCs w:val="21"/>
              </w:rPr>
              <w:t>CAGCAACCTGGGTACATCCC</w:t>
            </w:r>
          </w:p>
        </w:tc>
        <w:tc>
          <w:tcPr>
            <w:tcW w:w="3339" w:type="dxa"/>
            <w:tcBorders>
              <w:top w:val="single" w:sz="4" w:space="0" w:color="auto"/>
              <w:left w:val="single" w:sz="4" w:space="0" w:color="auto"/>
              <w:bottom w:val="single" w:sz="4" w:space="0" w:color="auto"/>
              <w:right w:val="single" w:sz="4" w:space="0" w:color="auto"/>
            </w:tcBorders>
          </w:tcPr>
          <w:p w14:paraId="1F2FDA2D" w14:textId="77777777" w:rsidR="00BF51FE" w:rsidRPr="009C685E" w:rsidRDefault="00BF51FE" w:rsidP="00DE380F">
            <w:pPr>
              <w:spacing w:line="360" w:lineRule="auto"/>
              <w:jc w:val="both"/>
              <w:rPr>
                <w:szCs w:val="21"/>
              </w:rPr>
            </w:pPr>
            <w:r w:rsidRPr="009C685E">
              <w:rPr>
                <w:szCs w:val="21"/>
              </w:rPr>
              <w:t>CCAAGGTCATGGAAGTCTCGG</w:t>
            </w:r>
          </w:p>
        </w:tc>
      </w:tr>
      <w:tr w:rsidR="00BF51FE" w:rsidRPr="009C685E" w14:paraId="1CE4DB07" w14:textId="77777777" w:rsidTr="00DE380F">
        <w:tc>
          <w:tcPr>
            <w:tcW w:w="1129" w:type="dxa"/>
            <w:tcBorders>
              <w:top w:val="single" w:sz="4" w:space="0" w:color="auto"/>
              <w:left w:val="single" w:sz="4" w:space="0" w:color="auto"/>
              <w:bottom w:val="single" w:sz="4" w:space="0" w:color="auto"/>
              <w:right w:val="single" w:sz="4" w:space="0" w:color="auto"/>
            </w:tcBorders>
          </w:tcPr>
          <w:p w14:paraId="4BCE5895" w14:textId="77777777" w:rsidR="00BF51FE" w:rsidRPr="009C685E" w:rsidRDefault="00BF51FE" w:rsidP="00DE380F">
            <w:pPr>
              <w:spacing w:line="360" w:lineRule="auto"/>
              <w:jc w:val="both"/>
              <w:rPr>
                <w:szCs w:val="21"/>
              </w:rPr>
            </w:pPr>
            <w:r w:rsidRPr="009C685E">
              <w:rPr>
                <w:szCs w:val="21"/>
              </w:rPr>
              <w:t>acrv1</w:t>
            </w:r>
          </w:p>
        </w:tc>
        <w:tc>
          <w:tcPr>
            <w:tcW w:w="3828" w:type="dxa"/>
            <w:tcBorders>
              <w:top w:val="single" w:sz="4" w:space="0" w:color="auto"/>
              <w:left w:val="single" w:sz="4" w:space="0" w:color="auto"/>
              <w:bottom w:val="single" w:sz="4" w:space="0" w:color="auto"/>
              <w:right w:val="single" w:sz="4" w:space="0" w:color="auto"/>
            </w:tcBorders>
          </w:tcPr>
          <w:p w14:paraId="46291C14" w14:textId="77777777" w:rsidR="00BF51FE" w:rsidRPr="009C685E" w:rsidRDefault="00BF51FE" w:rsidP="00DE380F">
            <w:pPr>
              <w:spacing w:line="360" w:lineRule="auto"/>
              <w:jc w:val="both"/>
              <w:rPr>
                <w:szCs w:val="21"/>
              </w:rPr>
            </w:pPr>
            <w:r w:rsidRPr="009C685E">
              <w:rPr>
                <w:szCs w:val="21"/>
              </w:rPr>
              <w:t>TCAGCAACTTTCAAGCGAGTAT</w:t>
            </w:r>
          </w:p>
        </w:tc>
        <w:tc>
          <w:tcPr>
            <w:tcW w:w="3339" w:type="dxa"/>
            <w:tcBorders>
              <w:top w:val="single" w:sz="4" w:space="0" w:color="auto"/>
              <w:left w:val="single" w:sz="4" w:space="0" w:color="auto"/>
              <w:bottom w:val="single" w:sz="4" w:space="0" w:color="auto"/>
              <w:right w:val="single" w:sz="4" w:space="0" w:color="auto"/>
            </w:tcBorders>
          </w:tcPr>
          <w:p w14:paraId="3226FDD6" w14:textId="77777777" w:rsidR="00BF51FE" w:rsidRPr="009C685E" w:rsidRDefault="00BF51FE" w:rsidP="00DE380F">
            <w:pPr>
              <w:spacing w:line="360" w:lineRule="auto"/>
              <w:jc w:val="both"/>
              <w:rPr>
                <w:szCs w:val="21"/>
              </w:rPr>
            </w:pPr>
            <w:r w:rsidRPr="009C685E">
              <w:rPr>
                <w:szCs w:val="21"/>
              </w:rPr>
              <w:t>CTCCTGAAGAGTGCTCACCTG</w:t>
            </w:r>
          </w:p>
        </w:tc>
      </w:tr>
      <w:tr w:rsidR="00BF51FE" w:rsidRPr="009C685E" w14:paraId="57D62913" w14:textId="77777777" w:rsidTr="00DE380F">
        <w:tc>
          <w:tcPr>
            <w:tcW w:w="1129" w:type="dxa"/>
            <w:tcBorders>
              <w:top w:val="single" w:sz="4" w:space="0" w:color="auto"/>
              <w:left w:val="single" w:sz="4" w:space="0" w:color="auto"/>
              <w:bottom w:val="single" w:sz="4" w:space="0" w:color="auto"/>
              <w:right w:val="single" w:sz="4" w:space="0" w:color="auto"/>
            </w:tcBorders>
          </w:tcPr>
          <w:p w14:paraId="12B35EAF" w14:textId="77777777" w:rsidR="00BF51FE" w:rsidRPr="009C685E" w:rsidRDefault="00BF51FE" w:rsidP="00DE380F">
            <w:pPr>
              <w:spacing w:line="360" w:lineRule="auto"/>
              <w:jc w:val="both"/>
              <w:rPr>
                <w:szCs w:val="21"/>
              </w:rPr>
            </w:pPr>
            <w:r w:rsidRPr="009C685E">
              <w:rPr>
                <w:szCs w:val="21"/>
              </w:rPr>
              <w:t>tex21</w:t>
            </w:r>
          </w:p>
        </w:tc>
        <w:tc>
          <w:tcPr>
            <w:tcW w:w="3828" w:type="dxa"/>
            <w:tcBorders>
              <w:top w:val="single" w:sz="4" w:space="0" w:color="auto"/>
              <w:left w:val="single" w:sz="4" w:space="0" w:color="auto"/>
              <w:bottom w:val="single" w:sz="4" w:space="0" w:color="auto"/>
              <w:right w:val="single" w:sz="4" w:space="0" w:color="auto"/>
            </w:tcBorders>
          </w:tcPr>
          <w:p w14:paraId="06440977" w14:textId="77777777" w:rsidR="00BF51FE" w:rsidRPr="009C685E" w:rsidRDefault="00BF51FE" w:rsidP="00DE380F">
            <w:pPr>
              <w:spacing w:line="360" w:lineRule="auto"/>
              <w:jc w:val="both"/>
              <w:rPr>
                <w:szCs w:val="21"/>
              </w:rPr>
            </w:pPr>
            <w:r w:rsidRPr="009C685E">
              <w:rPr>
                <w:szCs w:val="21"/>
              </w:rPr>
              <w:t>GGCCACTCCAGCCTGTAAG</w:t>
            </w:r>
          </w:p>
        </w:tc>
        <w:tc>
          <w:tcPr>
            <w:tcW w:w="3339" w:type="dxa"/>
            <w:tcBorders>
              <w:top w:val="single" w:sz="4" w:space="0" w:color="auto"/>
              <w:left w:val="single" w:sz="4" w:space="0" w:color="auto"/>
              <w:bottom w:val="single" w:sz="4" w:space="0" w:color="auto"/>
              <w:right w:val="single" w:sz="4" w:space="0" w:color="auto"/>
            </w:tcBorders>
          </w:tcPr>
          <w:p w14:paraId="7B2BBBF2" w14:textId="77777777" w:rsidR="00BF51FE" w:rsidRPr="009C685E" w:rsidRDefault="00BF51FE" w:rsidP="00DE380F">
            <w:pPr>
              <w:spacing w:line="360" w:lineRule="auto"/>
              <w:jc w:val="both"/>
              <w:rPr>
                <w:szCs w:val="21"/>
              </w:rPr>
            </w:pPr>
            <w:r w:rsidRPr="009C685E">
              <w:rPr>
                <w:szCs w:val="21"/>
              </w:rPr>
              <w:t>TCTTTGGTTTGGCTATTGGCAA</w:t>
            </w:r>
          </w:p>
        </w:tc>
      </w:tr>
      <w:tr w:rsidR="00BF51FE" w:rsidRPr="009C685E" w14:paraId="52A0B105" w14:textId="77777777" w:rsidTr="00DE380F">
        <w:tc>
          <w:tcPr>
            <w:tcW w:w="1129" w:type="dxa"/>
            <w:tcBorders>
              <w:top w:val="single" w:sz="4" w:space="0" w:color="auto"/>
              <w:left w:val="single" w:sz="4" w:space="0" w:color="auto"/>
              <w:bottom w:val="single" w:sz="4" w:space="0" w:color="auto"/>
              <w:right w:val="single" w:sz="4" w:space="0" w:color="auto"/>
            </w:tcBorders>
          </w:tcPr>
          <w:p w14:paraId="4DF2A8F9" w14:textId="77777777" w:rsidR="00BF51FE" w:rsidRPr="009C685E" w:rsidRDefault="00BF51FE" w:rsidP="00DE380F">
            <w:pPr>
              <w:spacing w:line="360" w:lineRule="auto"/>
              <w:jc w:val="both"/>
              <w:rPr>
                <w:szCs w:val="21"/>
              </w:rPr>
            </w:pPr>
            <w:r w:rsidRPr="009C685E">
              <w:rPr>
                <w:szCs w:val="21"/>
              </w:rPr>
              <w:t>tnp1</w:t>
            </w:r>
          </w:p>
        </w:tc>
        <w:tc>
          <w:tcPr>
            <w:tcW w:w="3828" w:type="dxa"/>
            <w:tcBorders>
              <w:top w:val="single" w:sz="4" w:space="0" w:color="auto"/>
              <w:left w:val="single" w:sz="4" w:space="0" w:color="auto"/>
              <w:bottom w:val="single" w:sz="4" w:space="0" w:color="auto"/>
              <w:right w:val="single" w:sz="4" w:space="0" w:color="auto"/>
            </w:tcBorders>
          </w:tcPr>
          <w:p w14:paraId="714947F3" w14:textId="77777777" w:rsidR="00BF51FE" w:rsidRPr="009C685E" w:rsidRDefault="00BF51FE" w:rsidP="00DE380F">
            <w:pPr>
              <w:spacing w:line="360" w:lineRule="auto"/>
              <w:jc w:val="both"/>
              <w:rPr>
                <w:szCs w:val="21"/>
              </w:rPr>
            </w:pPr>
            <w:r w:rsidRPr="009C685E">
              <w:rPr>
                <w:szCs w:val="21"/>
              </w:rPr>
              <w:t>ACCAGCCGCAAGCTAAAGAC</w:t>
            </w:r>
          </w:p>
        </w:tc>
        <w:tc>
          <w:tcPr>
            <w:tcW w:w="3339" w:type="dxa"/>
            <w:tcBorders>
              <w:top w:val="single" w:sz="4" w:space="0" w:color="auto"/>
              <w:left w:val="single" w:sz="4" w:space="0" w:color="auto"/>
              <w:bottom w:val="single" w:sz="4" w:space="0" w:color="auto"/>
              <w:right w:val="single" w:sz="4" w:space="0" w:color="auto"/>
            </w:tcBorders>
          </w:tcPr>
          <w:p w14:paraId="235A19E8" w14:textId="77777777" w:rsidR="00BF51FE" w:rsidRPr="009C685E" w:rsidRDefault="00BF51FE" w:rsidP="00DE380F">
            <w:pPr>
              <w:spacing w:line="360" w:lineRule="auto"/>
              <w:jc w:val="both"/>
              <w:rPr>
                <w:szCs w:val="21"/>
              </w:rPr>
            </w:pPr>
            <w:r w:rsidRPr="009C685E">
              <w:rPr>
                <w:szCs w:val="21"/>
              </w:rPr>
              <w:t>TTTCCTACTTTTCAGGACGCTC</w:t>
            </w:r>
          </w:p>
        </w:tc>
      </w:tr>
      <w:tr w:rsidR="00BF51FE" w:rsidRPr="009C685E" w14:paraId="5F63558B" w14:textId="77777777" w:rsidTr="00DE380F">
        <w:tc>
          <w:tcPr>
            <w:tcW w:w="1129" w:type="dxa"/>
            <w:tcBorders>
              <w:top w:val="single" w:sz="4" w:space="0" w:color="auto"/>
              <w:left w:val="single" w:sz="4" w:space="0" w:color="auto"/>
              <w:bottom w:val="single" w:sz="4" w:space="0" w:color="auto"/>
              <w:right w:val="single" w:sz="4" w:space="0" w:color="auto"/>
            </w:tcBorders>
          </w:tcPr>
          <w:p w14:paraId="79B4018D" w14:textId="77777777" w:rsidR="00BF51FE" w:rsidRPr="009C685E" w:rsidRDefault="00BF51FE" w:rsidP="00DE380F">
            <w:pPr>
              <w:spacing w:line="360" w:lineRule="auto"/>
              <w:jc w:val="both"/>
              <w:rPr>
                <w:szCs w:val="21"/>
              </w:rPr>
            </w:pPr>
            <w:r w:rsidRPr="009C685E">
              <w:rPr>
                <w:szCs w:val="21"/>
              </w:rPr>
              <w:t>prm1</w:t>
            </w:r>
          </w:p>
        </w:tc>
        <w:tc>
          <w:tcPr>
            <w:tcW w:w="3828" w:type="dxa"/>
            <w:tcBorders>
              <w:top w:val="single" w:sz="4" w:space="0" w:color="auto"/>
              <w:left w:val="single" w:sz="4" w:space="0" w:color="auto"/>
              <w:bottom w:val="single" w:sz="4" w:space="0" w:color="auto"/>
              <w:right w:val="single" w:sz="4" w:space="0" w:color="auto"/>
            </w:tcBorders>
          </w:tcPr>
          <w:p w14:paraId="09AC7E47" w14:textId="77777777" w:rsidR="00BF51FE" w:rsidRPr="009C685E" w:rsidRDefault="00BF51FE" w:rsidP="00DE380F">
            <w:pPr>
              <w:spacing w:line="360" w:lineRule="auto"/>
              <w:jc w:val="both"/>
              <w:rPr>
                <w:szCs w:val="21"/>
              </w:rPr>
            </w:pPr>
            <w:r w:rsidRPr="009C685E">
              <w:rPr>
                <w:szCs w:val="21"/>
              </w:rPr>
              <w:t>TCCGACTCATGTTGAAAAACCC</w:t>
            </w:r>
          </w:p>
        </w:tc>
        <w:tc>
          <w:tcPr>
            <w:tcW w:w="3339" w:type="dxa"/>
            <w:tcBorders>
              <w:top w:val="single" w:sz="4" w:space="0" w:color="auto"/>
              <w:left w:val="single" w:sz="4" w:space="0" w:color="auto"/>
              <w:bottom w:val="single" w:sz="4" w:space="0" w:color="auto"/>
              <w:right w:val="single" w:sz="4" w:space="0" w:color="auto"/>
            </w:tcBorders>
          </w:tcPr>
          <w:p w14:paraId="39752D9B" w14:textId="77777777" w:rsidR="00BF51FE" w:rsidRPr="009C685E" w:rsidRDefault="00BF51FE" w:rsidP="00DE380F">
            <w:pPr>
              <w:spacing w:line="360" w:lineRule="auto"/>
              <w:jc w:val="both"/>
              <w:rPr>
                <w:szCs w:val="21"/>
              </w:rPr>
            </w:pPr>
            <w:r w:rsidRPr="009C685E">
              <w:rPr>
                <w:szCs w:val="21"/>
              </w:rPr>
              <w:t>CCTTCCCCGGATTCCTGTCT</w:t>
            </w:r>
          </w:p>
        </w:tc>
      </w:tr>
    </w:tbl>
    <w:p w14:paraId="11F7ACBF" w14:textId="77777777" w:rsidR="002D1CF8" w:rsidRDefault="002D1CF8"/>
    <w:sectPr w:rsidR="002D1C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5D3C7" w14:textId="77777777" w:rsidR="00B3649C" w:rsidRDefault="00B3649C" w:rsidP="00BF51FE">
      <w:r>
        <w:separator/>
      </w:r>
    </w:p>
  </w:endnote>
  <w:endnote w:type="continuationSeparator" w:id="0">
    <w:p w14:paraId="1AA59CDE" w14:textId="77777777" w:rsidR="00B3649C" w:rsidRDefault="00B3649C" w:rsidP="00BF5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9DC78" w14:textId="77777777" w:rsidR="00B3649C" w:rsidRDefault="00B3649C" w:rsidP="00BF51FE">
      <w:r>
        <w:separator/>
      </w:r>
    </w:p>
  </w:footnote>
  <w:footnote w:type="continuationSeparator" w:id="0">
    <w:p w14:paraId="5C8FCA33" w14:textId="77777777" w:rsidR="00B3649C" w:rsidRDefault="00B3649C" w:rsidP="00BF51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535"/>
    <w:rsid w:val="002D1CF8"/>
    <w:rsid w:val="00A94471"/>
    <w:rsid w:val="00AA6535"/>
    <w:rsid w:val="00B3649C"/>
    <w:rsid w:val="00B82A1D"/>
    <w:rsid w:val="00BF5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4A023F"/>
  <w15:chartTrackingRefBased/>
  <w15:docId w15:val="{14AEA5AC-B6F4-487B-BEF4-229428B9F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51FE"/>
    <w:rPr>
      <w:rFonts w:ascii="Times New Roman" w:eastAsia="宋体" w:hAnsi="Times New Roman" w:cs="Times New Roman"/>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51FE"/>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eastAsia="zh-CN"/>
    </w:rPr>
  </w:style>
  <w:style w:type="character" w:customStyle="1" w:styleId="a4">
    <w:name w:val="页眉 字符"/>
    <w:basedOn w:val="a0"/>
    <w:link w:val="a3"/>
    <w:uiPriority w:val="99"/>
    <w:rsid w:val="00BF51FE"/>
    <w:rPr>
      <w:sz w:val="18"/>
      <w:szCs w:val="18"/>
    </w:rPr>
  </w:style>
  <w:style w:type="paragraph" w:styleId="a5">
    <w:name w:val="footer"/>
    <w:basedOn w:val="a"/>
    <w:link w:val="a6"/>
    <w:uiPriority w:val="99"/>
    <w:unhideWhenUsed/>
    <w:rsid w:val="00BF51FE"/>
    <w:pPr>
      <w:widowControl w:val="0"/>
      <w:tabs>
        <w:tab w:val="center" w:pos="4153"/>
        <w:tab w:val="right" w:pos="8306"/>
      </w:tabs>
      <w:snapToGrid w:val="0"/>
    </w:pPr>
    <w:rPr>
      <w:rFonts w:asciiTheme="minorHAnsi" w:eastAsiaTheme="minorEastAsia" w:hAnsiTheme="minorHAnsi" w:cstheme="minorBidi"/>
      <w:kern w:val="2"/>
      <w:sz w:val="18"/>
      <w:szCs w:val="18"/>
      <w:lang w:eastAsia="zh-CN"/>
    </w:rPr>
  </w:style>
  <w:style w:type="character" w:customStyle="1" w:styleId="a6">
    <w:name w:val="页脚 字符"/>
    <w:basedOn w:val="a0"/>
    <w:link w:val="a5"/>
    <w:uiPriority w:val="99"/>
    <w:rsid w:val="00BF51FE"/>
    <w:rPr>
      <w:sz w:val="18"/>
      <w:szCs w:val="18"/>
    </w:rPr>
  </w:style>
  <w:style w:type="table" w:styleId="a7">
    <w:name w:val="Table Grid"/>
    <w:basedOn w:val="a1"/>
    <w:uiPriority w:val="39"/>
    <w:qFormat/>
    <w:rsid w:val="00BF51FE"/>
    <w:rPr>
      <w:rFonts w:ascii="Times" w:eastAsia="Times New Roman" w:hAnsi="Times"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qFormat/>
    <w:rsid w:val="00BF51FE"/>
    <w:pPr>
      <w:spacing w:before="120"/>
      <w:ind w:firstLine="720"/>
    </w:pPr>
    <w:rPr>
      <w:rFonts w:eastAsia="Times New Roman"/>
      <w:sz w:val="24"/>
      <w:szCs w:val="24"/>
    </w:rPr>
  </w:style>
  <w:style w:type="paragraph" w:customStyle="1" w:styleId="SOMHead">
    <w:name w:val="SOMHead"/>
    <w:basedOn w:val="a"/>
    <w:qFormat/>
    <w:rsid w:val="00BF51FE"/>
    <w:pPr>
      <w:keepNext/>
      <w:spacing w:before="240"/>
      <w:outlineLvl w:val="0"/>
    </w:pPr>
    <w:rPr>
      <w:rFonts w:eastAsia="Times New Roman"/>
      <w:b/>
      <w:kern w:val="28"/>
      <w:sz w:val="24"/>
      <w:szCs w:val="24"/>
    </w:rPr>
  </w:style>
  <w:style w:type="paragraph" w:customStyle="1" w:styleId="SOMContent">
    <w:name w:val="SOMContent"/>
    <w:basedOn w:val="a"/>
    <w:qFormat/>
    <w:rsid w:val="00BF51FE"/>
    <w:pPr>
      <w:spacing w:before="120"/>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36795</Words>
  <Characters>209738</Characters>
  <Application>Microsoft Office Word</Application>
  <DocSecurity>0</DocSecurity>
  <Lines>1747</Lines>
  <Paragraphs>492</Paragraphs>
  <ScaleCrop>false</ScaleCrop>
  <Company/>
  <LinksUpToDate>false</LinksUpToDate>
  <CharactersWithSpaces>246041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钱 璋</dc:creator>
  <cp:keywords/>
  <dc:description/>
  <cp:lastModifiedBy>钱 璋</cp:lastModifiedBy>
  <cp:revision>3</cp:revision>
  <dcterms:created xsi:type="dcterms:W3CDTF">2023-01-04T11:38:00Z</dcterms:created>
  <dcterms:modified xsi:type="dcterms:W3CDTF">2023-01-04T13:48:00Z</dcterms:modified>
</cp:coreProperties>
</file>