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Supplementary. Definitions of outcomes</w:t>
      </w: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2"/>
        <w:gridCol w:w="6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0"/>
                <w:szCs w:val="20"/>
                <w:lang w:val="en-US" w:eastAsia="zh-CN"/>
              </w:rPr>
              <w:t>C</w:t>
            </w:r>
            <w:r>
              <w:rPr>
                <w:rFonts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sv-SE"/>
              </w:rPr>
              <w:t>omplications</w:t>
            </w:r>
          </w:p>
        </w:tc>
        <w:tc>
          <w:tcPr>
            <w:tcW w:w="6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Requirement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sv-SE"/>
              </w:rPr>
              <w:t>Major complications</w:t>
            </w:r>
          </w:p>
        </w:tc>
        <w:tc>
          <w:tcPr>
            <w:tcW w:w="6080" w:type="dxa"/>
            <w:tcBorders>
              <w:top w:val="single" w:color="auto" w:sz="4" w:space="0"/>
              <w:bottom w:val="nil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Anastomotic insufficiency</w:t>
            </w:r>
          </w:p>
        </w:tc>
        <w:tc>
          <w:tcPr>
            <w:tcW w:w="6080" w:type="dxa"/>
            <w:tcBorders>
              <w:top w:val="nil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A defect of the intestinal wall at the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anastomotic site leading to a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communication between the intra- and extra-luminal compartments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Peritonitis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Infection or </w:t>
            </w:r>
            <w:bookmarkStart w:id="1" w:name="_GoBack"/>
            <w:bookmarkEnd w:id="1"/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inflammation of the peritoneum caused by intestinal perforation, trauma, postoperative infection from drains, or direct spread of infected organ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Sepsis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Defined using criteria before the 2016 sepsis definition (i.e., two or more features of the systematic inflammatory response syndrome plus evidence or suspicion of infection)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 w:bidi="ar-SA"/>
              </w:rPr>
            </w:pPr>
            <w:r>
              <w:rPr>
                <w:rFonts w:hint="default" w:ascii="Times New Roman" w:hAnsi="Times New Roman" w:eastAsia="Helvetica" w:cs="Times New Roman"/>
                <w:bCs/>
                <w:color w:val="auto"/>
                <w:sz w:val="20"/>
                <w:szCs w:val="20"/>
              </w:rPr>
              <w:t>Reoperation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sv-SE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Need resurgy to repair because of postoperative anastomotic fistula and other problems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Pulmonary embolism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Mechanical obstruction of pulmonary artery or arteriole confirmed by chest angiographic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computerized tomography, ventilation perfusion scintigraphy, or autopsy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Pulmonary edema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Respiratory distress or impaired oxygenation and radiologic evidence of pulmonary edema requiring diuretic therapy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Pneumonia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The presence of new and/or progressive pulmonary infiltrates on chest radiograph plus two or more of the following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fever of 38.5°C or higher, or postoperative hypothermia less than 36°C;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leukocytosis of 10,000 white blood cell/mm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vertAlign w:val="superscript"/>
                <w:lang w:val="en-US" w:eastAsia="sv-SE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or greater or leukopenia less than 4,000 white blood cell/mm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vertAlign w:val="superscript"/>
                <w:lang w:val="en-US" w:eastAsia="sv-SE"/>
              </w:rPr>
              <w:t>3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; 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purulent sputum; and/or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new onset or worsening cough or dyspnea.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Deep v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enous</w:t>
            </w: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 thrombosis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Venous reflux disorder caused by abnormal coagulation of blood in deep veins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sv-SE"/>
              </w:rPr>
              <w:t>Acute coronary syndrome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Increase and gradual decrease in troponin level or a faster increase and decrease of creatine kinase isoenzyme as markers of myocardial necrosis in the company of at least one of the following: ischemic symptoms, abnormal Q waves on the electrocardiograph, ST segment elevation or depression, coronary artery intervention (e.g., coronary angioplasty), or a typical decrease in an elevated troponin level detected at its peak after surgery in a patient without a documented alternative explanation for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the troponin elevation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Arrhythmia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Electrocardiograph evidence of cardiac rhythm disturbance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Stroke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Embolic, thrombotic, or hemorrhagic cerebrovascular event with persistent motor, sensory, or cognitive dysfunction confirmed by computerized tomography, magnetic resonance imaging, or autopsy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AKI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According to the Kidney Disease: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Improving Global Outcomes (KDIGO) group criteria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Mortality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Patient death after primary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surgery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sv-SE"/>
              </w:rPr>
              <w:t>Minor Complications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Superficial wound infection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I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nvolves only skin and subcutaneous tissue of the incision, and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the patient has at least one of the following: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purulent drainage from the superficial incision;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organisms isolated from an aseptically obtained culture of fluid or tissue from the superficial incision;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at least one of the following symptoms or signs of infection: pain or tenderness, localized swelling, redness or heat, and superficial incision deliberately opened by surgeon with culture positive or not cultured (a culture negative finding does not meet this criterion); and</w:t>
            </w:r>
          </w:p>
          <w:p>
            <w:pPr>
              <w:widowControl/>
              <w:numPr>
                <w:ilvl w:val="0"/>
                <w:numId w:val="1"/>
              </w:numPr>
              <w:spacing w:after="0" w:line="240" w:lineRule="auto"/>
              <w:ind w:left="420" w:leftChars="0" w:hanging="420" w:firstLineChars="0"/>
              <w:jc w:val="both"/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diagnosis of an incisional surgical site infection by a surgeon or attending physician.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0"/>
                <w:sz w:val="20"/>
                <w:szCs w:val="20"/>
                <w:lang w:val="en-US" w:eastAsia="zh-CN"/>
              </w:rPr>
              <w:t>Urinary and other infection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Local inflammatory signs and specific antibiotic treatment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b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Paralytic ileus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&gt;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 days without flatus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bookmarkStart w:id="0" w:name="OLE_LINK1"/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W</w:t>
            </w:r>
            <w:r>
              <w:rPr>
                <w:rFonts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ound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bleeding</w:t>
            </w:r>
            <w:bookmarkEnd w:id="0"/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Postoperative wound dehiscence or bleeding requiring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d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rug treatment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N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eed for 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loop diuretics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Postoperative administration of loop diuretics other than that associated with blood product transfusion and chronic therapy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POD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Postoperative delirium is a cognitive disturbance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measured by the Confusion Assessment Method (CAM) or the Confusion Assessment Method for the Intensive Care Unit (CAM-ICU).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Postoperative nausea and vomiting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Nausea or vomiting within 24 to 48h of surgery and requiring antiemetic therapy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Cough and expectoration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Did not meet the diagnostic criteria for pneumonia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shd w:val="clear"/>
                <w:lang w:val="en-US" w:eastAsia="zh-CN"/>
              </w:rPr>
              <w:t>Impaired liver function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Related indexes of liver function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like ALT, AST and TBIL are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 higher than normal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Pruritus</w:t>
            </w:r>
          </w:p>
        </w:tc>
        <w:tc>
          <w:tcPr>
            <w:tcW w:w="6080" w:type="dxa"/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i w:val="0"/>
                <w:iCs/>
                <w:color w:val="auto"/>
                <w:kern w:val="0"/>
                <w:sz w:val="20"/>
                <w:szCs w:val="20"/>
                <w:lang w:val="en-US" w:eastAsia="sv-SE" w:bidi="ar-SA"/>
              </w:rPr>
            </w:pPr>
            <w:r>
              <w:rPr>
                <w:rFonts w:hint="eastAsia" w:ascii="Times New Roman" w:hAnsi="Times New Roman" w:eastAsia="Times New Roman" w:cs="Times New Roman"/>
                <w:i w:val="0"/>
                <w:iCs/>
                <w:color w:val="auto"/>
                <w:kern w:val="0"/>
                <w:sz w:val="20"/>
                <w:szCs w:val="20"/>
                <w:lang w:val="en-US" w:eastAsia="sv-SE"/>
              </w:rPr>
              <w:t>Severe itching of the skin during hospital stay</w:t>
            </w:r>
            <w:r>
              <w:rPr>
                <w:rFonts w:hint="eastAsia" w:ascii="Times New Roman" w:hAnsi="Times New Roman" w:eastAsia="宋体" w:cs="Times New Roman"/>
                <w:i w:val="0"/>
                <w:iCs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default" w:ascii="Times New Roman" w:hAnsi="Times New Roman" w:eastAsia="Times New Roman" w:cs="Times New Roman"/>
                <w:b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Blood transfusion</w:t>
            </w:r>
          </w:p>
        </w:tc>
        <w:tc>
          <w:tcPr>
            <w:tcW w:w="608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spacing w:after="0" w:line="240" w:lineRule="auto"/>
              <w:jc w:val="both"/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 xml:space="preserve">Including erythrocyte, fresh-frozen plasma, platelet transfusion, 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or albumin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from the commencement of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kern w:val="0"/>
                <w:sz w:val="20"/>
                <w:szCs w:val="20"/>
                <w:lang w:val="en-US" w:eastAsia="sv-SE"/>
              </w:rPr>
              <w:t>surgery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0"/>
                <w:szCs w:val="20"/>
                <w:lang w:val="en-US" w:eastAsia="zh-CN"/>
              </w:rPr>
              <w:t>.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47E28"/>
    <w:multiLevelType w:val="singleLevel"/>
    <w:tmpl w:val="F3E47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mNzBmZjZjYjE5Yjk4ZTg3NmQzY2E1N2NmYWI2NTkifQ=="/>
  </w:docVars>
  <w:rsids>
    <w:rsidRoot w:val="00000000"/>
    <w:rsid w:val="004B736E"/>
    <w:rsid w:val="00A57071"/>
    <w:rsid w:val="03302C1B"/>
    <w:rsid w:val="10111731"/>
    <w:rsid w:val="12882707"/>
    <w:rsid w:val="1F817139"/>
    <w:rsid w:val="2DBE302C"/>
    <w:rsid w:val="2ED47639"/>
    <w:rsid w:val="382113AB"/>
    <w:rsid w:val="3E9D5319"/>
    <w:rsid w:val="3EA77809"/>
    <w:rsid w:val="49871D7D"/>
    <w:rsid w:val="4CD97509"/>
    <w:rsid w:val="57DA0767"/>
    <w:rsid w:val="5B566ED6"/>
    <w:rsid w:val="5E661563"/>
    <w:rsid w:val="63CF198E"/>
    <w:rsid w:val="645E1BE4"/>
    <w:rsid w:val="6B276F1A"/>
    <w:rsid w:val="76F6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567</Words>
  <Characters>3546</Characters>
  <Lines>0</Lines>
  <Paragraphs>0</Paragraphs>
  <TotalTime>1</TotalTime>
  <ScaleCrop>false</ScaleCrop>
  <LinksUpToDate>false</LinksUpToDate>
  <CharactersWithSpaces>4056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</cp:lastModifiedBy>
  <dcterms:modified xsi:type="dcterms:W3CDTF">2023-02-20T04:35:48Z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76B6F823E9EF4FB0BFE62DDB3ED2D2BE</vt:lpwstr>
  </property>
</Properties>
</file>