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1BB8" w:rsidRDefault="009B1BB8" w:rsidP="009B1BB8">
      <w:pPr>
        <w:pStyle w:val="Heading1"/>
      </w:pPr>
      <w:r>
        <w:t>Supplemental Figures</w:t>
      </w:r>
    </w:p>
    <w:p w:rsidR="009B1BB8" w:rsidRDefault="009B1BB8" w:rsidP="009B1BB8">
      <w:r>
        <w:rPr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6521BB49" wp14:editId="5A1ACD97">
            <wp:simplePos x="0" y="0"/>
            <wp:positionH relativeFrom="margin">
              <wp:posOffset>0</wp:posOffset>
            </wp:positionH>
            <wp:positionV relativeFrom="paragraph">
              <wp:posOffset>180975</wp:posOffset>
            </wp:positionV>
            <wp:extent cx="5732145" cy="4020185"/>
            <wp:effectExtent l="0" t="0" r="1905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4020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9B1BB8" w:rsidRDefault="009B1BB8" w:rsidP="009B1BB8"/>
    <w:p w:rsidR="009B1BB8" w:rsidRPr="004C2D81" w:rsidRDefault="009B1BB8" w:rsidP="009B1BB8">
      <w:r>
        <w:t xml:space="preserve">Supplemental </w:t>
      </w:r>
      <w:r w:rsidRPr="004C2D81">
        <w:t>Figure</w:t>
      </w:r>
      <w:r>
        <w:t xml:space="preserve"> 1</w:t>
      </w:r>
      <w:r w:rsidRPr="004C2D81">
        <w:t xml:space="preserve"> </w:t>
      </w:r>
      <w:r>
        <w:t>Part A</w:t>
      </w:r>
      <w:r w:rsidRPr="004C2D81">
        <w:t xml:space="preserve">: Regions of greatest fMRI activation change over the three-year study duration. </w:t>
      </w:r>
      <w:r>
        <w:t>Co-registered functional data were concatenated into a 4D volume and passed to FSL MELODIC for independent components analysis along the 4</w:t>
      </w:r>
      <w:r w:rsidRPr="180A91FB">
        <w:rPr>
          <w:vertAlign w:val="superscript"/>
        </w:rPr>
        <w:t>th</w:t>
      </w:r>
      <w:r>
        <w:t xml:space="preserve"> dimension, using automatic dimensionality estimation. Resulting temporal components were averaged into years 1-3 and compared using a paired t-test. Spatial distribution maps localized the regions of greatest changing brain activity. FSL Cluster was used to extract “neuroplasticity clusters” from the lower limb IC3 map. </w:t>
      </w:r>
      <w:r w:rsidRPr="004C2D81">
        <w:t xml:space="preserve">(Refer to </w:t>
      </w:r>
      <w:r>
        <w:t>Part B</w:t>
      </w:r>
      <w:r w:rsidRPr="004C2D81">
        <w:t xml:space="preserve"> for activation changes over time for each of these regions).</w:t>
      </w:r>
      <w:r>
        <w:t xml:space="preserve"> All activation is thresholded for p&lt;0.05 (corrected).</w:t>
      </w:r>
    </w:p>
    <w:p w:rsidR="009B1BB8" w:rsidRDefault="009B1BB8" w:rsidP="009B1BB8">
      <w:r>
        <w:rPr>
          <w:noProof/>
          <w:lang w:val="en-US"/>
        </w:rPr>
        <w:lastRenderedPageBreak/>
        <w:drawing>
          <wp:anchor distT="0" distB="0" distL="114300" distR="114300" simplePos="0" relativeHeight="251659264" behindDoc="0" locked="0" layoutInCell="1" allowOverlap="1" wp14:anchorId="514DED2D" wp14:editId="3590B097">
            <wp:simplePos x="0" y="0"/>
            <wp:positionH relativeFrom="column">
              <wp:posOffset>-635</wp:posOffset>
            </wp:positionH>
            <wp:positionV relativeFrom="paragraph">
              <wp:posOffset>440055</wp:posOffset>
            </wp:positionV>
            <wp:extent cx="5733415" cy="6781165"/>
            <wp:effectExtent l="0" t="0" r="635" b="635"/>
            <wp:wrapTopAndBottom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pplementary Figure 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6781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9B1BB8" w:rsidRDefault="009B1BB8" w:rsidP="009B1BB8">
      <w:pPr>
        <w:spacing w:after="0"/>
      </w:pPr>
    </w:p>
    <w:p w:rsidR="009B1BB8" w:rsidRDefault="009B1BB8" w:rsidP="009B1BB8">
      <w:pPr>
        <w:spacing w:after="0"/>
      </w:pPr>
    </w:p>
    <w:p w:rsidR="009B1BB8" w:rsidRPr="004C2D81" w:rsidRDefault="009B1BB8" w:rsidP="009B1BB8">
      <w:pPr>
        <w:spacing w:after="0"/>
      </w:pPr>
      <w:r w:rsidRPr="004C2D81">
        <w:t xml:space="preserve">Supplemental Figure </w:t>
      </w:r>
      <w:r>
        <w:t xml:space="preserve">1 </w:t>
      </w:r>
      <w:r w:rsidRPr="004C2D81">
        <w:t>Part B: Activation changes over the three-year study duration for the five regions of largest overall fMRI change (</w:t>
      </w:r>
      <w:r>
        <w:t xml:space="preserve">shown in </w:t>
      </w:r>
      <w:r w:rsidRPr="004C2D81">
        <w:t>Supplemental Figure Part A)</w:t>
      </w:r>
    </w:p>
    <w:p w:rsidR="009B1BB8" w:rsidRDefault="009B1BB8" w:rsidP="009B1BB8">
      <w:pPr>
        <w:ind w:left="72"/>
        <w:rPr>
          <w:b/>
          <w:bCs/>
        </w:rPr>
      </w:pPr>
    </w:p>
    <w:p w:rsidR="00F04502" w:rsidRDefault="00F04502">
      <w:bookmarkStart w:id="0" w:name="_GoBack"/>
      <w:bookmarkEnd w:id="0"/>
    </w:p>
    <w:sectPr w:rsidR="00F04502" w:rsidSect="00AC1476">
      <w:headerReference w:type="default" r:id="rId7"/>
      <w:pgSz w:w="11909" w:h="16834"/>
      <w:pgMar w:top="1440" w:right="1440" w:bottom="1440" w:left="1440" w:header="360" w:footer="360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7F59" w:rsidRPr="00D42F3D" w:rsidRDefault="009B1BB8" w:rsidP="00D42F3D">
    <w:pPr>
      <w:jc w:val="center"/>
      <w:rPr>
        <w:b/>
        <w:bCs/>
      </w:rPr>
    </w:pPr>
    <w:bookmarkStart w:id="1" w:name="_hbno64yt7cj7" w:colFirst="0" w:colLast="0"/>
    <w:bookmarkEnd w:id="1"/>
    <w:r w:rsidRPr="00B43848">
      <w:rPr>
        <w:b/>
        <w:bCs/>
      </w:rPr>
      <w:t>Confidential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2551E2"/>
    <w:multiLevelType w:val="multilevel"/>
    <w:tmpl w:val="4F249214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183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BB8"/>
    <w:rsid w:val="009B1BB8"/>
    <w:rsid w:val="00F04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D1E81D-1A9B-477D-A41B-F2AFD2BB9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1BB8"/>
    <w:pPr>
      <w:spacing w:after="120" w:line="276" w:lineRule="auto"/>
    </w:pPr>
    <w:rPr>
      <w:rFonts w:ascii="Arial" w:eastAsia="Arial" w:hAnsi="Arial" w:cs="Arial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1BB8"/>
    <w:pPr>
      <w:keepNext/>
      <w:keepLines/>
      <w:numPr>
        <w:numId w:val="1"/>
      </w:numPr>
      <w:spacing w:before="400"/>
      <w:outlineLvl w:val="0"/>
    </w:pPr>
    <w:rPr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1BB8"/>
    <w:pPr>
      <w:keepNext/>
      <w:keepLines/>
      <w:numPr>
        <w:ilvl w:val="1"/>
        <w:numId w:val="1"/>
      </w:numPr>
      <w:spacing w:before="360"/>
      <w:ind w:left="576"/>
      <w:outlineLvl w:val="1"/>
    </w:pPr>
    <w:rPr>
      <w:b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1BB8"/>
    <w:pPr>
      <w:keepNext/>
      <w:keepLines/>
      <w:numPr>
        <w:ilvl w:val="2"/>
        <w:numId w:val="1"/>
      </w:numPr>
      <w:spacing w:before="320" w:after="80"/>
      <w:outlineLvl w:val="2"/>
    </w:pPr>
    <w:rPr>
      <w:b/>
      <w:i/>
      <w:color w:val="000000" w:themeColor="text1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1BB8"/>
    <w:pPr>
      <w:keepNext/>
      <w:keepLines/>
      <w:numPr>
        <w:ilvl w:val="3"/>
        <w:numId w:val="1"/>
      </w:numPr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1BB8"/>
    <w:pPr>
      <w:keepNext/>
      <w:keepLines/>
      <w:numPr>
        <w:ilvl w:val="4"/>
        <w:numId w:val="1"/>
      </w:numPr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1BB8"/>
    <w:pPr>
      <w:keepNext/>
      <w:keepLines/>
      <w:numPr>
        <w:ilvl w:val="5"/>
        <w:numId w:val="1"/>
      </w:numPr>
      <w:spacing w:before="240"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1BB8"/>
    <w:pPr>
      <w:keepNext/>
      <w:keepLines/>
      <w:numPr>
        <w:ilvl w:val="6"/>
        <w:numId w:val="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1BB8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1BB8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1BB8"/>
    <w:rPr>
      <w:rFonts w:ascii="Arial" w:eastAsia="Arial" w:hAnsi="Arial" w:cs="Arial"/>
      <w:b/>
      <w:sz w:val="28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9B1BB8"/>
    <w:rPr>
      <w:rFonts w:ascii="Arial" w:eastAsia="Arial" w:hAnsi="Arial" w:cs="Arial"/>
      <w:b/>
      <w:sz w:val="24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9B1BB8"/>
    <w:rPr>
      <w:rFonts w:ascii="Arial" w:eastAsia="Arial" w:hAnsi="Arial" w:cs="Arial"/>
      <w:b/>
      <w:i/>
      <w:color w:val="000000" w:themeColor="text1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1BB8"/>
    <w:rPr>
      <w:rFonts w:ascii="Arial" w:eastAsia="Arial" w:hAnsi="Arial" w:cs="Arial"/>
      <w:color w:val="666666"/>
      <w:sz w:val="24"/>
      <w:szCs w:val="24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1BB8"/>
    <w:rPr>
      <w:rFonts w:ascii="Arial" w:eastAsia="Arial" w:hAnsi="Arial" w:cs="Arial"/>
      <w:color w:val="666666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1BB8"/>
    <w:rPr>
      <w:rFonts w:ascii="Arial" w:eastAsia="Arial" w:hAnsi="Arial" w:cs="Arial"/>
      <w:i/>
      <w:color w:val="66666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1BB8"/>
    <w:rPr>
      <w:rFonts w:asciiTheme="majorHAnsi" w:eastAsiaTheme="majorEastAsia" w:hAnsiTheme="majorHAnsi" w:cstheme="majorBidi"/>
      <w:i/>
      <w:iCs/>
      <w:color w:val="1F4D78" w:themeColor="accent1" w:themeShade="7F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1BB8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1BB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9B1B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</Words>
  <Characters>773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Managed Support</dc:creator>
  <cp:keywords/>
  <dc:description/>
  <cp:lastModifiedBy>ACS Managed Support</cp:lastModifiedBy>
  <cp:revision>1</cp:revision>
  <dcterms:created xsi:type="dcterms:W3CDTF">2020-04-28T18:26:00Z</dcterms:created>
  <dcterms:modified xsi:type="dcterms:W3CDTF">2020-04-28T18:26:00Z</dcterms:modified>
</cp:coreProperties>
</file>