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699F" w:rsidRPr="00C5699F" w:rsidRDefault="00C5699F" w:rsidP="00C5699F">
      <w:pPr>
        <w:spacing w:after="200" w:line="480" w:lineRule="auto"/>
        <w:rPr>
          <w:rFonts w:ascii="Times New Roman" w:eastAsia="Calibri" w:hAnsi="Times New Roman" w:cs="Times New Roman"/>
          <w:b/>
          <w:color w:val="000000"/>
          <w:sz w:val="24"/>
          <w:szCs w:val="24"/>
          <w:lang w:val="en-US"/>
        </w:rPr>
      </w:pPr>
      <w:bookmarkStart w:id="0" w:name="_GoBack"/>
      <w:bookmarkEnd w:id="0"/>
      <w:r w:rsidRPr="00C5699F">
        <w:rPr>
          <w:rFonts w:ascii="Times New Roman" w:eastAsia="Calibri" w:hAnsi="Times New Roman" w:cs="Times New Roman"/>
          <w:b/>
          <w:color w:val="000000"/>
          <w:sz w:val="24"/>
          <w:szCs w:val="24"/>
          <w:lang w:val="en-US"/>
        </w:rPr>
        <w:t>UPTAKE, TRANSLOCATION AND METABOLIZATION OF TRAMADOL, AMITRIPTYLINE, ORPHENADRINE AND LIDOCAINE BY GARDEN CRESS, PEA AND WATER HYACINTH</w:t>
      </w:r>
    </w:p>
    <w:p w:rsidR="00C5699F" w:rsidRPr="00C5699F" w:rsidRDefault="00C5699F" w:rsidP="00C5699F">
      <w:pPr>
        <w:spacing w:after="200"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</w:p>
    <w:p w:rsidR="00C5699F" w:rsidRPr="00C5699F" w:rsidRDefault="00C5699F" w:rsidP="00C5699F">
      <w:pPr>
        <w:spacing w:after="200"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C5699F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Anna Detzlhofer</w:t>
      </w:r>
      <w:r w:rsidRPr="00C5699F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  <w:lang w:val="en-US"/>
        </w:rPr>
        <w:t>1</w:t>
      </w:r>
      <w:r w:rsidRPr="00C5699F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, Christian Grechhamer</w:t>
      </w:r>
      <w:r w:rsidRPr="00C5699F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  <w:lang w:val="en-US"/>
        </w:rPr>
        <w:t>1</w:t>
      </w:r>
      <w:r w:rsidRPr="00C5699F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, Lawrence Madikizela</w:t>
      </w:r>
      <w:r w:rsidRPr="00C5699F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  <w:lang w:val="en-US"/>
        </w:rPr>
        <w:t>2</w:t>
      </w:r>
      <w:r w:rsidRPr="00C5699F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, Markus Himmelsbach</w:t>
      </w:r>
      <w:r w:rsidRPr="00C5699F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  <w:lang w:val="en-US"/>
        </w:rPr>
        <w:t>1</w:t>
      </w:r>
      <w:r w:rsidRPr="00C5699F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, Franz Mlynek</w:t>
      </w:r>
      <w:r w:rsidRPr="00C5699F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  <w:lang w:val="en-US"/>
        </w:rPr>
        <w:t>1</w:t>
      </w:r>
      <w:r w:rsidRPr="00C5699F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, Wolfgang Buchberger</w:t>
      </w:r>
      <w:r w:rsidRPr="00C5699F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  <w:lang w:val="en-US"/>
        </w:rPr>
        <w:t>1</w:t>
      </w:r>
      <w:r w:rsidRPr="00C5699F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and Christian W. Klampfl</w:t>
      </w:r>
      <w:r w:rsidRPr="00C5699F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  <w:lang w:val="en-US"/>
        </w:rPr>
        <w:t>1</w:t>
      </w:r>
      <w:r w:rsidRPr="00C5699F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*</w:t>
      </w:r>
    </w:p>
    <w:p w:rsidR="00C5699F" w:rsidRPr="00C5699F" w:rsidRDefault="00C5699F" w:rsidP="00C5699F">
      <w:pPr>
        <w:spacing w:after="200"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</w:p>
    <w:p w:rsidR="00C5699F" w:rsidRPr="00C5699F" w:rsidRDefault="00C5699F" w:rsidP="00C5699F">
      <w:pPr>
        <w:spacing w:after="200"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C5699F">
        <w:rPr>
          <w:rFonts w:ascii="Times New Roman" w:eastAsia="Calibri" w:hAnsi="Times New Roman" w:cs="Times New Roman"/>
          <w:color w:val="000000"/>
          <w:sz w:val="24"/>
          <w:szCs w:val="24"/>
          <w:vertAlign w:val="superscript"/>
          <w:lang w:val="en-US"/>
        </w:rPr>
        <w:t xml:space="preserve">1 </w:t>
      </w:r>
      <w:r w:rsidRPr="00C5699F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Institute of Analytical and General Chemistry, Johannes Kepler University, </w:t>
      </w:r>
      <w:proofErr w:type="spellStart"/>
      <w:r w:rsidRPr="00C5699F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Altenberger</w:t>
      </w:r>
      <w:proofErr w:type="spellEnd"/>
      <w:r w:rsidRPr="00C5699F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 xml:space="preserve"> Strasse 69, 4040 Linz, Austria</w:t>
      </w:r>
    </w:p>
    <w:p w:rsidR="00C5699F" w:rsidRPr="00C5699F" w:rsidRDefault="00C5699F" w:rsidP="00C5699F">
      <w:pPr>
        <w:autoSpaceDE w:val="0"/>
        <w:autoSpaceDN w:val="0"/>
        <w:adjustRightInd w:val="0"/>
        <w:spacing w:after="0" w:line="480" w:lineRule="auto"/>
        <w:rPr>
          <w:rFonts w:ascii="Times New Roman" w:eastAsia="Calibri" w:hAnsi="Times New Roman" w:cs="Times New Roman"/>
          <w:color w:val="131413"/>
          <w:sz w:val="24"/>
          <w:szCs w:val="24"/>
          <w:lang w:val="en-US"/>
        </w:rPr>
      </w:pPr>
      <w:r w:rsidRPr="00C5699F">
        <w:rPr>
          <w:rFonts w:ascii="Times New Roman" w:eastAsia="Calibri" w:hAnsi="Times New Roman" w:cs="Times New Roman"/>
          <w:color w:val="131413"/>
          <w:sz w:val="24"/>
          <w:szCs w:val="24"/>
          <w:vertAlign w:val="superscript"/>
          <w:lang w:val="en-US"/>
        </w:rPr>
        <w:t xml:space="preserve">2 </w:t>
      </w:r>
      <w:r w:rsidRPr="00C5699F">
        <w:rPr>
          <w:rFonts w:ascii="Times New Roman" w:eastAsia="Calibri" w:hAnsi="Times New Roman" w:cs="Times New Roman"/>
          <w:color w:val="131413"/>
          <w:sz w:val="24"/>
          <w:szCs w:val="24"/>
          <w:lang w:val="en-US"/>
        </w:rPr>
        <w:t>Institute for Nanotechnology and Water Sustainability, College of Science, Engineering and Technology, University of South Africa, Florida Science Campus, 1710, South Africa</w:t>
      </w:r>
    </w:p>
    <w:p w:rsidR="00C5699F" w:rsidRPr="00C5699F" w:rsidRDefault="00C5699F" w:rsidP="00C5699F">
      <w:pPr>
        <w:autoSpaceDE w:val="0"/>
        <w:autoSpaceDN w:val="0"/>
        <w:adjustRightInd w:val="0"/>
        <w:spacing w:after="0" w:line="480" w:lineRule="auto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</w:p>
    <w:p w:rsidR="00343FCF" w:rsidRDefault="00C5699F" w:rsidP="00C5699F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5699F">
        <w:rPr>
          <w:rFonts w:ascii="Times New Roman" w:hAnsi="Times New Roman" w:cs="Times New Roman"/>
          <w:b/>
          <w:sz w:val="24"/>
          <w:szCs w:val="24"/>
          <w:lang w:val="en-US"/>
        </w:rPr>
        <w:t>SUPPLEMENTARY MATERIAL</w:t>
      </w:r>
    </w:p>
    <w:p w:rsidR="00C5699F" w:rsidRDefault="00C5699F" w:rsidP="00C5699F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5699F" w:rsidRDefault="00C5699F" w:rsidP="00C5699F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5699F" w:rsidRDefault="00C5699F" w:rsidP="00C5699F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5699F" w:rsidRDefault="00C5699F" w:rsidP="00C5699F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5699F" w:rsidRDefault="00C5699F" w:rsidP="00C5699F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5699F" w:rsidRDefault="00C5699F" w:rsidP="00C5699F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5699F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5699F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5699F" w:rsidRDefault="00C5699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C5699F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760720" cy="5523230"/>
            <wp:effectExtent l="0" t="0" r="0" b="127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_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52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699F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5699F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5699F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5699F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5699F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Figure S1: Structures of the investigated API´s</w:t>
      </w:r>
    </w:p>
    <w:p w:rsidR="00C5699F" w:rsidRDefault="00C5699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C5699F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5699F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5699F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8202956" cy="4295664"/>
            <wp:effectExtent l="0" t="8255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216472" cy="4302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99F" w:rsidRPr="001A4E40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A4E40">
        <w:rPr>
          <w:rFonts w:ascii="Times New Roman" w:hAnsi="Times New Roman" w:cs="Times New Roman"/>
          <w:sz w:val="24"/>
          <w:szCs w:val="24"/>
          <w:lang w:val="en-US"/>
        </w:rPr>
        <w:t>Table S1: Overview of the four extraction methods</w:t>
      </w:r>
    </w:p>
    <w:p w:rsidR="00C5699F" w:rsidRPr="007A5737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A5737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Table S2: Overview of the tested extraction agents. </w:t>
      </w:r>
    </w:p>
    <w:p w:rsidR="00C5699F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5699F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2"/>
        <w:gridCol w:w="315"/>
        <w:gridCol w:w="1497"/>
        <w:gridCol w:w="1812"/>
        <w:gridCol w:w="1813"/>
      </w:tblGrid>
      <w:tr w:rsidR="00C5699F" w:rsidTr="00EB55A6">
        <w:tc>
          <w:tcPr>
            <w:tcW w:w="2127" w:type="dxa"/>
            <w:gridSpan w:val="2"/>
          </w:tcPr>
          <w:p w:rsidR="00C5699F" w:rsidRPr="00DC3C67" w:rsidRDefault="00C5699F" w:rsidP="00EB55A6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C3C6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Solvent mixture</w:t>
            </w:r>
          </w:p>
        </w:tc>
        <w:tc>
          <w:tcPr>
            <w:tcW w:w="1497" w:type="dxa"/>
          </w:tcPr>
          <w:p w:rsidR="00C5699F" w:rsidRPr="00DC3C67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C3C6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Solvent 1</w:t>
            </w:r>
          </w:p>
        </w:tc>
        <w:tc>
          <w:tcPr>
            <w:tcW w:w="1812" w:type="dxa"/>
          </w:tcPr>
          <w:p w:rsidR="00C5699F" w:rsidRPr="00DC3C67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C3C6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Solvent 2</w:t>
            </w:r>
          </w:p>
        </w:tc>
        <w:tc>
          <w:tcPr>
            <w:tcW w:w="1813" w:type="dxa"/>
          </w:tcPr>
          <w:p w:rsidR="00C5699F" w:rsidRPr="00DC3C67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C3C6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Ratio</w:t>
            </w:r>
          </w:p>
        </w:tc>
      </w:tr>
      <w:tr w:rsidR="00C5699F" w:rsidTr="00EB55A6">
        <w:tc>
          <w:tcPr>
            <w:tcW w:w="1812" w:type="dxa"/>
          </w:tcPr>
          <w:p w:rsidR="00C5699F" w:rsidRPr="00DC3C67" w:rsidRDefault="00C5699F" w:rsidP="00EB55A6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C3C6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SM 1*</w:t>
            </w:r>
          </w:p>
        </w:tc>
        <w:tc>
          <w:tcPr>
            <w:tcW w:w="1812" w:type="dxa"/>
            <w:gridSpan w:val="2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812" w:type="dxa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MeOH </w:t>
            </w:r>
          </w:p>
        </w:tc>
        <w:tc>
          <w:tcPr>
            <w:tcW w:w="1813" w:type="dxa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</w:tr>
      <w:tr w:rsidR="00C5699F" w:rsidTr="00EB55A6">
        <w:tc>
          <w:tcPr>
            <w:tcW w:w="1812" w:type="dxa"/>
          </w:tcPr>
          <w:p w:rsidR="00C5699F" w:rsidRPr="00DC3C67" w:rsidRDefault="00C5699F" w:rsidP="00EB55A6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C3C6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SM2</w:t>
            </w:r>
          </w:p>
        </w:tc>
        <w:tc>
          <w:tcPr>
            <w:tcW w:w="1812" w:type="dxa"/>
            <w:gridSpan w:val="2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 M HCl</w:t>
            </w:r>
          </w:p>
        </w:tc>
        <w:tc>
          <w:tcPr>
            <w:tcW w:w="1812" w:type="dxa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MeOH</w:t>
            </w:r>
          </w:p>
        </w:tc>
        <w:tc>
          <w:tcPr>
            <w:tcW w:w="1813" w:type="dxa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80/20</w:t>
            </w:r>
          </w:p>
        </w:tc>
      </w:tr>
      <w:tr w:rsidR="00C5699F" w:rsidTr="00EB55A6">
        <w:tc>
          <w:tcPr>
            <w:tcW w:w="1812" w:type="dxa"/>
          </w:tcPr>
          <w:p w:rsidR="00C5699F" w:rsidRPr="00DC3C67" w:rsidRDefault="00C5699F" w:rsidP="00EB55A6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C3C6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SM3</w:t>
            </w:r>
          </w:p>
        </w:tc>
        <w:tc>
          <w:tcPr>
            <w:tcW w:w="1812" w:type="dxa"/>
            <w:gridSpan w:val="2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 M HCl</w:t>
            </w:r>
          </w:p>
        </w:tc>
        <w:tc>
          <w:tcPr>
            <w:tcW w:w="1812" w:type="dxa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MeOH</w:t>
            </w:r>
          </w:p>
        </w:tc>
        <w:tc>
          <w:tcPr>
            <w:tcW w:w="1813" w:type="dxa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50/50</w:t>
            </w:r>
          </w:p>
        </w:tc>
      </w:tr>
      <w:tr w:rsidR="00C5699F" w:rsidTr="00EB55A6">
        <w:tc>
          <w:tcPr>
            <w:tcW w:w="1812" w:type="dxa"/>
          </w:tcPr>
          <w:p w:rsidR="00C5699F" w:rsidRPr="00DC3C67" w:rsidRDefault="00C5699F" w:rsidP="00EB55A6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C3C6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SM4</w:t>
            </w:r>
          </w:p>
        </w:tc>
        <w:tc>
          <w:tcPr>
            <w:tcW w:w="1812" w:type="dxa"/>
            <w:gridSpan w:val="2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  <w:r w:rsidRPr="007A5737">
              <w:rPr>
                <w:rFonts w:ascii="Times New Roman" w:hAnsi="Times New Roman" w:cs="Times New Roman"/>
                <w:sz w:val="24"/>
                <w:szCs w:val="24"/>
                <w:vertAlign w:val="subscript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</w:t>
            </w:r>
          </w:p>
        </w:tc>
        <w:tc>
          <w:tcPr>
            <w:tcW w:w="1812" w:type="dxa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MeOH</w:t>
            </w:r>
          </w:p>
        </w:tc>
        <w:tc>
          <w:tcPr>
            <w:tcW w:w="1813" w:type="dxa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50/50</w:t>
            </w:r>
          </w:p>
        </w:tc>
      </w:tr>
      <w:tr w:rsidR="00C5699F" w:rsidTr="00EB55A6">
        <w:tc>
          <w:tcPr>
            <w:tcW w:w="1812" w:type="dxa"/>
          </w:tcPr>
          <w:p w:rsidR="00C5699F" w:rsidRPr="00DC3C67" w:rsidRDefault="00C5699F" w:rsidP="00EB55A6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C3C6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SM 5</w:t>
            </w:r>
          </w:p>
        </w:tc>
        <w:tc>
          <w:tcPr>
            <w:tcW w:w="1812" w:type="dxa"/>
            <w:gridSpan w:val="2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 M HCl</w:t>
            </w:r>
          </w:p>
        </w:tc>
        <w:tc>
          <w:tcPr>
            <w:tcW w:w="1812" w:type="dxa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ACN</w:t>
            </w:r>
          </w:p>
        </w:tc>
        <w:tc>
          <w:tcPr>
            <w:tcW w:w="1813" w:type="dxa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80/20</w:t>
            </w:r>
          </w:p>
        </w:tc>
      </w:tr>
      <w:tr w:rsidR="00C5699F" w:rsidTr="00EB55A6">
        <w:tc>
          <w:tcPr>
            <w:tcW w:w="1812" w:type="dxa"/>
          </w:tcPr>
          <w:p w:rsidR="00C5699F" w:rsidRPr="00DC3C67" w:rsidRDefault="00C5699F" w:rsidP="00EB55A6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DC3C67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SM 6*</w:t>
            </w:r>
          </w:p>
        </w:tc>
        <w:tc>
          <w:tcPr>
            <w:tcW w:w="1812" w:type="dxa"/>
            <w:gridSpan w:val="2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1812" w:type="dxa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ACN</w:t>
            </w:r>
          </w:p>
        </w:tc>
        <w:tc>
          <w:tcPr>
            <w:tcW w:w="1813" w:type="dxa"/>
          </w:tcPr>
          <w:p w:rsidR="00C5699F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C5699F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5699F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A5737">
        <w:rPr>
          <w:rFonts w:ascii="Times New Roman" w:hAnsi="Times New Roman" w:cs="Times New Roman"/>
          <w:sz w:val="24"/>
          <w:szCs w:val="24"/>
          <w:lang w:val="en-US"/>
        </w:rPr>
        <w:t xml:space="preserve">*sample diluted with equal amounts of </w:t>
      </w:r>
      <w:proofErr w:type="spellStart"/>
      <w:r w:rsidRPr="007A5737">
        <w:rPr>
          <w:rFonts w:ascii="Times New Roman" w:hAnsi="Times New Roman" w:cs="Times New Roman"/>
          <w:sz w:val="24"/>
          <w:szCs w:val="24"/>
          <w:lang w:val="en-US"/>
        </w:rPr>
        <w:t>MilliQ</w:t>
      </w:r>
      <w:proofErr w:type="spellEnd"/>
      <w:r w:rsidRPr="007A5737">
        <w:rPr>
          <w:rFonts w:ascii="Times New Roman" w:hAnsi="Times New Roman" w:cs="Times New Roman"/>
          <w:sz w:val="24"/>
          <w:szCs w:val="24"/>
          <w:lang w:val="en-US"/>
        </w:rPr>
        <w:t xml:space="preserve">® water before HPLC-MS analysis. </w:t>
      </w:r>
    </w:p>
    <w:p w:rsidR="00C5699F" w:rsidRDefault="00C5699F" w:rsidP="00C569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MeOH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methanol</w:t>
      </w:r>
    </w:p>
    <w:p w:rsidR="00C5699F" w:rsidRDefault="00C5699F" w:rsidP="00C5699F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ACN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ab/>
        <w:t>acetonitrile</w:t>
      </w:r>
    </w:p>
    <w:p w:rsidR="00C5699F" w:rsidRDefault="00C5699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C5699F" w:rsidRPr="001A4E40" w:rsidRDefault="00C5699F" w:rsidP="00C5699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A4E40">
        <w:rPr>
          <w:rFonts w:ascii="Times New Roman" w:hAnsi="Times New Roman" w:cs="Times New Roman"/>
          <w:sz w:val="24"/>
          <w:szCs w:val="24"/>
          <w:lang w:val="en-US"/>
        </w:rPr>
        <w:lastRenderedPageBreak/>
        <w:t>Table S</w:t>
      </w:r>
      <w:r>
        <w:rPr>
          <w:rFonts w:ascii="Times New Roman" w:hAnsi="Times New Roman" w:cs="Times New Roman"/>
          <w:sz w:val="24"/>
          <w:szCs w:val="24"/>
          <w:lang w:val="en-US"/>
        </w:rPr>
        <w:t>3</w:t>
      </w:r>
      <w:r w:rsidRPr="001A4E40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MRM transitions of the APIs</w:t>
      </w:r>
    </w:p>
    <w:p w:rsidR="00C5699F" w:rsidRDefault="00C5699F" w:rsidP="00C5699F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6"/>
        <w:gridCol w:w="2096"/>
        <w:gridCol w:w="1923"/>
        <w:gridCol w:w="2549"/>
        <w:gridCol w:w="916"/>
      </w:tblGrid>
      <w:tr w:rsidR="00C5699F" w:rsidRPr="00640F2E" w:rsidTr="00EB55A6">
        <w:trPr>
          <w:trHeight w:val="300"/>
        </w:trPr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Compound</w:t>
            </w:r>
            <w:proofErr w:type="spellEnd"/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Precursor</w:t>
            </w:r>
            <w:proofErr w:type="spellEnd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 xml:space="preserve"> Ion [m/z]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Product</w:t>
            </w:r>
            <w:proofErr w:type="spellEnd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 xml:space="preserve"> Ion [m/z]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 xml:space="preserve">Fragmentor </w:t>
            </w:r>
            <w:proofErr w:type="spellStart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Voltage</w:t>
            </w:r>
            <w:proofErr w:type="spellEnd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 xml:space="preserve"> [V]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CE [V]</w:t>
            </w:r>
          </w:p>
        </w:tc>
      </w:tr>
      <w:tr w:rsidR="00C5699F" w:rsidRPr="00640F2E" w:rsidTr="00EB55A6">
        <w:trPr>
          <w:trHeight w:val="300"/>
        </w:trPr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Amitriptyline</w:t>
            </w:r>
            <w:proofErr w:type="spellEnd"/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278.2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233.1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C5699F" w:rsidRPr="00640F2E" w:rsidTr="00EB55A6">
        <w:trPr>
          <w:trHeight w:val="300"/>
        </w:trPr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Amitriptyline</w:t>
            </w:r>
            <w:proofErr w:type="spellEnd"/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278.2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191.1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C5699F" w:rsidRPr="00640F2E" w:rsidTr="00EB55A6">
        <w:trPr>
          <w:trHeight w:val="300"/>
        </w:trPr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Atenolol</w:t>
            </w:r>
            <w:proofErr w:type="spellEnd"/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267.2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145.1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C5699F" w:rsidRPr="00640F2E" w:rsidTr="00EB55A6">
        <w:trPr>
          <w:trHeight w:val="300"/>
        </w:trPr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Atenolol</w:t>
            </w:r>
            <w:proofErr w:type="spellEnd"/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267.2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190.1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C5699F" w:rsidRPr="00640F2E" w:rsidTr="00EB55A6">
        <w:trPr>
          <w:trHeight w:val="300"/>
        </w:trPr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Citalopram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325.2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109.1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C5699F" w:rsidRPr="00640F2E" w:rsidTr="00EB55A6">
        <w:trPr>
          <w:trHeight w:val="300"/>
        </w:trPr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Citalopram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325.2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262.1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C5699F" w:rsidRPr="00640F2E" w:rsidTr="00EB55A6">
        <w:trPr>
          <w:trHeight w:val="300"/>
        </w:trPr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Lidocaine</w:t>
            </w:r>
            <w:proofErr w:type="spellEnd"/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235.2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86.1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C5699F" w:rsidRPr="00640F2E" w:rsidTr="00EB55A6">
        <w:trPr>
          <w:trHeight w:val="300"/>
        </w:trPr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Lidocaine</w:t>
            </w:r>
            <w:proofErr w:type="spellEnd"/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235.2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58.1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C5699F" w:rsidRPr="00640F2E" w:rsidTr="00EB55A6">
        <w:trPr>
          <w:trHeight w:val="300"/>
        </w:trPr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Orphenadrine</w:t>
            </w:r>
            <w:proofErr w:type="spellEnd"/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270.2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181.1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5699F" w:rsidRPr="00640F2E" w:rsidTr="00EB55A6">
        <w:trPr>
          <w:trHeight w:val="300"/>
        </w:trPr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Orphenadrine</w:t>
            </w:r>
            <w:proofErr w:type="spellEnd"/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270.2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166.1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C5699F" w:rsidRPr="00640F2E" w:rsidTr="00EB55A6">
        <w:trPr>
          <w:trHeight w:val="300"/>
        </w:trPr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Telmisartan</w:t>
            </w:r>
            <w:proofErr w:type="spellEnd"/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515.3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497.2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</w:tr>
      <w:tr w:rsidR="00C5699F" w:rsidRPr="00640F2E" w:rsidTr="00EB55A6">
        <w:trPr>
          <w:trHeight w:val="300"/>
        </w:trPr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Telmisartan</w:t>
            </w:r>
            <w:proofErr w:type="spellEnd"/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515.3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276.1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0" w:type="auto"/>
            <w:noWrap/>
            <w:hideMark/>
          </w:tcPr>
          <w:p w:rsidR="00C5699F" w:rsidRPr="00640F2E" w:rsidRDefault="00C5699F" w:rsidP="00EB55A6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F2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</w:tbl>
    <w:p w:rsidR="00C5699F" w:rsidRDefault="00C5699F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:rsidR="00C5699F" w:rsidRDefault="00C5699F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5699F" w:rsidRDefault="00C5699F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C5699F"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>
            <wp:extent cx="7785701" cy="4663207"/>
            <wp:effectExtent l="0" t="953" r="5398" b="5397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800552" cy="4672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699F" w:rsidRPr="00C5699F" w:rsidRDefault="00C5699F" w:rsidP="00C5699F">
      <w:pPr>
        <w:spacing w:after="12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B608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Table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S4</w:t>
      </w:r>
      <w:r w:rsidRPr="002B6088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: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>Metabolites of AMT detected in different plant parts of garden cress and pea exposed to a 1mg L</w:t>
      </w:r>
      <w:r w:rsidRPr="00A303E9">
        <w:rPr>
          <w:rFonts w:ascii="Times New Roman" w:eastAsia="Calibri" w:hAnsi="Times New Roman" w:cs="Times New Roman"/>
          <w:sz w:val="24"/>
          <w:szCs w:val="24"/>
          <w:vertAlign w:val="superscript"/>
          <w:lang w:val="en-US"/>
        </w:rPr>
        <w:t xml:space="preserve">-1 </w:t>
      </w:r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solution over a period of 16 days </w:t>
      </w:r>
    </w:p>
    <w:sectPr w:rsidR="00C5699F" w:rsidRPr="00C5699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99F"/>
    <w:rsid w:val="001249F4"/>
    <w:rsid w:val="00343FCF"/>
    <w:rsid w:val="00C56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721BDE-1D4E-4629-AE94-6901919ED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C569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232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AK102670</dc:creator>
  <cp:keywords/>
  <dc:description/>
  <cp:lastModifiedBy>AK102670</cp:lastModifiedBy>
  <cp:revision>2</cp:revision>
  <dcterms:created xsi:type="dcterms:W3CDTF">2023-01-11T10:22:00Z</dcterms:created>
  <dcterms:modified xsi:type="dcterms:W3CDTF">2023-01-11T10:22:00Z</dcterms:modified>
</cp:coreProperties>
</file>