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25C0D4B" w14:textId="77777777" w:rsidR="00105BAB" w:rsidRPr="00B67400" w:rsidRDefault="00725299" w:rsidP="00AC64D4">
      <w:pPr>
        <w:rPr>
          <w:b/>
          <w:szCs w:val="20"/>
          <w:lang w:val="en-GB"/>
        </w:rPr>
      </w:pPr>
      <w:r w:rsidRPr="00B67400">
        <w:rPr>
          <w:b/>
          <w:szCs w:val="20"/>
          <w:shd w:val="clear" w:color="auto" w:fill="FFFFFF"/>
          <w:lang w:val="en-GB"/>
        </w:rPr>
        <w:t xml:space="preserve">Supplementary </w:t>
      </w:r>
      <w:r w:rsidR="00676102" w:rsidRPr="00B67400">
        <w:rPr>
          <w:b/>
          <w:szCs w:val="20"/>
          <w:shd w:val="clear" w:color="auto" w:fill="FFFFFF"/>
          <w:lang w:val="en-GB"/>
        </w:rPr>
        <w:t xml:space="preserve">Table </w:t>
      </w:r>
      <w:r w:rsidRPr="00B67400">
        <w:rPr>
          <w:b/>
          <w:szCs w:val="20"/>
          <w:shd w:val="clear" w:color="auto" w:fill="FFFFFF"/>
          <w:lang w:val="en-GB"/>
        </w:rPr>
        <w:t>1</w:t>
      </w:r>
      <w:r w:rsidR="009A139B" w:rsidRPr="00B67400">
        <w:rPr>
          <w:b/>
          <w:szCs w:val="20"/>
          <w:shd w:val="clear" w:color="auto" w:fill="FFFFFF"/>
          <w:lang w:val="en-GB"/>
        </w:rPr>
        <w:t xml:space="preserve">: </w:t>
      </w:r>
      <w:r w:rsidR="00817A40" w:rsidRPr="00B67400">
        <w:rPr>
          <w:b/>
          <w:szCs w:val="20"/>
          <w:shd w:val="clear" w:color="auto" w:fill="FFFFFF"/>
          <w:lang w:val="en-GB"/>
        </w:rPr>
        <w:t>Specific recommendations’ given by publication, strength of recommendation and supporting evidence if reported.</w:t>
      </w:r>
    </w:p>
    <w:tbl>
      <w:tblPr>
        <w:tblW w:w="0" w:type="auto"/>
        <w:tblInd w:w="108" w:type="dxa"/>
        <w:tblLayout w:type="fixed"/>
        <w:tblLook w:val="04A0" w:firstRow="1" w:lastRow="0" w:firstColumn="1" w:lastColumn="0" w:noHBand="0" w:noVBand="1"/>
      </w:tblPr>
      <w:tblGrid>
        <w:gridCol w:w="1726"/>
        <w:gridCol w:w="2042"/>
        <w:gridCol w:w="6438"/>
        <w:gridCol w:w="3119"/>
        <w:gridCol w:w="1276"/>
        <w:gridCol w:w="907"/>
      </w:tblGrid>
      <w:tr w:rsidR="00817A40" w:rsidRPr="00817A40" w14:paraId="190F8259" w14:textId="77777777" w:rsidTr="00780344">
        <w:trPr>
          <w:trHeight w:val="1440"/>
          <w:tblHeader/>
        </w:trPr>
        <w:tc>
          <w:tcPr>
            <w:tcW w:w="1726" w:type="dxa"/>
            <w:tcBorders>
              <w:top w:val="nil"/>
              <w:left w:val="nil"/>
              <w:bottom w:val="single" w:sz="8" w:space="0" w:color="auto"/>
              <w:right w:val="nil"/>
            </w:tcBorders>
            <w:shd w:val="clear" w:color="auto" w:fill="auto"/>
            <w:vAlign w:val="bottom"/>
            <w:hideMark/>
          </w:tcPr>
          <w:p w14:paraId="3076D3E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Society</w:t>
            </w:r>
          </w:p>
        </w:tc>
        <w:tc>
          <w:tcPr>
            <w:tcW w:w="2042" w:type="dxa"/>
            <w:tcBorders>
              <w:top w:val="nil"/>
              <w:left w:val="nil"/>
              <w:bottom w:val="single" w:sz="8" w:space="0" w:color="auto"/>
              <w:right w:val="nil"/>
            </w:tcBorders>
            <w:shd w:val="clear" w:color="auto" w:fill="auto"/>
            <w:vAlign w:val="bottom"/>
            <w:hideMark/>
          </w:tcPr>
          <w:p w14:paraId="59AC471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Guideline Title</w:t>
            </w:r>
          </w:p>
        </w:tc>
        <w:tc>
          <w:tcPr>
            <w:tcW w:w="6438" w:type="dxa"/>
            <w:tcBorders>
              <w:top w:val="nil"/>
              <w:left w:val="nil"/>
              <w:bottom w:val="single" w:sz="8" w:space="0" w:color="auto"/>
              <w:right w:val="nil"/>
            </w:tcBorders>
            <w:shd w:val="clear" w:color="auto" w:fill="auto"/>
            <w:vAlign w:val="bottom"/>
            <w:hideMark/>
          </w:tcPr>
          <w:p w14:paraId="412F449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Specific Recommendations</w:t>
            </w:r>
          </w:p>
        </w:tc>
        <w:tc>
          <w:tcPr>
            <w:tcW w:w="3119" w:type="dxa"/>
            <w:tcBorders>
              <w:top w:val="nil"/>
              <w:left w:val="nil"/>
              <w:bottom w:val="single" w:sz="8" w:space="0" w:color="auto"/>
              <w:right w:val="nil"/>
            </w:tcBorders>
            <w:shd w:val="clear" w:color="auto" w:fill="auto"/>
            <w:vAlign w:val="bottom"/>
            <w:hideMark/>
          </w:tcPr>
          <w:p w14:paraId="4D66765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Strength of recommendation, if reported</w:t>
            </w:r>
          </w:p>
        </w:tc>
        <w:tc>
          <w:tcPr>
            <w:tcW w:w="1276" w:type="dxa"/>
            <w:tcBorders>
              <w:top w:val="nil"/>
              <w:left w:val="nil"/>
              <w:bottom w:val="single" w:sz="8" w:space="0" w:color="auto"/>
              <w:right w:val="nil"/>
            </w:tcBorders>
            <w:shd w:val="clear" w:color="auto" w:fill="auto"/>
            <w:vAlign w:val="bottom"/>
            <w:hideMark/>
          </w:tcPr>
          <w:p w14:paraId="6ED7F27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Citations </w:t>
            </w:r>
            <w:r w:rsidR="00FA5CBF" w:rsidRPr="00817A40">
              <w:rPr>
                <w:rFonts w:ascii="Calibri" w:eastAsia="Times New Roman" w:hAnsi="Calibri" w:cs="Calibri"/>
                <w:sz w:val="16"/>
                <w:szCs w:val="16"/>
                <w:lang w:val="en-GB" w:eastAsia="en-US"/>
              </w:rPr>
              <w:t>Supporting</w:t>
            </w:r>
            <w:r w:rsidRPr="00817A40">
              <w:rPr>
                <w:rFonts w:ascii="Calibri" w:eastAsia="Times New Roman" w:hAnsi="Calibri" w:cs="Calibri"/>
                <w:sz w:val="16"/>
                <w:szCs w:val="16"/>
                <w:lang w:val="en-GB" w:eastAsia="en-US"/>
              </w:rPr>
              <w:t xml:space="preserve"> recommendation, n </w:t>
            </w:r>
          </w:p>
        </w:tc>
        <w:tc>
          <w:tcPr>
            <w:tcW w:w="907" w:type="dxa"/>
            <w:tcBorders>
              <w:top w:val="nil"/>
              <w:left w:val="nil"/>
              <w:bottom w:val="single" w:sz="8" w:space="0" w:color="auto"/>
              <w:right w:val="nil"/>
            </w:tcBorders>
            <w:shd w:val="clear" w:color="auto" w:fill="auto"/>
            <w:vAlign w:val="bottom"/>
            <w:hideMark/>
          </w:tcPr>
          <w:p w14:paraId="6D7E159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Study Design</w:t>
            </w:r>
          </w:p>
        </w:tc>
      </w:tr>
      <w:tr w:rsidR="00817A40" w:rsidRPr="00817A40" w14:paraId="0E35B811" w14:textId="77777777" w:rsidTr="00780344">
        <w:trPr>
          <w:trHeight w:val="2080"/>
        </w:trPr>
        <w:tc>
          <w:tcPr>
            <w:tcW w:w="1726" w:type="dxa"/>
            <w:tcBorders>
              <w:top w:val="nil"/>
              <w:left w:val="nil"/>
              <w:bottom w:val="nil"/>
              <w:right w:val="nil"/>
            </w:tcBorders>
            <w:shd w:val="clear" w:color="auto" w:fill="auto"/>
            <w:vAlign w:val="center"/>
            <w:hideMark/>
          </w:tcPr>
          <w:p w14:paraId="03085C3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American Geriatrics Society</w:t>
            </w:r>
            <w:r w:rsidR="006742E7">
              <w:rPr>
                <w:rFonts w:ascii="Calibri" w:eastAsia="Times New Roman" w:hAnsi="Calibri" w:cs="Calibri"/>
                <w:sz w:val="16"/>
                <w:szCs w:val="16"/>
                <w:lang w:val="en-GB" w:eastAsia="en-US"/>
              </w:rPr>
              <w:t xml:space="preserve"> </w:t>
            </w:r>
            <w:r w:rsidR="006742E7">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{"citationItems":[{"id":"ITEM-1","itemData":{"author":[{"dropping-particle":"","family":"American Geriatrics Society","given":"","non-dropping-particle":"","parse-names":false,"suffix":""}],"id":"ITEM-1","issued":{"date-parts":[["2013"]]},"publisher":"American Geriatrics Society","title":"American Geriatrics Society Consensus Statement: Vitamin D for Prevention of Falls and their Consequences in Older Adults","type":"article"},"uris":["http://www.mendeley.com/documents/?uuid=f2fec309-e02e-456c-8c84-97cf2bf777bd"]}],"mendeley":{"formattedCitation":"&lt;sup&gt;4&lt;/sup&gt;","plainTextFormattedCitation":"4","previouslyFormattedCitation":"&lt;sup&gt;4&lt;/sup&gt;"},"properties":{"noteIndex":0},"schema":"https://github.com/citation-style-language/schema/raw/master/csl-citation.json"}</w:instrText>
            </w:r>
            <w:r w:rsidR="006742E7">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4</w:t>
            </w:r>
            <w:r w:rsidR="006742E7">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72C743B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Vitamin D for Prevention of Falls and their Consequences in Older Adults </w:t>
            </w:r>
          </w:p>
        </w:tc>
        <w:tc>
          <w:tcPr>
            <w:tcW w:w="6438" w:type="dxa"/>
            <w:tcBorders>
              <w:top w:val="nil"/>
              <w:left w:val="nil"/>
              <w:bottom w:val="nil"/>
              <w:right w:val="nil"/>
            </w:tcBorders>
            <w:shd w:val="clear" w:color="auto" w:fill="auto"/>
            <w:vAlign w:val="center"/>
            <w:hideMark/>
          </w:tcPr>
          <w:p w14:paraId="617D75C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STATEMENT 1a: Clinicians are strongly advised to recommend vitamin D supplementation of at least 1,000 IU/day as well as calcium supplementation to community-dwelling older adults (&gt;65 years) in order to reduce the risk of fractures and falls. </w:t>
            </w:r>
          </w:p>
        </w:tc>
        <w:tc>
          <w:tcPr>
            <w:tcW w:w="3119" w:type="dxa"/>
            <w:tcBorders>
              <w:top w:val="nil"/>
              <w:left w:val="nil"/>
              <w:bottom w:val="nil"/>
              <w:right w:val="nil"/>
            </w:tcBorders>
            <w:shd w:val="clear" w:color="auto" w:fill="auto"/>
            <w:vAlign w:val="center"/>
            <w:hideMark/>
          </w:tcPr>
          <w:p w14:paraId="251B7FC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(Strong recommendation for fractures based on high quality of evidence from RCTs and meta-analyses; strong recommendation for falls based on moderate evid</w:t>
            </w:r>
            <w:r w:rsidR="00FA5CBF">
              <w:rPr>
                <w:rFonts w:ascii="Calibri" w:eastAsia="Times New Roman" w:hAnsi="Calibri" w:cs="Calibri"/>
                <w:sz w:val="16"/>
                <w:szCs w:val="16"/>
                <w:lang w:val="en-GB" w:eastAsia="en-US"/>
              </w:rPr>
              <w:t>ence from RCTs and a preponder</w:t>
            </w:r>
            <w:r w:rsidRPr="00817A40">
              <w:rPr>
                <w:rFonts w:ascii="Calibri" w:eastAsia="Times New Roman" w:hAnsi="Calibri" w:cs="Calibri"/>
                <w:sz w:val="16"/>
                <w:szCs w:val="16"/>
                <w:lang w:val="en-GB" w:eastAsia="en-US"/>
              </w:rPr>
              <w:t xml:space="preserve">ance of bene t over harm) </w:t>
            </w:r>
          </w:p>
        </w:tc>
        <w:tc>
          <w:tcPr>
            <w:tcW w:w="1276" w:type="dxa"/>
            <w:tcBorders>
              <w:top w:val="nil"/>
              <w:left w:val="nil"/>
              <w:bottom w:val="nil"/>
              <w:right w:val="nil"/>
            </w:tcBorders>
            <w:shd w:val="clear" w:color="auto" w:fill="auto"/>
            <w:noWrap/>
            <w:vAlign w:val="center"/>
            <w:hideMark/>
          </w:tcPr>
          <w:p w14:paraId="2B00AE4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nil"/>
              <w:right w:val="nil"/>
            </w:tcBorders>
            <w:shd w:val="clear" w:color="auto" w:fill="auto"/>
            <w:noWrap/>
            <w:vAlign w:val="center"/>
            <w:hideMark/>
          </w:tcPr>
          <w:p w14:paraId="542AEF9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RCT, MA</w:t>
            </w:r>
          </w:p>
        </w:tc>
      </w:tr>
      <w:tr w:rsidR="00817A40" w:rsidRPr="00817A40" w14:paraId="18168B93" w14:textId="77777777" w:rsidTr="00780344">
        <w:trPr>
          <w:trHeight w:val="1780"/>
        </w:trPr>
        <w:tc>
          <w:tcPr>
            <w:tcW w:w="1726" w:type="dxa"/>
            <w:tcBorders>
              <w:top w:val="nil"/>
              <w:left w:val="nil"/>
              <w:bottom w:val="nil"/>
              <w:right w:val="nil"/>
            </w:tcBorders>
            <w:shd w:val="clear" w:color="auto" w:fill="auto"/>
            <w:noWrap/>
            <w:vAlign w:val="bottom"/>
            <w:hideMark/>
          </w:tcPr>
          <w:p w14:paraId="3DE3199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4C59EFFA"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31582B27" w14:textId="77777777" w:rsidR="00817A40" w:rsidRPr="00817A40" w:rsidRDefault="00FA5CBF" w:rsidP="00817A40">
            <w:pPr>
              <w:spacing w:line="240" w:lineRule="auto"/>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STATEMENT 1b: There are insuff</w:t>
            </w:r>
            <w:r w:rsidRPr="00817A40">
              <w:rPr>
                <w:rFonts w:ascii="Calibri" w:eastAsia="Times New Roman" w:hAnsi="Calibri" w:cs="Calibri"/>
                <w:sz w:val="16"/>
                <w:szCs w:val="16"/>
                <w:lang w:val="en-GB" w:eastAsia="en-US"/>
              </w:rPr>
              <w:t>icient</w:t>
            </w:r>
            <w:r w:rsidR="00817A40" w:rsidRPr="00817A40">
              <w:rPr>
                <w:rFonts w:ascii="Calibri" w:eastAsia="Times New Roman" w:hAnsi="Calibri" w:cs="Calibri"/>
                <w:sz w:val="16"/>
                <w:szCs w:val="16"/>
                <w:lang w:val="en-GB" w:eastAsia="en-US"/>
              </w:rPr>
              <w:t xml:space="preserve"> data at this time to support a recommendation for increased vitamin D supplementation without calcium for older persons residing in the community or in institutional settings. </w:t>
            </w:r>
          </w:p>
        </w:tc>
        <w:tc>
          <w:tcPr>
            <w:tcW w:w="3119" w:type="dxa"/>
            <w:tcBorders>
              <w:top w:val="nil"/>
              <w:left w:val="nil"/>
              <w:bottom w:val="nil"/>
              <w:right w:val="nil"/>
            </w:tcBorders>
            <w:shd w:val="clear" w:color="auto" w:fill="auto"/>
            <w:vAlign w:val="center"/>
            <w:hideMark/>
          </w:tcPr>
          <w:p w14:paraId="1E7C4F2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(No recommendation is made due to very low availability and quality of evidence.) </w:t>
            </w:r>
          </w:p>
        </w:tc>
        <w:tc>
          <w:tcPr>
            <w:tcW w:w="1276" w:type="dxa"/>
            <w:tcBorders>
              <w:top w:val="nil"/>
              <w:left w:val="nil"/>
              <w:bottom w:val="nil"/>
              <w:right w:val="nil"/>
            </w:tcBorders>
            <w:shd w:val="clear" w:color="auto" w:fill="auto"/>
            <w:noWrap/>
            <w:vAlign w:val="center"/>
            <w:hideMark/>
          </w:tcPr>
          <w:p w14:paraId="21F4AEA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nil"/>
              <w:right w:val="nil"/>
            </w:tcBorders>
            <w:shd w:val="clear" w:color="auto" w:fill="auto"/>
            <w:noWrap/>
            <w:vAlign w:val="center"/>
            <w:hideMark/>
          </w:tcPr>
          <w:p w14:paraId="42DC4A2D"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11B1B982" w14:textId="77777777" w:rsidTr="00780344">
        <w:trPr>
          <w:trHeight w:val="1600"/>
        </w:trPr>
        <w:tc>
          <w:tcPr>
            <w:tcW w:w="1726" w:type="dxa"/>
            <w:tcBorders>
              <w:top w:val="nil"/>
              <w:left w:val="nil"/>
              <w:bottom w:val="nil"/>
              <w:right w:val="nil"/>
            </w:tcBorders>
            <w:shd w:val="clear" w:color="auto" w:fill="auto"/>
            <w:noWrap/>
            <w:vAlign w:val="bottom"/>
            <w:hideMark/>
          </w:tcPr>
          <w:p w14:paraId="33F5371B"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614FE332"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50CBCD9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STATEMENT 2: Clinicians are strongly advised to recommend vitamin D supplementation of at least 1,000 IU/day with calcium to older adults residing in institutionalized settings in order to reduce the risk of fracture and falls. </w:t>
            </w:r>
          </w:p>
        </w:tc>
        <w:tc>
          <w:tcPr>
            <w:tcW w:w="3119" w:type="dxa"/>
            <w:tcBorders>
              <w:top w:val="nil"/>
              <w:left w:val="nil"/>
              <w:bottom w:val="nil"/>
              <w:right w:val="nil"/>
            </w:tcBorders>
            <w:shd w:val="clear" w:color="auto" w:fill="auto"/>
            <w:vAlign w:val="center"/>
            <w:hideMark/>
          </w:tcPr>
          <w:p w14:paraId="359A8D7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(Strong recommendation for this intervention, based on a high level of evidence from meta-analyses and RCTs, and a strong preponderance of bene t over harm)</w:t>
            </w:r>
          </w:p>
        </w:tc>
        <w:tc>
          <w:tcPr>
            <w:tcW w:w="1276" w:type="dxa"/>
            <w:tcBorders>
              <w:top w:val="nil"/>
              <w:left w:val="nil"/>
              <w:bottom w:val="nil"/>
              <w:right w:val="nil"/>
            </w:tcBorders>
            <w:shd w:val="clear" w:color="auto" w:fill="auto"/>
            <w:noWrap/>
            <w:vAlign w:val="center"/>
            <w:hideMark/>
          </w:tcPr>
          <w:p w14:paraId="0532F5B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5</w:t>
            </w:r>
          </w:p>
        </w:tc>
        <w:tc>
          <w:tcPr>
            <w:tcW w:w="907" w:type="dxa"/>
            <w:tcBorders>
              <w:top w:val="nil"/>
              <w:left w:val="nil"/>
              <w:bottom w:val="nil"/>
              <w:right w:val="nil"/>
            </w:tcBorders>
            <w:shd w:val="clear" w:color="auto" w:fill="auto"/>
            <w:noWrap/>
            <w:vAlign w:val="center"/>
            <w:hideMark/>
          </w:tcPr>
          <w:p w14:paraId="0F0A1AC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RCT, MA</w:t>
            </w:r>
          </w:p>
        </w:tc>
      </w:tr>
      <w:tr w:rsidR="00817A40" w:rsidRPr="00817A40" w14:paraId="009FD858" w14:textId="77777777" w:rsidTr="00780344">
        <w:trPr>
          <w:trHeight w:val="1540"/>
        </w:trPr>
        <w:tc>
          <w:tcPr>
            <w:tcW w:w="1726" w:type="dxa"/>
            <w:tcBorders>
              <w:top w:val="nil"/>
              <w:left w:val="nil"/>
              <w:bottom w:val="nil"/>
              <w:right w:val="nil"/>
            </w:tcBorders>
            <w:shd w:val="clear" w:color="auto" w:fill="auto"/>
            <w:noWrap/>
            <w:vAlign w:val="bottom"/>
            <w:hideMark/>
          </w:tcPr>
          <w:p w14:paraId="6A265DB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5CE5CC68"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76DFA1F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STATEMENT 3: Clinicians should review older patients’ vitamin D intake from all sources (diet, supplements, and sunlight) and discuss strategies to achieve a total vitamin D input associated with fall and fracture prevention. </w:t>
            </w:r>
          </w:p>
        </w:tc>
        <w:tc>
          <w:tcPr>
            <w:tcW w:w="3119" w:type="dxa"/>
            <w:tcBorders>
              <w:top w:val="nil"/>
              <w:left w:val="nil"/>
              <w:bottom w:val="nil"/>
              <w:right w:val="nil"/>
            </w:tcBorders>
            <w:shd w:val="clear" w:color="auto" w:fill="auto"/>
            <w:vAlign w:val="center"/>
            <w:hideMark/>
          </w:tcPr>
          <w:p w14:paraId="7C54BDE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(Strong recommendation for this intervention, based on a moderate level of evidence from national epidemiologic studies, metabolic and pharmacokinetic studies, meta-analyses, RCTs, small dosing studies, toxicity reports and reviews, and a strong preponderance of bene t over harm) </w:t>
            </w:r>
          </w:p>
        </w:tc>
        <w:tc>
          <w:tcPr>
            <w:tcW w:w="1276" w:type="dxa"/>
            <w:tcBorders>
              <w:top w:val="nil"/>
              <w:left w:val="nil"/>
              <w:bottom w:val="nil"/>
              <w:right w:val="nil"/>
            </w:tcBorders>
            <w:shd w:val="clear" w:color="auto" w:fill="auto"/>
            <w:noWrap/>
            <w:vAlign w:val="center"/>
            <w:hideMark/>
          </w:tcPr>
          <w:p w14:paraId="5A05D321"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13</w:t>
            </w:r>
          </w:p>
        </w:tc>
        <w:tc>
          <w:tcPr>
            <w:tcW w:w="907" w:type="dxa"/>
            <w:tcBorders>
              <w:top w:val="nil"/>
              <w:left w:val="nil"/>
              <w:bottom w:val="nil"/>
              <w:right w:val="nil"/>
            </w:tcBorders>
            <w:shd w:val="clear" w:color="auto" w:fill="auto"/>
            <w:noWrap/>
            <w:vAlign w:val="center"/>
            <w:hideMark/>
          </w:tcPr>
          <w:p w14:paraId="2C818A3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Other</w:t>
            </w:r>
          </w:p>
        </w:tc>
      </w:tr>
      <w:tr w:rsidR="00817A40" w:rsidRPr="00817A40" w14:paraId="2BA6881F" w14:textId="77777777" w:rsidTr="00780344">
        <w:trPr>
          <w:trHeight w:val="960"/>
        </w:trPr>
        <w:tc>
          <w:tcPr>
            <w:tcW w:w="1726" w:type="dxa"/>
            <w:tcBorders>
              <w:top w:val="nil"/>
              <w:left w:val="nil"/>
              <w:bottom w:val="nil"/>
              <w:right w:val="nil"/>
            </w:tcBorders>
            <w:shd w:val="clear" w:color="auto" w:fill="auto"/>
            <w:noWrap/>
            <w:vAlign w:val="bottom"/>
            <w:hideMark/>
          </w:tcPr>
          <w:p w14:paraId="0F3B473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7027D901"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43BCE06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STATEMENT 4a: Routine laboratory testing for 25(OH)D serum concentrations before supplementation begins is not necessary. </w:t>
            </w:r>
          </w:p>
        </w:tc>
        <w:tc>
          <w:tcPr>
            <w:tcW w:w="3119" w:type="dxa"/>
            <w:tcBorders>
              <w:top w:val="nil"/>
              <w:left w:val="nil"/>
              <w:bottom w:val="nil"/>
              <w:right w:val="nil"/>
            </w:tcBorders>
            <w:shd w:val="clear" w:color="auto" w:fill="auto"/>
            <w:vAlign w:val="center"/>
            <w:hideMark/>
          </w:tcPr>
          <w:p w14:paraId="3FF9BA57"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(Strong recommendation based on high quality of evidence from pharmacokinetic and metabolic studies) </w:t>
            </w:r>
          </w:p>
        </w:tc>
        <w:tc>
          <w:tcPr>
            <w:tcW w:w="1276" w:type="dxa"/>
            <w:tcBorders>
              <w:top w:val="nil"/>
              <w:left w:val="nil"/>
              <w:bottom w:val="nil"/>
              <w:right w:val="nil"/>
            </w:tcBorders>
            <w:shd w:val="clear" w:color="auto" w:fill="auto"/>
            <w:noWrap/>
            <w:vAlign w:val="center"/>
            <w:hideMark/>
          </w:tcPr>
          <w:p w14:paraId="6A6E7D2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0</w:t>
            </w:r>
          </w:p>
        </w:tc>
        <w:tc>
          <w:tcPr>
            <w:tcW w:w="907" w:type="dxa"/>
            <w:tcBorders>
              <w:top w:val="nil"/>
              <w:left w:val="nil"/>
              <w:bottom w:val="nil"/>
              <w:right w:val="nil"/>
            </w:tcBorders>
            <w:shd w:val="clear" w:color="auto" w:fill="auto"/>
            <w:noWrap/>
            <w:vAlign w:val="center"/>
            <w:hideMark/>
          </w:tcPr>
          <w:p w14:paraId="2BC47AC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Other</w:t>
            </w:r>
          </w:p>
        </w:tc>
      </w:tr>
      <w:tr w:rsidR="00817A40" w:rsidRPr="00817A40" w14:paraId="2C9EA24F" w14:textId="77777777" w:rsidTr="00780344">
        <w:trPr>
          <w:trHeight w:val="960"/>
        </w:trPr>
        <w:tc>
          <w:tcPr>
            <w:tcW w:w="1726" w:type="dxa"/>
            <w:tcBorders>
              <w:top w:val="nil"/>
              <w:left w:val="nil"/>
              <w:bottom w:val="single" w:sz="4" w:space="0" w:color="auto"/>
              <w:right w:val="nil"/>
            </w:tcBorders>
            <w:shd w:val="clear" w:color="auto" w:fill="auto"/>
            <w:noWrap/>
            <w:vAlign w:val="bottom"/>
            <w:hideMark/>
          </w:tcPr>
          <w:p w14:paraId="2EC0DBB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 </w:t>
            </w:r>
          </w:p>
        </w:tc>
        <w:tc>
          <w:tcPr>
            <w:tcW w:w="2042" w:type="dxa"/>
            <w:tcBorders>
              <w:top w:val="nil"/>
              <w:left w:val="nil"/>
              <w:bottom w:val="single" w:sz="4" w:space="0" w:color="auto"/>
              <w:right w:val="nil"/>
            </w:tcBorders>
            <w:shd w:val="clear" w:color="auto" w:fill="auto"/>
            <w:noWrap/>
            <w:vAlign w:val="bottom"/>
            <w:hideMark/>
          </w:tcPr>
          <w:p w14:paraId="37B9B5C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6A7F52E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STATEMENT 4b: It is not necessary for clinicians to routinely monitor 25(OH)D for safety or efficacy when supplementation is within the recommended limits.</w:t>
            </w:r>
          </w:p>
        </w:tc>
        <w:tc>
          <w:tcPr>
            <w:tcW w:w="3119" w:type="dxa"/>
            <w:tcBorders>
              <w:top w:val="nil"/>
              <w:left w:val="nil"/>
              <w:bottom w:val="single" w:sz="4" w:space="0" w:color="auto"/>
              <w:right w:val="nil"/>
            </w:tcBorders>
            <w:shd w:val="clear" w:color="auto" w:fill="auto"/>
            <w:vAlign w:val="center"/>
            <w:hideMark/>
          </w:tcPr>
          <w:p w14:paraId="319C704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(Strong recommendation based on high quality of evidence from pharmacokinetic and metabolic studies) </w:t>
            </w:r>
          </w:p>
        </w:tc>
        <w:tc>
          <w:tcPr>
            <w:tcW w:w="1276" w:type="dxa"/>
            <w:tcBorders>
              <w:top w:val="nil"/>
              <w:left w:val="nil"/>
              <w:bottom w:val="single" w:sz="4" w:space="0" w:color="auto"/>
              <w:right w:val="nil"/>
            </w:tcBorders>
            <w:shd w:val="clear" w:color="auto" w:fill="auto"/>
            <w:noWrap/>
            <w:vAlign w:val="center"/>
            <w:hideMark/>
          </w:tcPr>
          <w:p w14:paraId="598C90D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0</w:t>
            </w:r>
          </w:p>
        </w:tc>
        <w:tc>
          <w:tcPr>
            <w:tcW w:w="907" w:type="dxa"/>
            <w:tcBorders>
              <w:top w:val="nil"/>
              <w:left w:val="nil"/>
              <w:bottom w:val="single" w:sz="4" w:space="0" w:color="auto"/>
              <w:right w:val="nil"/>
            </w:tcBorders>
            <w:shd w:val="clear" w:color="auto" w:fill="auto"/>
            <w:noWrap/>
            <w:vAlign w:val="center"/>
            <w:hideMark/>
          </w:tcPr>
          <w:p w14:paraId="009D464D"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4585DC0B" w14:textId="77777777" w:rsidTr="00780344">
        <w:trPr>
          <w:trHeight w:val="1920"/>
        </w:trPr>
        <w:tc>
          <w:tcPr>
            <w:tcW w:w="1726" w:type="dxa"/>
            <w:tcBorders>
              <w:top w:val="nil"/>
              <w:left w:val="nil"/>
              <w:bottom w:val="nil"/>
              <w:right w:val="nil"/>
            </w:tcBorders>
            <w:shd w:val="clear" w:color="auto" w:fill="auto"/>
            <w:vAlign w:val="center"/>
            <w:hideMark/>
          </w:tcPr>
          <w:p w14:paraId="5CC57C3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Australia and New Zealand Bone and Mineral Society &amp; Osteoporosis Australia</w:t>
            </w:r>
            <w:r w:rsidR="00122A2E">
              <w:rPr>
                <w:rFonts w:ascii="Calibri" w:eastAsia="Times New Roman" w:hAnsi="Calibri" w:cs="Calibri"/>
                <w:sz w:val="16"/>
                <w:szCs w:val="16"/>
                <w:lang w:val="en-GB" w:eastAsia="en-US"/>
              </w:rPr>
              <w:t xml:space="preserve"> </w:t>
            </w:r>
          </w:p>
        </w:tc>
        <w:tc>
          <w:tcPr>
            <w:tcW w:w="2042" w:type="dxa"/>
            <w:tcBorders>
              <w:top w:val="nil"/>
              <w:left w:val="nil"/>
              <w:bottom w:val="nil"/>
              <w:right w:val="nil"/>
            </w:tcBorders>
            <w:shd w:val="clear" w:color="auto" w:fill="auto"/>
            <w:vAlign w:val="center"/>
            <w:hideMark/>
          </w:tcPr>
          <w:p w14:paraId="1F3BA60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Building healthy bones throughout life </w:t>
            </w:r>
            <w:r w:rsidR="00FA5CBF" w:rsidRPr="00817A40">
              <w:rPr>
                <w:rFonts w:ascii="Calibri" w:eastAsia="Times New Roman" w:hAnsi="Calibri" w:cs="Calibri"/>
                <w:sz w:val="16"/>
                <w:szCs w:val="16"/>
                <w:lang w:val="en-GB" w:eastAsia="en-US"/>
              </w:rPr>
              <w:t>an</w:t>
            </w:r>
            <w:r w:rsidRPr="00817A40">
              <w:rPr>
                <w:rFonts w:ascii="Calibri" w:eastAsia="Times New Roman" w:hAnsi="Calibri" w:cs="Calibri"/>
                <w:sz w:val="16"/>
                <w:szCs w:val="16"/>
                <w:lang w:val="en-GB" w:eastAsia="en-US"/>
              </w:rPr>
              <w:t xml:space="preserve"> evidence-informed strategy to prevent osteoporosis in Australia </w:t>
            </w:r>
          </w:p>
        </w:tc>
        <w:tc>
          <w:tcPr>
            <w:tcW w:w="6438" w:type="dxa"/>
            <w:tcBorders>
              <w:top w:val="nil"/>
              <w:left w:val="nil"/>
              <w:bottom w:val="nil"/>
              <w:right w:val="nil"/>
            </w:tcBorders>
            <w:shd w:val="clear" w:color="auto" w:fill="auto"/>
            <w:vAlign w:val="center"/>
            <w:hideMark/>
          </w:tcPr>
          <w:p w14:paraId="4E5C704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Ensure adequate vitamin D levels. Sun exposure is the primary source of vitamin</w:t>
            </w:r>
            <w:r w:rsidR="00FA5CBF">
              <w:rPr>
                <w:rFonts w:ascii="Calibri" w:eastAsia="Times New Roman" w:hAnsi="Calibri" w:cs="Calibri"/>
                <w:sz w:val="16"/>
                <w:szCs w:val="16"/>
                <w:lang w:val="en-GB" w:eastAsia="en-US"/>
              </w:rPr>
              <w:t xml:space="preserve"> D</w:t>
            </w:r>
            <w:r w:rsidRPr="00817A40">
              <w:rPr>
                <w:rFonts w:ascii="Calibri" w:eastAsia="Times New Roman" w:hAnsi="Calibri" w:cs="Calibri"/>
                <w:sz w:val="16"/>
                <w:szCs w:val="16"/>
                <w:lang w:val="en-GB" w:eastAsia="en-US"/>
              </w:rPr>
              <w:t xml:space="preserve"> </w:t>
            </w:r>
            <w:r w:rsidR="00FA5CBF" w:rsidRPr="00817A40">
              <w:rPr>
                <w:rFonts w:ascii="Calibri" w:eastAsia="Times New Roman" w:hAnsi="Calibri" w:cs="Calibri"/>
                <w:sz w:val="16"/>
                <w:szCs w:val="16"/>
                <w:lang w:val="en-GB" w:eastAsia="en-US"/>
              </w:rPr>
              <w:t>Encourage</w:t>
            </w:r>
            <w:r w:rsidRPr="00817A40">
              <w:rPr>
                <w:rFonts w:ascii="Calibri" w:eastAsia="Times New Roman" w:hAnsi="Calibri" w:cs="Calibri"/>
                <w:sz w:val="16"/>
                <w:szCs w:val="16"/>
                <w:lang w:val="en-GB" w:eastAsia="en-US"/>
              </w:rPr>
              <w:t xml:space="preserve"> regular and safe sunlight exposure (avoiding burning), in accordance with current Australian and New Zealand Bone and Mineral Society (ANZBMS) Endocrine Society of Australia (ESA) and Osteoporosis Australia (OA) recommendations. </w:t>
            </w:r>
          </w:p>
        </w:tc>
        <w:tc>
          <w:tcPr>
            <w:tcW w:w="3119" w:type="dxa"/>
            <w:tcBorders>
              <w:top w:val="nil"/>
              <w:left w:val="nil"/>
              <w:bottom w:val="nil"/>
              <w:right w:val="nil"/>
            </w:tcBorders>
            <w:shd w:val="clear" w:color="auto" w:fill="auto"/>
            <w:vAlign w:val="center"/>
            <w:hideMark/>
          </w:tcPr>
          <w:p w14:paraId="4B4CD7B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center"/>
            <w:hideMark/>
          </w:tcPr>
          <w:p w14:paraId="5DFC8BF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nil"/>
              <w:right w:val="nil"/>
            </w:tcBorders>
            <w:shd w:val="clear" w:color="auto" w:fill="auto"/>
            <w:noWrap/>
            <w:vAlign w:val="center"/>
            <w:hideMark/>
          </w:tcPr>
          <w:p w14:paraId="3C91EEE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Other</w:t>
            </w:r>
          </w:p>
        </w:tc>
      </w:tr>
      <w:tr w:rsidR="00817A40" w:rsidRPr="00817A40" w14:paraId="0DB2043A" w14:textId="77777777" w:rsidTr="00780344">
        <w:trPr>
          <w:trHeight w:val="960"/>
        </w:trPr>
        <w:tc>
          <w:tcPr>
            <w:tcW w:w="1726" w:type="dxa"/>
            <w:tcBorders>
              <w:top w:val="nil"/>
              <w:left w:val="nil"/>
              <w:bottom w:val="nil"/>
              <w:right w:val="nil"/>
            </w:tcBorders>
            <w:shd w:val="clear" w:color="auto" w:fill="auto"/>
            <w:noWrap/>
            <w:vAlign w:val="bottom"/>
            <w:hideMark/>
          </w:tcPr>
          <w:p w14:paraId="3B57759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2546719B"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1A80FBB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Current evidence does not support a case for food fortification with vitamin D. More evidence on whether there is widespread vitamin D deficiency is required before such a case can be supported. </w:t>
            </w:r>
          </w:p>
        </w:tc>
        <w:tc>
          <w:tcPr>
            <w:tcW w:w="3119" w:type="dxa"/>
            <w:tcBorders>
              <w:top w:val="nil"/>
              <w:left w:val="nil"/>
              <w:bottom w:val="nil"/>
              <w:right w:val="nil"/>
            </w:tcBorders>
            <w:shd w:val="clear" w:color="auto" w:fill="auto"/>
            <w:vAlign w:val="center"/>
            <w:hideMark/>
          </w:tcPr>
          <w:p w14:paraId="6144412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center"/>
            <w:hideMark/>
          </w:tcPr>
          <w:p w14:paraId="1283D06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0</w:t>
            </w:r>
          </w:p>
        </w:tc>
        <w:tc>
          <w:tcPr>
            <w:tcW w:w="907" w:type="dxa"/>
            <w:tcBorders>
              <w:top w:val="nil"/>
              <w:left w:val="nil"/>
              <w:bottom w:val="nil"/>
              <w:right w:val="nil"/>
            </w:tcBorders>
            <w:shd w:val="clear" w:color="auto" w:fill="auto"/>
            <w:noWrap/>
            <w:vAlign w:val="center"/>
            <w:hideMark/>
          </w:tcPr>
          <w:p w14:paraId="65DDEBF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1FD02C3D" w14:textId="77777777" w:rsidTr="00780344">
        <w:trPr>
          <w:trHeight w:val="1920"/>
        </w:trPr>
        <w:tc>
          <w:tcPr>
            <w:tcW w:w="1726" w:type="dxa"/>
            <w:tcBorders>
              <w:top w:val="nil"/>
              <w:left w:val="nil"/>
              <w:bottom w:val="nil"/>
              <w:right w:val="nil"/>
            </w:tcBorders>
            <w:shd w:val="clear" w:color="auto" w:fill="auto"/>
            <w:noWrap/>
            <w:vAlign w:val="bottom"/>
            <w:hideMark/>
          </w:tcPr>
          <w:p w14:paraId="0158DFF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4994D7BA"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6E24E1F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If sun exposure is limited or there are other risk factors for vitamin D deficiency (dark skin, clothing covering the skin, conditions affecting vitamin D metabolism, breastfed babies with other risk factors), it is important to measure the serum 25(OH)D level and take vitamin D supplements in doses that will maintain serum 25(OH)D levels over 50 nmol/L year round.</w:t>
            </w:r>
          </w:p>
        </w:tc>
        <w:tc>
          <w:tcPr>
            <w:tcW w:w="3119" w:type="dxa"/>
            <w:tcBorders>
              <w:top w:val="nil"/>
              <w:left w:val="nil"/>
              <w:bottom w:val="nil"/>
              <w:right w:val="nil"/>
            </w:tcBorders>
            <w:shd w:val="clear" w:color="auto" w:fill="auto"/>
            <w:vAlign w:val="center"/>
            <w:hideMark/>
          </w:tcPr>
          <w:p w14:paraId="17FDE5E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center"/>
            <w:hideMark/>
          </w:tcPr>
          <w:p w14:paraId="026882B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0</w:t>
            </w:r>
          </w:p>
        </w:tc>
        <w:tc>
          <w:tcPr>
            <w:tcW w:w="907" w:type="dxa"/>
            <w:tcBorders>
              <w:top w:val="nil"/>
              <w:left w:val="nil"/>
              <w:bottom w:val="nil"/>
              <w:right w:val="nil"/>
            </w:tcBorders>
            <w:shd w:val="clear" w:color="auto" w:fill="auto"/>
            <w:noWrap/>
            <w:vAlign w:val="center"/>
            <w:hideMark/>
          </w:tcPr>
          <w:p w14:paraId="7E6C679F"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10872150" w14:textId="77777777" w:rsidTr="00780344">
        <w:trPr>
          <w:trHeight w:val="2560"/>
        </w:trPr>
        <w:tc>
          <w:tcPr>
            <w:tcW w:w="1726" w:type="dxa"/>
            <w:tcBorders>
              <w:top w:val="nil"/>
              <w:left w:val="nil"/>
              <w:bottom w:val="single" w:sz="4" w:space="0" w:color="auto"/>
              <w:right w:val="nil"/>
            </w:tcBorders>
            <w:shd w:val="clear" w:color="auto" w:fill="auto"/>
            <w:noWrap/>
            <w:vAlign w:val="bottom"/>
            <w:hideMark/>
          </w:tcPr>
          <w:p w14:paraId="103DD2B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2ECA677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25EF182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Cuerpo)" w:eastAsia="Times New Roman" w:hAnsi="Calibri (Cuerpo)" w:cs="Calibri"/>
                <w:sz w:val="16"/>
                <w:szCs w:val="16"/>
                <w:lang w:val="en-GB" w:eastAsia="en-US"/>
              </w:rPr>
              <w:t>For people who do not get adequate exposure to sunlight, vitamin D supplements provide a means of increasing vitamin D intake. To treat moderate to severe deficiency, it would be reasonable to use 3000–5000 IU (75–125 mg) of vitamin D supplements per day for at least 6–12 weeks, with most patients requiring ongoing treatment at a maintenance dose of around 1000–2000 IU (25– 50 mg) per day. Higher doses of 2000–4000 IU (50– 100 mg) per day may be required in some individuals (eg, if obese).</w:t>
            </w:r>
            <w:r w:rsidRPr="00817A40">
              <w:rPr>
                <w:rFonts w:ascii="Times New Roman" w:eastAsia="Times New Roman" w:hAnsi="Times New Roman" w:cs="Times New Roman"/>
                <w:sz w:val="16"/>
                <w:szCs w:val="16"/>
                <w:lang w:val="en-GB" w:eastAsia="en-US"/>
              </w:rPr>
              <w:t xml:space="preserve"> </w:t>
            </w:r>
          </w:p>
        </w:tc>
        <w:tc>
          <w:tcPr>
            <w:tcW w:w="3119" w:type="dxa"/>
            <w:tcBorders>
              <w:top w:val="nil"/>
              <w:left w:val="nil"/>
              <w:bottom w:val="single" w:sz="4" w:space="0" w:color="auto"/>
              <w:right w:val="nil"/>
            </w:tcBorders>
            <w:shd w:val="clear" w:color="auto" w:fill="auto"/>
            <w:vAlign w:val="center"/>
            <w:hideMark/>
          </w:tcPr>
          <w:p w14:paraId="607EF35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center"/>
            <w:hideMark/>
          </w:tcPr>
          <w:p w14:paraId="014A935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0</w:t>
            </w:r>
          </w:p>
        </w:tc>
        <w:tc>
          <w:tcPr>
            <w:tcW w:w="907" w:type="dxa"/>
            <w:tcBorders>
              <w:top w:val="nil"/>
              <w:left w:val="nil"/>
              <w:bottom w:val="single" w:sz="4" w:space="0" w:color="auto"/>
              <w:right w:val="nil"/>
            </w:tcBorders>
            <w:shd w:val="clear" w:color="auto" w:fill="auto"/>
            <w:noWrap/>
            <w:vAlign w:val="center"/>
            <w:hideMark/>
          </w:tcPr>
          <w:p w14:paraId="2503740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0B8C57BB" w14:textId="77777777" w:rsidTr="00780344">
        <w:trPr>
          <w:trHeight w:val="1600"/>
        </w:trPr>
        <w:tc>
          <w:tcPr>
            <w:tcW w:w="1726" w:type="dxa"/>
            <w:tcBorders>
              <w:top w:val="nil"/>
              <w:left w:val="nil"/>
              <w:bottom w:val="nil"/>
              <w:right w:val="nil"/>
            </w:tcBorders>
            <w:shd w:val="clear" w:color="auto" w:fill="auto"/>
            <w:vAlign w:val="center"/>
            <w:hideMark/>
          </w:tcPr>
          <w:p w14:paraId="2B15C73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British Columbia Medical Association</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{"citationItems":[{"id":"ITEM-1","itemData":{"author":[{"dropping-particle":"","family":"Medical Services Commission","given":"","non-dropping-particle":"","parse-names":false,"suffix":""}],"container-title":"British Columbia Medical Services Commission","id":"ITEM-1","issued":{"date-parts":[["2011"]]},"page":"15","title":"Osteoporosis: diagnosis, treatment and fracture prevention.","type":"article-journal"},"uris":["http://www.mendeley.com/documents/?uuid=d53cb3b0-8784-460c-8e46-709a578b6f52"]}],"mendeley":{"formattedCitation":"&lt;sup&gt;5&lt;/sup&gt;","plainTextFormattedCitation":"5","previouslyFormattedCitation":"&lt;sup&gt;5&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5</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7D87DC8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Osteoporosis: diagnosis, treatment, and fracture prevention. </w:t>
            </w:r>
          </w:p>
        </w:tc>
        <w:tc>
          <w:tcPr>
            <w:tcW w:w="6438" w:type="dxa"/>
            <w:tcBorders>
              <w:top w:val="nil"/>
              <w:left w:val="nil"/>
              <w:bottom w:val="single" w:sz="4" w:space="0" w:color="auto"/>
              <w:right w:val="nil"/>
            </w:tcBorders>
            <w:shd w:val="clear" w:color="auto" w:fill="auto"/>
            <w:vAlign w:val="center"/>
            <w:hideMark/>
          </w:tcPr>
          <w:p w14:paraId="60235BC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Calcium: Recommend 1000-1200 mg elemental calcium per day including supplements, if necessary. See OP </w:t>
            </w:r>
            <w:r w:rsidRPr="00817A40">
              <w:rPr>
                <w:rFonts w:ascii="VerdanaItalic" w:eastAsia="Times New Roman" w:hAnsi="VerdanaItalic" w:cs="Calibri"/>
                <w:color w:val="333333"/>
                <w:sz w:val="16"/>
                <w:szCs w:val="16"/>
                <w:lang w:val="en-GB" w:eastAsia="en-US"/>
              </w:rPr>
              <w:t xml:space="preserve">Patient Guide </w:t>
            </w:r>
            <w:r w:rsidRPr="00817A40">
              <w:rPr>
                <w:rFonts w:ascii="VerdanaRegular" w:eastAsia="Times New Roman" w:hAnsi="VerdanaRegular" w:cs="Calibri"/>
                <w:color w:val="333333"/>
                <w:sz w:val="16"/>
                <w:szCs w:val="16"/>
                <w:lang w:val="en-GB" w:eastAsia="en-US"/>
              </w:rPr>
              <w:t xml:space="preserve">(see the "Patient Resources" field). Advise patients not to exceed recommended amounts, as evidence does not support higher doses of calcium supplementation. </w:t>
            </w:r>
          </w:p>
        </w:tc>
        <w:tc>
          <w:tcPr>
            <w:tcW w:w="3119" w:type="dxa"/>
            <w:tcBorders>
              <w:top w:val="nil"/>
              <w:left w:val="nil"/>
              <w:bottom w:val="nil"/>
              <w:right w:val="nil"/>
            </w:tcBorders>
            <w:shd w:val="clear" w:color="auto" w:fill="auto"/>
            <w:vAlign w:val="center"/>
            <w:hideMark/>
          </w:tcPr>
          <w:p w14:paraId="4784BCC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center"/>
            <w:hideMark/>
          </w:tcPr>
          <w:p w14:paraId="4A4B162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3</w:t>
            </w:r>
          </w:p>
        </w:tc>
        <w:tc>
          <w:tcPr>
            <w:tcW w:w="907" w:type="dxa"/>
            <w:tcBorders>
              <w:top w:val="nil"/>
              <w:left w:val="nil"/>
              <w:bottom w:val="nil"/>
              <w:right w:val="nil"/>
            </w:tcBorders>
            <w:shd w:val="clear" w:color="auto" w:fill="auto"/>
            <w:noWrap/>
            <w:vAlign w:val="bottom"/>
            <w:hideMark/>
          </w:tcPr>
          <w:p w14:paraId="3D9EAE2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r>
      <w:tr w:rsidR="00817A40" w:rsidRPr="00817A40" w14:paraId="784EF7EA" w14:textId="77777777" w:rsidTr="00780344">
        <w:trPr>
          <w:trHeight w:val="1280"/>
        </w:trPr>
        <w:tc>
          <w:tcPr>
            <w:tcW w:w="1726" w:type="dxa"/>
            <w:tcBorders>
              <w:top w:val="nil"/>
              <w:left w:val="nil"/>
              <w:bottom w:val="single" w:sz="4" w:space="0" w:color="auto"/>
              <w:right w:val="nil"/>
            </w:tcBorders>
            <w:shd w:val="clear" w:color="auto" w:fill="auto"/>
            <w:noWrap/>
            <w:vAlign w:val="bottom"/>
            <w:hideMark/>
          </w:tcPr>
          <w:p w14:paraId="220E459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188FEB6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644771F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Recommend 800-1000 IU per day of vitamin D</w:t>
            </w:r>
            <w:r w:rsidRPr="00817A40">
              <w:rPr>
                <w:rFonts w:ascii="VerdanaRegular" w:eastAsia="Times New Roman" w:hAnsi="VerdanaRegular" w:cs="Calibri"/>
                <w:color w:val="333333"/>
                <w:sz w:val="16"/>
                <w:szCs w:val="16"/>
                <w:lang w:val="en-GB" w:eastAsia="en-US"/>
              </w:rPr>
              <w:t xml:space="preserve">3, including supplements if necessary, to adults over the age of 50. Higher doses (i.e., 2000 IU per day) may be needed in some cases and are considered safe. </w:t>
            </w:r>
          </w:p>
        </w:tc>
        <w:tc>
          <w:tcPr>
            <w:tcW w:w="3119" w:type="dxa"/>
            <w:tcBorders>
              <w:top w:val="nil"/>
              <w:left w:val="nil"/>
              <w:bottom w:val="single" w:sz="4" w:space="0" w:color="auto"/>
              <w:right w:val="nil"/>
            </w:tcBorders>
            <w:shd w:val="clear" w:color="auto" w:fill="auto"/>
            <w:vAlign w:val="center"/>
            <w:hideMark/>
          </w:tcPr>
          <w:p w14:paraId="23EBE181"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center"/>
            <w:hideMark/>
          </w:tcPr>
          <w:p w14:paraId="2B36E45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single" w:sz="4" w:space="0" w:color="auto"/>
              <w:right w:val="nil"/>
            </w:tcBorders>
            <w:shd w:val="clear" w:color="auto" w:fill="auto"/>
            <w:noWrap/>
            <w:vAlign w:val="center"/>
            <w:hideMark/>
          </w:tcPr>
          <w:p w14:paraId="73E376B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Other</w:t>
            </w:r>
          </w:p>
        </w:tc>
      </w:tr>
      <w:tr w:rsidR="00817A40" w:rsidRPr="00817A40" w14:paraId="68F50809" w14:textId="77777777" w:rsidTr="00780344">
        <w:trPr>
          <w:trHeight w:val="960"/>
        </w:trPr>
        <w:tc>
          <w:tcPr>
            <w:tcW w:w="1726" w:type="dxa"/>
            <w:tcBorders>
              <w:top w:val="nil"/>
              <w:left w:val="nil"/>
              <w:bottom w:val="nil"/>
              <w:right w:val="nil"/>
            </w:tcBorders>
            <w:shd w:val="clear" w:color="auto" w:fill="auto"/>
            <w:vAlign w:val="center"/>
            <w:hideMark/>
          </w:tcPr>
          <w:p w14:paraId="0889C25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Bureau of Health Promotion Taiwan</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{"citationItems":[{"id":"ITEM-1","itemData":{"author":[{"dropping-particle":"","family":"Bureau of Health Promotion Taiwan","given":"","non-dropping-particle":"","parse-names":false,"suffix":""}],"id":"ITEM-1","issued":{"date-parts":[["0"]]},"publisher":"Agency for Healthcare Research and Quality (AHRQ)","publisher-place":"Rockville MD","title":"Taiwan osteoporosis practice guidelines.","type":"article"},"uris":["http://www.mendeley.com/documents/?uuid=ca604d66-4933-4c67-8788-08edc14d50a6"]}],"mendeley":{"formattedCitation":"&lt;sup&gt;6&lt;/sup&gt;","plainTextFormattedCitation":"6","previouslyFormattedCitation":"&lt;sup&gt;6&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6</w:t>
            </w:r>
            <w:r w:rsidR="00122A2E">
              <w:rPr>
                <w:rFonts w:ascii="Calibri" w:eastAsia="Times New Roman" w:hAnsi="Calibri" w:cs="Calibri"/>
                <w:sz w:val="16"/>
                <w:szCs w:val="16"/>
                <w:lang w:val="en-GB" w:eastAsia="en-US"/>
              </w:rPr>
              <w:fldChar w:fldCharType="end"/>
            </w:r>
            <w:r w:rsidR="00122A2E">
              <w:rPr>
                <w:rFonts w:ascii="Calibri" w:eastAsia="Times New Roman" w:hAnsi="Calibri" w:cs="Calibri"/>
                <w:sz w:val="16"/>
                <w:szCs w:val="16"/>
                <w:lang w:val="en-GB" w:eastAsia="en-US"/>
              </w:rPr>
              <w:t xml:space="preserve"> </w:t>
            </w:r>
          </w:p>
        </w:tc>
        <w:tc>
          <w:tcPr>
            <w:tcW w:w="2042" w:type="dxa"/>
            <w:tcBorders>
              <w:top w:val="nil"/>
              <w:left w:val="nil"/>
              <w:bottom w:val="nil"/>
              <w:right w:val="nil"/>
            </w:tcBorders>
            <w:shd w:val="clear" w:color="auto" w:fill="auto"/>
            <w:noWrap/>
            <w:vAlign w:val="center"/>
            <w:hideMark/>
          </w:tcPr>
          <w:p w14:paraId="27F0967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Taiwan Osteoporosis Practice Guidelines</w:t>
            </w:r>
          </w:p>
        </w:tc>
        <w:tc>
          <w:tcPr>
            <w:tcW w:w="6438" w:type="dxa"/>
            <w:tcBorders>
              <w:top w:val="nil"/>
              <w:left w:val="nil"/>
              <w:bottom w:val="nil"/>
              <w:right w:val="nil"/>
            </w:tcBorders>
            <w:shd w:val="clear" w:color="auto" w:fill="auto"/>
            <w:vAlign w:val="center"/>
            <w:hideMark/>
          </w:tcPr>
          <w:p w14:paraId="53C8079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supplement has a dose-reaction relationship on the reduction in the risk of non-spinal and hip fractures and the level of serum 25(OH)D (when the serum level Z= 75 nmol/L)</w:t>
            </w:r>
          </w:p>
        </w:tc>
        <w:tc>
          <w:tcPr>
            <w:tcW w:w="3119" w:type="dxa"/>
            <w:tcBorders>
              <w:top w:val="nil"/>
              <w:left w:val="nil"/>
              <w:bottom w:val="nil"/>
              <w:right w:val="nil"/>
            </w:tcBorders>
            <w:shd w:val="clear" w:color="auto" w:fill="auto"/>
            <w:vAlign w:val="center"/>
            <w:hideMark/>
          </w:tcPr>
          <w:p w14:paraId="3BD777C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B (Grade of recommendation)</w:t>
            </w:r>
          </w:p>
        </w:tc>
        <w:tc>
          <w:tcPr>
            <w:tcW w:w="1276" w:type="dxa"/>
            <w:tcBorders>
              <w:top w:val="nil"/>
              <w:left w:val="nil"/>
              <w:bottom w:val="nil"/>
              <w:right w:val="nil"/>
            </w:tcBorders>
            <w:shd w:val="clear" w:color="auto" w:fill="auto"/>
            <w:noWrap/>
            <w:vAlign w:val="center"/>
            <w:hideMark/>
          </w:tcPr>
          <w:p w14:paraId="541B0447"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2</w:t>
            </w:r>
          </w:p>
        </w:tc>
        <w:tc>
          <w:tcPr>
            <w:tcW w:w="907" w:type="dxa"/>
            <w:tcBorders>
              <w:top w:val="nil"/>
              <w:left w:val="nil"/>
              <w:bottom w:val="nil"/>
              <w:right w:val="nil"/>
            </w:tcBorders>
            <w:shd w:val="clear" w:color="auto" w:fill="auto"/>
            <w:noWrap/>
            <w:vAlign w:val="bottom"/>
            <w:hideMark/>
          </w:tcPr>
          <w:p w14:paraId="2B8002B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r>
      <w:tr w:rsidR="00817A40" w:rsidRPr="00817A40" w14:paraId="0F73F516" w14:textId="77777777" w:rsidTr="00780344">
        <w:trPr>
          <w:trHeight w:val="320"/>
        </w:trPr>
        <w:tc>
          <w:tcPr>
            <w:tcW w:w="1726" w:type="dxa"/>
            <w:tcBorders>
              <w:top w:val="nil"/>
              <w:left w:val="nil"/>
              <w:bottom w:val="nil"/>
              <w:right w:val="nil"/>
            </w:tcBorders>
            <w:shd w:val="clear" w:color="auto" w:fill="auto"/>
            <w:noWrap/>
            <w:vAlign w:val="bottom"/>
            <w:hideMark/>
          </w:tcPr>
          <w:p w14:paraId="1B422E25"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54F0F1FE"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3A80921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Can reduce risk of falls by improving muscle function</w:t>
            </w:r>
          </w:p>
        </w:tc>
        <w:tc>
          <w:tcPr>
            <w:tcW w:w="3119" w:type="dxa"/>
            <w:tcBorders>
              <w:top w:val="nil"/>
              <w:left w:val="nil"/>
              <w:bottom w:val="nil"/>
              <w:right w:val="nil"/>
            </w:tcBorders>
            <w:shd w:val="clear" w:color="auto" w:fill="auto"/>
            <w:vAlign w:val="center"/>
            <w:hideMark/>
          </w:tcPr>
          <w:p w14:paraId="717136A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B (Grade of recommendation)</w:t>
            </w:r>
          </w:p>
        </w:tc>
        <w:tc>
          <w:tcPr>
            <w:tcW w:w="1276" w:type="dxa"/>
            <w:tcBorders>
              <w:top w:val="nil"/>
              <w:left w:val="nil"/>
              <w:bottom w:val="nil"/>
              <w:right w:val="nil"/>
            </w:tcBorders>
            <w:shd w:val="clear" w:color="auto" w:fill="auto"/>
            <w:noWrap/>
            <w:vAlign w:val="center"/>
            <w:hideMark/>
          </w:tcPr>
          <w:p w14:paraId="1F4A644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2</w:t>
            </w:r>
          </w:p>
        </w:tc>
        <w:tc>
          <w:tcPr>
            <w:tcW w:w="907" w:type="dxa"/>
            <w:tcBorders>
              <w:top w:val="nil"/>
              <w:left w:val="nil"/>
              <w:bottom w:val="nil"/>
              <w:right w:val="nil"/>
            </w:tcBorders>
            <w:shd w:val="clear" w:color="auto" w:fill="auto"/>
            <w:noWrap/>
            <w:vAlign w:val="bottom"/>
            <w:hideMark/>
          </w:tcPr>
          <w:p w14:paraId="03F6003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r>
      <w:tr w:rsidR="00817A40" w:rsidRPr="00817A40" w14:paraId="12CE504C" w14:textId="77777777" w:rsidTr="00780344">
        <w:trPr>
          <w:trHeight w:val="960"/>
        </w:trPr>
        <w:tc>
          <w:tcPr>
            <w:tcW w:w="1726" w:type="dxa"/>
            <w:tcBorders>
              <w:top w:val="nil"/>
              <w:left w:val="nil"/>
              <w:bottom w:val="single" w:sz="4" w:space="0" w:color="auto"/>
              <w:right w:val="nil"/>
            </w:tcBorders>
            <w:shd w:val="clear" w:color="auto" w:fill="auto"/>
            <w:noWrap/>
            <w:vAlign w:val="bottom"/>
            <w:hideMark/>
          </w:tcPr>
          <w:p w14:paraId="6E8E070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59B1C1E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1367E9A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For individuals aged &gt;=65, the 25(OH)D level is suggested to be kept at &gt;= 75 nmol/L to effectively lower the risk of non-spinal fractures and falls.</w:t>
            </w:r>
          </w:p>
        </w:tc>
        <w:tc>
          <w:tcPr>
            <w:tcW w:w="3119" w:type="dxa"/>
            <w:tcBorders>
              <w:top w:val="nil"/>
              <w:left w:val="nil"/>
              <w:bottom w:val="single" w:sz="4" w:space="0" w:color="auto"/>
              <w:right w:val="nil"/>
            </w:tcBorders>
            <w:shd w:val="clear" w:color="auto" w:fill="auto"/>
            <w:vAlign w:val="center"/>
            <w:hideMark/>
          </w:tcPr>
          <w:p w14:paraId="147A4F8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B (Grade of recommendation)</w:t>
            </w:r>
          </w:p>
        </w:tc>
        <w:tc>
          <w:tcPr>
            <w:tcW w:w="1276" w:type="dxa"/>
            <w:tcBorders>
              <w:top w:val="nil"/>
              <w:left w:val="nil"/>
              <w:bottom w:val="single" w:sz="4" w:space="0" w:color="auto"/>
              <w:right w:val="nil"/>
            </w:tcBorders>
            <w:shd w:val="clear" w:color="auto" w:fill="auto"/>
            <w:noWrap/>
            <w:vAlign w:val="center"/>
            <w:hideMark/>
          </w:tcPr>
          <w:p w14:paraId="3349D4E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4</w:t>
            </w:r>
          </w:p>
        </w:tc>
        <w:tc>
          <w:tcPr>
            <w:tcW w:w="907" w:type="dxa"/>
            <w:tcBorders>
              <w:top w:val="nil"/>
              <w:left w:val="nil"/>
              <w:bottom w:val="single" w:sz="4" w:space="0" w:color="auto"/>
              <w:right w:val="nil"/>
            </w:tcBorders>
            <w:shd w:val="clear" w:color="auto" w:fill="auto"/>
            <w:noWrap/>
            <w:vAlign w:val="bottom"/>
            <w:hideMark/>
          </w:tcPr>
          <w:p w14:paraId="327A244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27B482CB" w14:textId="77777777" w:rsidTr="00780344">
        <w:trPr>
          <w:trHeight w:val="1920"/>
        </w:trPr>
        <w:tc>
          <w:tcPr>
            <w:tcW w:w="1726" w:type="dxa"/>
            <w:tcBorders>
              <w:top w:val="nil"/>
              <w:left w:val="nil"/>
              <w:bottom w:val="single" w:sz="4" w:space="0" w:color="auto"/>
              <w:right w:val="nil"/>
            </w:tcBorders>
            <w:shd w:val="clear" w:color="auto" w:fill="auto"/>
            <w:vAlign w:val="center"/>
            <w:hideMark/>
          </w:tcPr>
          <w:p w14:paraId="0FEB364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Health Council</w:t>
            </w:r>
            <w:r w:rsidR="00122A2E">
              <w:rPr>
                <w:rFonts w:ascii="Calibri" w:eastAsia="Times New Roman" w:hAnsi="Calibri" w:cs="Calibri"/>
                <w:sz w:val="16"/>
                <w:szCs w:val="16"/>
                <w:lang w:val="en-GB" w:eastAsia="en-US"/>
              </w:rPr>
              <w:t xml:space="preserve"> of the Netherlands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{"citationItems":[{"id":"ITEM-1","itemData":{"ISSN":"1476-5640","author":[{"dropping-particle":"","family":"Kromhout","given":"D","non-dropping-particle":"","parse-names":false,"suffix":""},{"dropping-particle":"","family":"Spaaij","given":"C J K","non-dropping-particle":"","parse-names":false,"suffix":""},{"dropping-particle":"","family":"Goede","given":"J","non-dropping-particle":"De","parse-names":false,"suffix":""},{"dropping-particle":"","family":"Weggemans","given":"R M","non-dropping-particle":"","parse-names":false,"suffix":""}],"container-title":"European journal of clinical nutrition","id":"ITEM-1","issue":"8","issued":{"date-parts":[["2016"]]},"page":"869","publisher":"Nature Publishing Group","title":"The 2015 Dutch food-based dietary guidelines","type":"article-journal","volume":"70"},"uris":["http://www.mendeley.com/documents/?uuid=fd80518e-bbad-469f-a440-1572b323f600"]}],"mendeley":{"formattedCitation":"&lt;sup&gt;7&lt;/sup&gt;","plainTextFormattedCitation":"7","previouslyFormattedCitation":"&lt;sup&gt;7&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7</w:t>
            </w:r>
            <w:r w:rsidR="00122A2E">
              <w:rPr>
                <w:rFonts w:ascii="Calibri" w:eastAsia="Times New Roman" w:hAnsi="Calibri" w:cs="Calibri"/>
                <w:sz w:val="16"/>
                <w:szCs w:val="16"/>
                <w:lang w:val="en-GB" w:eastAsia="en-US"/>
              </w:rPr>
              <w:fldChar w:fldCharType="end"/>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{"citationItems":[{"id":"ITEM-1","itemData":{"author":[{"dropping-particle":"","family":"Netherlands","given":"Health Council of the","non-dropping-particle":"","parse-names":false,"suffix":""}],"id":"ITEM-1","issued":{"date-parts":[["2012"]]},"publisher":"Health Council of the Netherlands The Hague","title":"Evaluation of dietary reference values for vitamin D","type":"article"},"uris":["http://www.mendeley.com/documents/?uuid=ab747c08-8f8d-4aa7-9dd6-d7f9e003ab59"]}],"mendeley":{"formattedCitation":"&lt;sup&gt;8&lt;/sup&gt;","plainTextFormattedCitation":"8","previouslyFormattedCitation":"&lt;sup&gt;8&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8</w:t>
            </w:r>
            <w:r w:rsidR="00122A2E">
              <w:rPr>
                <w:rFonts w:ascii="Calibri" w:eastAsia="Times New Roman" w:hAnsi="Calibri" w:cs="Calibri"/>
                <w:sz w:val="16"/>
                <w:szCs w:val="16"/>
                <w:lang w:val="en-GB" w:eastAsia="en-US"/>
              </w:rPr>
              <w:fldChar w:fldCharType="end"/>
            </w:r>
          </w:p>
        </w:tc>
        <w:tc>
          <w:tcPr>
            <w:tcW w:w="2042" w:type="dxa"/>
            <w:tcBorders>
              <w:top w:val="nil"/>
              <w:left w:val="nil"/>
              <w:bottom w:val="single" w:sz="4" w:space="0" w:color="auto"/>
              <w:right w:val="nil"/>
            </w:tcBorders>
            <w:shd w:val="clear" w:color="auto" w:fill="auto"/>
            <w:vAlign w:val="center"/>
            <w:hideMark/>
          </w:tcPr>
          <w:p w14:paraId="4D8ECE6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Dutch Dietary Guidelines 2015 / Evaluation of dietary reference values for vitamin D</w:t>
            </w:r>
          </w:p>
        </w:tc>
        <w:tc>
          <w:tcPr>
            <w:tcW w:w="6438" w:type="dxa"/>
            <w:tcBorders>
              <w:top w:val="nil"/>
              <w:left w:val="nil"/>
              <w:bottom w:val="single" w:sz="4" w:space="0" w:color="auto"/>
              <w:right w:val="nil"/>
            </w:tcBorders>
            <w:shd w:val="clear" w:color="auto" w:fill="auto"/>
            <w:vAlign w:val="center"/>
            <w:hideMark/>
          </w:tcPr>
          <w:p w14:paraId="7A9172F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Certain groups may, however, benefit from taking certain supplements. Some population groups require extra vitamin D, for example. The groups in question are young children, pregnant women, women over the age of fifty, men over the age of seventy, people with dark skin, people who habitually wear concealing clothing and people who rarely go outside. </w:t>
            </w:r>
          </w:p>
        </w:tc>
        <w:tc>
          <w:tcPr>
            <w:tcW w:w="3119" w:type="dxa"/>
            <w:tcBorders>
              <w:top w:val="nil"/>
              <w:left w:val="nil"/>
              <w:bottom w:val="single" w:sz="4" w:space="0" w:color="auto"/>
              <w:right w:val="nil"/>
            </w:tcBorders>
            <w:shd w:val="clear" w:color="auto" w:fill="auto"/>
            <w:vAlign w:val="center"/>
            <w:hideMark/>
          </w:tcPr>
          <w:p w14:paraId="38F3C831"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center"/>
            <w:hideMark/>
          </w:tcPr>
          <w:p w14:paraId="7B53D9A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single" w:sz="4" w:space="0" w:color="auto"/>
              <w:right w:val="nil"/>
            </w:tcBorders>
            <w:shd w:val="clear" w:color="auto" w:fill="auto"/>
            <w:noWrap/>
            <w:vAlign w:val="center"/>
            <w:hideMark/>
          </w:tcPr>
          <w:p w14:paraId="5AD13A4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Another Guideline</w:t>
            </w:r>
          </w:p>
        </w:tc>
      </w:tr>
      <w:tr w:rsidR="00817A40" w:rsidRPr="00817A40" w14:paraId="5E7453AC" w14:textId="77777777" w:rsidTr="00780344">
        <w:trPr>
          <w:trHeight w:val="1040"/>
        </w:trPr>
        <w:tc>
          <w:tcPr>
            <w:tcW w:w="1726" w:type="dxa"/>
            <w:tcBorders>
              <w:top w:val="nil"/>
              <w:left w:val="nil"/>
              <w:bottom w:val="nil"/>
              <w:right w:val="nil"/>
            </w:tcBorders>
            <w:shd w:val="clear" w:color="auto" w:fill="auto"/>
            <w:vAlign w:val="center"/>
            <w:hideMark/>
          </w:tcPr>
          <w:p w14:paraId="530A5B8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Endocrine Society</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{"citationItems":[{"id":"ITEM-1","itemData":{"ISSN":"0021-972X","author":[{"dropping-particle":"","family":"Holick","given":"Michael F","non-dropping-particle":"","parse-names":false,"suffix":""},{"dropping-particle":"","family":"Binkley","given":"Neil C","non-dropping-particle":"","parse-names":false,"suffix":""},{"dropping-particle":"","family":"Bischoff-Ferrari","given":"Heike A","non-dropping-particle":"","parse-names":false,"suffix":""},{"dropping-particle":"","family":"Gordon","given":"Catherine M","non-dropping-particle":"","parse-names":false,"suffix":""},{"dropping-particle":"","family":"Hanley","given":"David A","non-dropping-particle":"","parse-names":false,"suffix":""},{"dropping-particle":"","family":"Heaney","given":"Robert P","non-dropping-particle":"","parse-names":false,"suffix":""},{"dropping-particle":"","family":"Murad","given":"M Hassan","non-dropping-particle":"","parse-names":false,"suffix":""},{"dropping-particle":"","family":"Weaver","given":"Connie M","non-dropping-particle":"","parse-names":false,"suffix":""}],"container-title":"The Journal of Clinical Endocrinology &amp; Metabolism","id":"ITEM-1","issue":"7","issued":{"date-parts":[["2011"]]},"page":"1911-1930","publisher":"Endocrine Society Chevy Chase, MD","title":"Evaluation, treatment, and prevention of vitamin D deficiency: an Endocrine Society clinical practice guideline","type":"article-journal","volume":"96"},"uris":["http://www.mendeley.com/documents/?uuid=dc672286-c75d-46cc-83c7-4cf58c07ca8b"]}],"mendeley":{"formattedCitation":"&lt;sup&gt;9&lt;/sup&gt;","plainTextFormattedCitation":"9","previouslyFormattedCitation":"&lt;sup&gt;9&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9</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4F66CD5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Evaluation, Treatment, and Prevention of Vitamin D Deficiency: </w:t>
            </w:r>
            <w:r w:rsidR="00E85627" w:rsidRPr="00817A40">
              <w:rPr>
                <w:rFonts w:ascii="Calibri" w:eastAsia="Times New Roman" w:hAnsi="Calibri" w:cs="Calibri"/>
                <w:sz w:val="16"/>
                <w:szCs w:val="16"/>
                <w:lang w:val="en-GB" w:eastAsia="en-US"/>
              </w:rPr>
              <w:t>An</w:t>
            </w:r>
            <w:r w:rsidRPr="00817A40">
              <w:rPr>
                <w:rFonts w:ascii="Calibri" w:eastAsia="Times New Roman" w:hAnsi="Calibri" w:cs="Calibri"/>
                <w:sz w:val="16"/>
                <w:szCs w:val="16"/>
                <w:lang w:val="en-GB" w:eastAsia="en-US"/>
              </w:rPr>
              <w:t xml:space="preserve"> Endocrine Society Clinical Practice Guideline </w:t>
            </w:r>
          </w:p>
        </w:tc>
        <w:tc>
          <w:tcPr>
            <w:tcW w:w="6438" w:type="dxa"/>
            <w:tcBorders>
              <w:top w:val="nil"/>
              <w:left w:val="nil"/>
              <w:bottom w:val="nil"/>
              <w:right w:val="nil"/>
            </w:tcBorders>
            <w:shd w:val="clear" w:color="auto" w:fill="auto"/>
            <w:vAlign w:val="center"/>
            <w:hideMark/>
          </w:tcPr>
          <w:p w14:paraId="35E1823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do not recommend population screening for v</w:t>
            </w:r>
            <w:r w:rsidR="00FA5CBF">
              <w:rPr>
                <w:rFonts w:ascii="Calibri" w:eastAsia="Times New Roman" w:hAnsi="Calibri" w:cs="Calibri"/>
                <w:sz w:val="16"/>
                <w:szCs w:val="16"/>
                <w:lang w:val="en-GB" w:eastAsia="en-US"/>
              </w:rPr>
              <w:t>itamin D deficiency in individ</w:t>
            </w:r>
            <w:r w:rsidRPr="00817A40">
              <w:rPr>
                <w:rFonts w:ascii="Calibri" w:eastAsia="Times New Roman" w:hAnsi="Calibri" w:cs="Calibri"/>
                <w:sz w:val="16"/>
                <w:szCs w:val="16"/>
                <w:lang w:val="en-GB" w:eastAsia="en-US"/>
              </w:rPr>
              <w:t xml:space="preserve">uals who are not at risk </w:t>
            </w:r>
          </w:p>
        </w:tc>
        <w:tc>
          <w:tcPr>
            <w:tcW w:w="3119" w:type="dxa"/>
            <w:tcBorders>
              <w:top w:val="nil"/>
              <w:left w:val="nil"/>
              <w:bottom w:val="nil"/>
              <w:right w:val="nil"/>
            </w:tcBorders>
            <w:shd w:val="clear" w:color="auto" w:fill="auto"/>
            <w:noWrap/>
            <w:vAlign w:val="center"/>
            <w:hideMark/>
          </w:tcPr>
          <w:p w14:paraId="274E3800" w14:textId="77777777" w:rsidR="00817A40" w:rsidRPr="00817A40" w:rsidRDefault="00CF63C8" w:rsidP="00817A40">
            <w:pPr>
              <w:spacing w:line="240" w:lineRule="auto"/>
              <w:jc w:val="center"/>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(1|</w:t>
            </w:r>
            <w:r w:rsidRPr="00CF63C8">
              <w:rPr>
                <w:rFonts w:ascii="Cambria Math" w:hAnsi="Cambria Math" w:cs="Cambria Math"/>
                <w:sz w:val="16"/>
                <w:szCs w:val="16"/>
                <w:shd w:val="clear" w:color="auto" w:fill="FFFFFF"/>
              </w:rPr>
              <w:t>⊕⊕⊕⊕</w:t>
            </w:r>
            <w:r w:rsidR="00817A40" w:rsidRPr="00817A40">
              <w:rPr>
                <w:rFonts w:ascii="Calibri" w:eastAsia="Times New Roman" w:hAnsi="Calibri" w:cs="Calibri"/>
                <w:sz w:val="16"/>
                <w:szCs w:val="16"/>
                <w:lang w:val="en-GB" w:eastAsia="en-US"/>
              </w:rPr>
              <w:t xml:space="preserve">) </w:t>
            </w:r>
          </w:p>
        </w:tc>
        <w:tc>
          <w:tcPr>
            <w:tcW w:w="1276" w:type="dxa"/>
            <w:tcBorders>
              <w:top w:val="nil"/>
              <w:left w:val="nil"/>
              <w:bottom w:val="nil"/>
              <w:right w:val="nil"/>
            </w:tcBorders>
            <w:shd w:val="clear" w:color="auto" w:fill="auto"/>
            <w:noWrap/>
            <w:vAlign w:val="center"/>
            <w:hideMark/>
          </w:tcPr>
          <w:p w14:paraId="7EC729AB"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nil"/>
              <w:right w:val="nil"/>
            </w:tcBorders>
            <w:shd w:val="clear" w:color="auto" w:fill="auto"/>
            <w:noWrap/>
            <w:vAlign w:val="center"/>
            <w:hideMark/>
          </w:tcPr>
          <w:p w14:paraId="399684E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r>
      <w:tr w:rsidR="00817A40" w:rsidRPr="00817A40" w14:paraId="45EFEFC2" w14:textId="77777777" w:rsidTr="00780344">
        <w:trPr>
          <w:trHeight w:val="2880"/>
        </w:trPr>
        <w:tc>
          <w:tcPr>
            <w:tcW w:w="1726" w:type="dxa"/>
            <w:tcBorders>
              <w:top w:val="nil"/>
              <w:left w:val="nil"/>
              <w:bottom w:val="nil"/>
              <w:right w:val="nil"/>
            </w:tcBorders>
            <w:shd w:val="clear" w:color="auto" w:fill="auto"/>
            <w:noWrap/>
            <w:vAlign w:val="bottom"/>
            <w:hideMark/>
          </w:tcPr>
          <w:p w14:paraId="2FBAE692"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302C36E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2B42D07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suggest that infants and children aged 0 –1 yr re- quire at least 400 IU/d (IU 25 ng) of vitamin D and children 1 yr and older require at least 600 IU/d to maximize bone health. Whether 400 and 600 IU/d for children aged 0 –1 yr and 1–18 yr, respectively, ar</w:t>
            </w:r>
            <w:r w:rsidR="00FA5CBF">
              <w:rPr>
                <w:rFonts w:ascii="Calibri" w:eastAsia="Times New Roman" w:hAnsi="Calibri" w:cs="Calibri"/>
                <w:sz w:val="16"/>
                <w:szCs w:val="16"/>
                <w:lang w:val="en-GB" w:eastAsia="en-US"/>
              </w:rPr>
              <w:t>e enough to provide all the po</w:t>
            </w:r>
            <w:r w:rsidRPr="00817A40">
              <w:rPr>
                <w:rFonts w:ascii="Calibri" w:eastAsia="Times New Roman" w:hAnsi="Calibri" w:cs="Calibri"/>
                <w:sz w:val="16"/>
                <w:szCs w:val="16"/>
                <w:lang w:val="en-GB" w:eastAsia="en-US"/>
              </w:rPr>
              <w:t>tential nonskeletal health benefits associated with vitamin D to maximize bone health and muscle function is not known at this time. However, to raise the blood level of 25(OH)D consistently above 30 ng/ml (75 nmol/liter) may require at least 1000 IU/d of vitamin D.</w:t>
            </w:r>
          </w:p>
        </w:tc>
        <w:tc>
          <w:tcPr>
            <w:tcW w:w="3119" w:type="dxa"/>
            <w:tcBorders>
              <w:top w:val="nil"/>
              <w:left w:val="nil"/>
              <w:bottom w:val="nil"/>
              <w:right w:val="nil"/>
            </w:tcBorders>
            <w:shd w:val="clear" w:color="auto" w:fill="auto"/>
            <w:noWrap/>
            <w:vAlign w:val="center"/>
            <w:hideMark/>
          </w:tcPr>
          <w:p w14:paraId="3D439CC6" w14:textId="77777777" w:rsidR="00817A40" w:rsidRPr="00817A40" w:rsidRDefault="00CF63C8" w:rsidP="00817A40">
            <w:pPr>
              <w:spacing w:line="240" w:lineRule="auto"/>
              <w:jc w:val="center"/>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(2|</w:t>
            </w:r>
            <w:r w:rsidRPr="00CF63C8">
              <w:rPr>
                <w:rFonts w:ascii="Cambria Math" w:hAnsi="Cambria Math" w:cs="Cambria Math"/>
                <w:sz w:val="16"/>
                <w:szCs w:val="16"/>
                <w:shd w:val="clear" w:color="auto" w:fill="FFFFFF"/>
              </w:rPr>
              <w:t>⊕⊕⊕⊕</w:t>
            </w:r>
            <w:r w:rsidR="00817A40" w:rsidRPr="00817A40">
              <w:rPr>
                <w:rFonts w:ascii="Calibri" w:eastAsia="Times New Roman" w:hAnsi="Calibri" w:cs="Calibri"/>
                <w:sz w:val="16"/>
                <w:szCs w:val="16"/>
                <w:lang w:val="en-GB" w:eastAsia="en-US"/>
              </w:rPr>
              <w:t xml:space="preserve">). </w:t>
            </w:r>
          </w:p>
        </w:tc>
        <w:tc>
          <w:tcPr>
            <w:tcW w:w="1276" w:type="dxa"/>
            <w:tcBorders>
              <w:top w:val="nil"/>
              <w:left w:val="nil"/>
              <w:bottom w:val="nil"/>
              <w:right w:val="nil"/>
            </w:tcBorders>
            <w:shd w:val="clear" w:color="auto" w:fill="auto"/>
            <w:noWrap/>
            <w:vAlign w:val="center"/>
            <w:hideMark/>
          </w:tcPr>
          <w:p w14:paraId="65E23F5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3</w:t>
            </w:r>
          </w:p>
        </w:tc>
        <w:tc>
          <w:tcPr>
            <w:tcW w:w="907" w:type="dxa"/>
            <w:tcBorders>
              <w:top w:val="nil"/>
              <w:left w:val="nil"/>
              <w:bottom w:val="nil"/>
              <w:right w:val="nil"/>
            </w:tcBorders>
            <w:shd w:val="clear" w:color="auto" w:fill="auto"/>
            <w:noWrap/>
            <w:vAlign w:val="center"/>
            <w:hideMark/>
          </w:tcPr>
          <w:p w14:paraId="33A46CD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Another Guideline</w:t>
            </w:r>
          </w:p>
        </w:tc>
      </w:tr>
      <w:tr w:rsidR="00817A40" w:rsidRPr="00817A40" w14:paraId="69BC2BEA" w14:textId="77777777" w:rsidTr="00780344">
        <w:trPr>
          <w:trHeight w:val="2320"/>
        </w:trPr>
        <w:tc>
          <w:tcPr>
            <w:tcW w:w="1726" w:type="dxa"/>
            <w:tcBorders>
              <w:top w:val="nil"/>
              <w:left w:val="nil"/>
              <w:bottom w:val="nil"/>
              <w:right w:val="nil"/>
            </w:tcBorders>
            <w:shd w:val="clear" w:color="auto" w:fill="auto"/>
            <w:noWrap/>
            <w:vAlign w:val="bottom"/>
            <w:hideMark/>
          </w:tcPr>
          <w:p w14:paraId="20CDD127"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12DD7952"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5584027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suggest that adults aged 19–50 yr require at least 600 IU/d of vitamin D to maximize bone health and muscle function. It is unknown whether 600 IU/d is enough to provide all the potential nonskeletal health benefits associated with vitamin D. However, to raise the blood level of 25(OH)D consistently above 30 ng/ml may require at least 1500 –2000 IU/d of vitamin D (2|QQQQ)</w:t>
            </w:r>
          </w:p>
        </w:tc>
        <w:tc>
          <w:tcPr>
            <w:tcW w:w="3119" w:type="dxa"/>
            <w:tcBorders>
              <w:top w:val="nil"/>
              <w:left w:val="nil"/>
              <w:bottom w:val="nil"/>
              <w:right w:val="nil"/>
            </w:tcBorders>
            <w:shd w:val="clear" w:color="auto" w:fill="auto"/>
            <w:noWrap/>
            <w:vAlign w:val="center"/>
            <w:hideMark/>
          </w:tcPr>
          <w:p w14:paraId="445ED071" w14:textId="77777777" w:rsidR="00817A40" w:rsidRPr="00817A40" w:rsidRDefault="00CF63C8" w:rsidP="00817A40">
            <w:pPr>
              <w:spacing w:line="240" w:lineRule="auto"/>
              <w:jc w:val="center"/>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(2|</w:t>
            </w:r>
            <w:r w:rsidRPr="00CF63C8">
              <w:rPr>
                <w:rFonts w:ascii="Cambria Math" w:hAnsi="Cambria Math" w:cs="Cambria Math"/>
                <w:sz w:val="16"/>
                <w:szCs w:val="16"/>
                <w:shd w:val="clear" w:color="auto" w:fill="FFFFFF"/>
              </w:rPr>
              <w:t>⊕⊕⊕⊕</w:t>
            </w:r>
            <w:r w:rsidR="00817A40" w:rsidRPr="00817A40">
              <w:rPr>
                <w:rFonts w:ascii="Calibri" w:eastAsia="Times New Roman" w:hAnsi="Calibri" w:cs="Calibri"/>
                <w:sz w:val="16"/>
                <w:szCs w:val="16"/>
                <w:lang w:val="en-GB" w:eastAsia="en-US"/>
              </w:rPr>
              <w:t xml:space="preserve">). </w:t>
            </w:r>
          </w:p>
        </w:tc>
        <w:tc>
          <w:tcPr>
            <w:tcW w:w="1276" w:type="dxa"/>
            <w:tcBorders>
              <w:top w:val="nil"/>
              <w:left w:val="nil"/>
              <w:bottom w:val="nil"/>
              <w:right w:val="nil"/>
            </w:tcBorders>
            <w:shd w:val="clear" w:color="auto" w:fill="auto"/>
            <w:noWrap/>
            <w:vAlign w:val="center"/>
            <w:hideMark/>
          </w:tcPr>
          <w:p w14:paraId="046F50A7"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nil"/>
              <w:right w:val="nil"/>
            </w:tcBorders>
            <w:shd w:val="clear" w:color="auto" w:fill="auto"/>
            <w:noWrap/>
            <w:vAlign w:val="center"/>
            <w:hideMark/>
          </w:tcPr>
          <w:p w14:paraId="3D75C2B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Survey</w:t>
            </w:r>
          </w:p>
        </w:tc>
      </w:tr>
      <w:tr w:rsidR="00817A40" w:rsidRPr="00817A40" w14:paraId="543F1714" w14:textId="77777777" w:rsidTr="00780344">
        <w:trPr>
          <w:trHeight w:val="2240"/>
        </w:trPr>
        <w:tc>
          <w:tcPr>
            <w:tcW w:w="1726" w:type="dxa"/>
            <w:tcBorders>
              <w:top w:val="nil"/>
              <w:left w:val="nil"/>
              <w:bottom w:val="nil"/>
              <w:right w:val="nil"/>
            </w:tcBorders>
            <w:shd w:val="clear" w:color="auto" w:fill="auto"/>
            <w:noWrap/>
            <w:vAlign w:val="bottom"/>
            <w:hideMark/>
          </w:tcPr>
          <w:p w14:paraId="72EDA1BF"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21631240"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70BFF07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We suggest that all adults aged 50–70 and </w:t>
            </w:r>
            <w:r w:rsidR="00FA5CBF" w:rsidRPr="00817A40">
              <w:rPr>
                <w:rFonts w:ascii="Calibri" w:eastAsia="Times New Roman" w:hAnsi="Calibri" w:cs="Calibri"/>
                <w:sz w:val="16"/>
                <w:szCs w:val="16"/>
                <w:lang w:val="en-GB" w:eastAsia="en-US"/>
              </w:rPr>
              <w:t>70 yr</w:t>
            </w:r>
            <w:r w:rsidRPr="00817A40">
              <w:rPr>
                <w:rFonts w:ascii="Calibri" w:eastAsia="Times New Roman" w:hAnsi="Calibri" w:cs="Calibri"/>
                <w:sz w:val="16"/>
                <w:szCs w:val="16"/>
                <w:lang w:val="en-GB" w:eastAsia="en-US"/>
              </w:rPr>
              <w:t xml:space="preserve"> require at least 600 and 800 IU/d, respectively, of vitamin D. Whether 600 and 800 IU/d of vitamin D are enough to pro- vide all of the potential nonskeletal health benefits associated with vitamin D is not known at this time. However, to raise the blood level of 25(OH)D above 30 ng/ml may require at least 1500 –2000 IU/d of supplemental vitamin D</w:t>
            </w:r>
          </w:p>
        </w:tc>
        <w:tc>
          <w:tcPr>
            <w:tcW w:w="3119" w:type="dxa"/>
            <w:tcBorders>
              <w:top w:val="nil"/>
              <w:left w:val="nil"/>
              <w:bottom w:val="nil"/>
              <w:right w:val="nil"/>
            </w:tcBorders>
            <w:shd w:val="clear" w:color="auto" w:fill="auto"/>
            <w:noWrap/>
            <w:vAlign w:val="center"/>
            <w:hideMark/>
          </w:tcPr>
          <w:p w14:paraId="0E78456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(2|</w:t>
            </w:r>
            <w:r w:rsidR="00CF63C8" w:rsidRPr="00CF63C8">
              <w:rPr>
                <w:rFonts w:ascii="Cambria Math" w:hAnsi="Cambria Math" w:cs="Cambria Math"/>
                <w:sz w:val="16"/>
                <w:szCs w:val="16"/>
                <w:shd w:val="clear" w:color="auto" w:fill="FFFFFF"/>
              </w:rPr>
              <w:t>⊕⊕⊕⊕</w:t>
            </w:r>
            <w:r w:rsidRPr="00817A40">
              <w:rPr>
                <w:rFonts w:ascii="Calibri" w:eastAsia="Times New Roman" w:hAnsi="Calibri" w:cs="Calibri"/>
                <w:sz w:val="16"/>
                <w:szCs w:val="16"/>
                <w:lang w:val="en-GB" w:eastAsia="en-US"/>
              </w:rPr>
              <w:t xml:space="preserve">). </w:t>
            </w:r>
          </w:p>
        </w:tc>
        <w:tc>
          <w:tcPr>
            <w:tcW w:w="1276" w:type="dxa"/>
            <w:tcBorders>
              <w:top w:val="nil"/>
              <w:left w:val="nil"/>
              <w:bottom w:val="nil"/>
              <w:right w:val="nil"/>
            </w:tcBorders>
            <w:shd w:val="clear" w:color="auto" w:fill="auto"/>
            <w:noWrap/>
            <w:vAlign w:val="center"/>
            <w:hideMark/>
          </w:tcPr>
          <w:p w14:paraId="370AF07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3</w:t>
            </w:r>
          </w:p>
        </w:tc>
        <w:tc>
          <w:tcPr>
            <w:tcW w:w="907" w:type="dxa"/>
            <w:tcBorders>
              <w:top w:val="nil"/>
              <w:left w:val="nil"/>
              <w:bottom w:val="nil"/>
              <w:right w:val="nil"/>
            </w:tcBorders>
            <w:shd w:val="clear" w:color="auto" w:fill="auto"/>
            <w:noWrap/>
            <w:vAlign w:val="center"/>
            <w:hideMark/>
          </w:tcPr>
          <w:p w14:paraId="39B79E4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MA, SR</w:t>
            </w:r>
          </w:p>
        </w:tc>
      </w:tr>
      <w:tr w:rsidR="00817A40" w:rsidRPr="00817A40" w14:paraId="36893184" w14:textId="77777777" w:rsidTr="00780344">
        <w:trPr>
          <w:trHeight w:val="1280"/>
        </w:trPr>
        <w:tc>
          <w:tcPr>
            <w:tcW w:w="1726" w:type="dxa"/>
            <w:tcBorders>
              <w:top w:val="nil"/>
              <w:left w:val="nil"/>
              <w:bottom w:val="single" w:sz="4" w:space="0" w:color="auto"/>
              <w:right w:val="nil"/>
            </w:tcBorders>
            <w:shd w:val="clear" w:color="auto" w:fill="auto"/>
            <w:noWrap/>
            <w:vAlign w:val="bottom"/>
            <w:hideMark/>
          </w:tcPr>
          <w:p w14:paraId="1365309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 </w:t>
            </w:r>
          </w:p>
        </w:tc>
        <w:tc>
          <w:tcPr>
            <w:tcW w:w="2042" w:type="dxa"/>
            <w:tcBorders>
              <w:top w:val="nil"/>
              <w:left w:val="nil"/>
              <w:bottom w:val="single" w:sz="4" w:space="0" w:color="auto"/>
              <w:right w:val="nil"/>
            </w:tcBorders>
            <w:shd w:val="clear" w:color="auto" w:fill="auto"/>
            <w:noWrap/>
            <w:vAlign w:val="bottom"/>
            <w:hideMark/>
          </w:tcPr>
          <w:p w14:paraId="2C05A78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6FF9F43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We suggest that pregnant and lactating women re- quire at least 600 IU/d of vitamin D and recognize that at least 1500 –2000 IU/d of vitamin D may be needed to maintain a blood level of 25(OH)D above 30 ng/ml </w:t>
            </w:r>
          </w:p>
        </w:tc>
        <w:tc>
          <w:tcPr>
            <w:tcW w:w="3119" w:type="dxa"/>
            <w:tcBorders>
              <w:top w:val="nil"/>
              <w:left w:val="nil"/>
              <w:bottom w:val="single" w:sz="4" w:space="0" w:color="auto"/>
              <w:right w:val="nil"/>
            </w:tcBorders>
            <w:shd w:val="clear" w:color="auto" w:fill="auto"/>
            <w:noWrap/>
            <w:vAlign w:val="center"/>
            <w:hideMark/>
          </w:tcPr>
          <w:p w14:paraId="631A9E98" w14:textId="77777777" w:rsidR="00817A40" w:rsidRPr="00817A40" w:rsidRDefault="00817A40" w:rsidP="00CF63C8">
            <w:pPr>
              <w:spacing w:line="240" w:lineRule="auto"/>
              <w:rPr>
                <w:color w:val="auto"/>
                <w:sz w:val="24"/>
                <w:szCs w:val="24"/>
                <w:lang w:val="en-GB" w:eastAsia="en-US"/>
              </w:rPr>
            </w:pPr>
            <w:r w:rsidRPr="00817A40">
              <w:rPr>
                <w:rFonts w:ascii="Calibri" w:eastAsia="Times New Roman" w:hAnsi="Calibri" w:cs="Calibri"/>
                <w:sz w:val="16"/>
                <w:szCs w:val="16"/>
                <w:lang w:val="en-GB" w:eastAsia="en-US"/>
              </w:rPr>
              <w:t>(2|</w:t>
            </w:r>
            <w:r w:rsidR="00CF63C8" w:rsidRPr="00CF63C8">
              <w:rPr>
                <w:rFonts w:ascii="Cambria Math" w:hAnsi="Cambria Math" w:cs="Cambria Math"/>
                <w:sz w:val="16"/>
                <w:szCs w:val="16"/>
                <w:shd w:val="clear" w:color="auto" w:fill="FFFFFF"/>
              </w:rPr>
              <w:t>⊕⊕⊕</w:t>
            </w:r>
            <w:r w:rsidR="00605A66" w:rsidRPr="00CF63C8">
              <w:rPr>
                <w:rFonts w:ascii="Cambria Math" w:hAnsi="Cambria Math" w:cs="Cambria Math"/>
                <w:sz w:val="16"/>
                <w:szCs w:val="16"/>
                <w:shd w:val="clear" w:color="auto" w:fill="FFFFFF"/>
              </w:rPr>
              <w:t>⊝</w:t>
            </w:r>
            <w:r w:rsidR="00CF63C8">
              <w:rPr>
                <w:rFonts w:ascii="Cambria Math" w:hAnsi="Cambria Math" w:cs="Cambria Math"/>
                <w:sz w:val="16"/>
                <w:szCs w:val="16"/>
                <w:shd w:val="clear" w:color="auto" w:fill="FFFFFF"/>
              </w:rPr>
              <w:t>)</w:t>
            </w:r>
            <w:r w:rsidRPr="00817A40">
              <w:rPr>
                <w:rFonts w:ascii="Calibri" w:eastAsia="Times New Roman" w:hAnsi="Calibri" w:cs="Calibri"/>
                <w:sz w:val="16"/>
                <w:szCs w:val="16"/>
                <w:lang w:val="en-GB" w:eastAsia="en-US"/>
              </w:rPr>
              <w:t xml:space="preserve"> </w:t>
            </w:r>
          </w:p>
        </w:tc>
        <w:tc>
          <w:tcPr>
            <w:tcW w:w="1276" w:type="dxa"/>
            <w:tcBorders>
              <w:top w:val="nil"/>
              <w:left w:val="nil"/>
              <w:bottom w:val="single" w:sz="4" w:space="0" w:color="auto"/>
              <w:right w:val="nil"/>
            </w:tcBorders>
            <w:shd w:val="clear" w:color="auto" w:fill="auto"/>
            <w:noWrap/>
            <w:vAlign w:val="center"/>
            <w:hideMark/>
          </w:tcPr>
          <w:p w14:paraId="0F432B7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2</w:t>
            </w:r>
          </w:p>
        </w:tc>
        <w:tc>
          <w:tcPr>
            <w:tcW w:w="907" w:type="dxa"/>
            <w:tcBorders>
              <w:top w:val="nil"/>
              <w:left w:val="nil"/>
              <w:bottom w:val="single" w:sz="4" w:space="0" w:color="auto"/>
              <w:right w:val="nil"/>
            </w:tcBorders>
            <w:shd w:val="clear" w:color="auto" w:fill="auto"/>
            <w:noWrap/>
            <w:vAlign w:val="center"/>
            <w:hideMark/>
          </w:tcPr>
          <w:p w14:paraId="1EE79D4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Observational</w:t>
            </w:r>
          </w:p>
        </w:tc>
      </w:tr>
      <w:tr w:rsidR="00817A40" w:rsidRPr="00817A40" w14:paraId="7134DE0C" w14:textId="77777777" w:rsidTr="00780344">
        <w:trPr>
          <w:trHeight w:val="1600"/>
        </w:trPr>
        <w:tc>
          <w:tcPr>
            <w:tcW w:w="1726" w:type="dxa"/>
            <w:tcBorders>
              <w:top w:val="nil"/>
              <w:left w:val="nil"/>
              <w:bottom w:val="nil"/>
              <w:right w:val="nil"/>
            </w:tcBorders>
            <w:shd w:val="clear" w:color="auto" w:fill="auto"/>
            <w:vAlign w:val="center"/>
            <w:hideMark/>
          </w:tcPr>
          <w:p w14:paraId="483D597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European Society  for Clinical and Economic Aspects of Osteoporosis and Osteoarthritis</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{"citationItems":[{"id":"ITEM-1","itemData":{"DOI":"10.1185/03007995.2013.766162","ISSN":"1473-4877","PMID":"23320612","abstract":"BACKGROUND: Vitamin D insufficiency has deleterious consequences on health outcomes. In elderly or postmenopausal women, it may exacerbate osteoporosis.\n\nSCOPE: There is currently no clear consensus on definitions of vitamin D insufficiency or minimal targets for vitamin D concentrations and proposed targets vary with the population. In view of the potential confusion for practitioners on when to treat and what to achieve, the European Society for Clinical and Economic Aspects of Osteoporosis and Osteoarthritis (ESCEO) convened a meeting to provide recommendations for clinical practice, to ensure the optimal management of elderly and postmenopausal women with regard to vitamin D supplementation.\n\nFINDINGS: Vitamin D has both skeletal and extra-skeletal benefits. Patients with serum 25-hydroxyvitamin D (25-(OH)D) levels &lt;50 nmol/L have increased bone turnover, bone loss, and possibly mineralization defects compared with patients with levels &gt;50 nmol/L. Similar relationships have been reported for frailty, nonvertebral and hip fracture, and all-cause mortality, with poorer outcomes at &lt;50 nmol/L.\n\nCONCLUSION: The ESCEO recommends that 50 nmol/L (i.e. 20 ng/mL) should be the minimal serum 25-(OH)D concentration at the population level and in patients with osteoporosis to ensure optimal bone health. Below this threshold, supplementation is recommended at 800 to 1000 IU/day. Vitamin D supplementation is safe up to 10,000 IU/day (upper limit of safety) resulting in an upper limit of adequacy of 125 nmol/L 25-(OH)D. Daily consumption of calcium- and vitamin-D-fortified food products (e.g. yoghurt or milk) can help improve vitamin D intake. Above the threshold of 50 nmol/L, there is no clear evidence for additional benefits of supplementation. On the other hand, in fragile elderly subjects who are at elevated risk for falls and fracture, the ESCEO recommends a minimal serum 25-(OH)D level of 75 nmol/L (i.e. 30 ng/mL), for the greatest impact on fracture.","author":[{"dropping-particle":"","family":"Rizzoli","given":"R","non-dropping-particle":"","parse-names":false,"suffix":""},{"dropping-particle":"","family":"Boonen","given":"S","non-dropping-particle":"","parse-names":false,"suffix":""},{"dropping-particle":"","family":"Brandi","given":"M-L","non-dropping-particle":"","parse-names":false,"suffix":""},{"dropping-particle":"","family":"Bruyère","given":"O","non-dropping-particle":"","parse-names":false,"suffix":""},{"dropping-particle":"","family":"Cooper","given":"C","non-dropping-particle":"","parse-names":false,"suffix":""},{"dropping-particle":"","family":"Kanis","given":"J A","non-dropping-particle":"","parse-names":false,"suffix":""},{"dropping-particle":"","family":"Kaufman","given":"J-M","non-dropping-particle":"","parse-names":false,"suffix":""},{"dropping-particle":"","family":"Ringe","given":"J D","non-dropping-particle":"","parse-names":false,"suffix":""},{"dropping-particle":"","family":"Weryha","given":"G","non-dropping-particle":"","parse-names":false,"suffix":""},{"dropping-particle":"","family":"Reginster","given":"J-Y","non-dropping-particle":"","parse-names":false,"suffix":""}],"container-title":"Current medical research and opinion","id":"ITEM-1","issue":"4","issued":{"date-parts":[["2013","4","15"]]},"language":"en","page":"305-13","publisher":"Taylor &amp; Francis","title":"Vitamin D supplementation in elderly or postmenopausal women: a 2013 update of the 2008 recommendations from the European Society for Clinical and Economic Aspects of Osteoporosis and Osteoarthritis (ESCEO).","type":"article-journal","volume":"29"},"uris":["http://www.mendeley.com/documents/?uuid=0842261d-782e-44f2-986f-98f0f887ab5c"]}],"mendeley":{"formattedCitation":"&lt;sup&gt;10&lt;/sup&gt;","plainTextFormattedCitation":"10","previouslyFormattedCitation":"&lt;sup&gt;10&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10</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749CF84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Vitamin D supplementation in elderly or postmenopausal women: a 2013 update of the 2008 recommendations from the European Society for Clinical and Economic Aspects of Osteoporosis and Osteoarthritis (ESCEO) </w:t>
            </w:r>
          </w:p>
        </w:tc>
        <w:tc>
          <w:tcPr>
            <w:tcW w:w="6438" w:type="dxa"/>
            <w:tcBorders>
              <w:top w:val="nil"/>
              <w:left w:val="nil"/>
              <w:bottom w:val="nil"/>
              <w:right w:val="nil"/>
            </w:tcBorders>
            <w:shd w:val="clear" w:color="auto" w:fill="auto"/>
            <w:vAlign w:val="center"/>
            <w:hideMark/>
          </w:tcPr>
          <w:p w14:paraId="44ED866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ESCEO recommends that 50 nmol/L (i.e. 20 ng/mL) should be the minimal serum 25-(OH)D concentration at the population level and in patients with osteoporosis to ensure optimal bone health. Below this threshold, supplementation is recommended at 800 to 1000 IU/day.</w:t>
            </w:r>
          </w:p>
        </w:tc>
        <w:tc>
          <w:tcPr>
            <w:tcW w:w="3119" w:type="dxa"/>
            <w:tcBorders>
              <w:top w:val="nil"/>
              <w:left w:val="nil"/>
              <w:bottom w:val="nil"/>
              <w:right w:val="nil"/>
            </w:tcBorders>
            <w:shd w:val="clear" w:color="auto" w:fill="auto"/>
            <w:noWrap/>
            <w:vAlign w:val="center"/>
            <w:hideMark/>
          </w:tcPr>
          <w:p w14:paraId="674AB3C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bottom"/>
            <w:hideMark/>
          </w:tcPr>
          <w:p w14:paraId="37DFAB4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1ABA1E9B"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79EA6143" w14:textId="77777777" w:rsidTr="00780344">
        <w:trPr>
          <w:trHeight w:val="1280"/>
        </w:trPr>
        <w:tc>
          <w:tcPr>
            <w:tcW w:w="1726" w:type="dxa"/>
            <w:tcBorders>
              <w:top w:val="nil"/>
              <w:left w:val="nil"/>
              <w:bottom w:val="single" w:sz="4" w:space="0" w:color="auto"/>
              <w:right w:val="nil"/>
            </w:tcBorders>
            <w:shd w:val="clear" w:color="auto" w:fill="auto"/>
            <w:noWrap/>
            <w:vAlign w:val="bottom"/>
            <w:hideMark/>
          </w:tcPr>
          <w:p w14:paraId="143765F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2C4FE5C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102F322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On the other hand, in fragile elderly subjects who are at elevated risk for falls and fracture, the ESCEO recommends a minimal serum 25-(OH)D level of 75 nmol/L (i.e. 30 ng/mL), for the greatest impact on fracture.</w:t>
            </w:r>
          </w:p>
        </w:tc>
        <w:tc>
          <w:tcPr>
            <w:tcW w:w="3119" w:type="dxa"/>
            <w:tcBorders>
              <w:top w:val="nil"/>
              <w:left w:val="nil"/>
              <w:bottom w:val="single" w:sz="4" w:space="0" w:color="auto"/>
              <w:right w:val="nil"/>
            </w:tcBorders>
            <w:shd w:val="clear" w:color="auto" w:fill="auto"/>
            <w:noWrap/>
            <w:vAlign w:val="center"/>
            <w:hideMark/>
          </w:tcPr>
          <w:p w14:paraId="7DA4C03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bottom"/>
            <w:hideMark/>
          </w:tcPr>
          <w:p w14:paraId="346FC07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3E37B36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2180232A" w14:textId="77777777" w:rsidTr="00780344">
        <w:trPr>
          <w:trHeight w:val="3300"/>
        </w:trPr>
        <w:tc>
          <w:tcPr>
            <w:tcW w:w="1726" w:type="dxa"/>
            <w:tcBorders>
              <w:top w:val="nil"/>
              <w:left w:val="nil"/>
              <w:bottom w:val="single" w:sz="4" w:space="0" w:color="auto"/>
              <w:right w:val="nil"/>
            </w:tcBorders>
            <w:shd w:val="clear" w:color="auto" w:fill="auto"/>
            <w:vAlign w:val="center"/>
            <w:hideMark/>
          </w:tcPr>
          <w:p w14:paraId="2FA2484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Institute of Medicine</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{"citationItems":[{"id":"ITEM-1","itemData":{"ISBN":"0309163943","author":[{"dropping-particle":"","family":"Ross","given":"A Catharine","non-dropping-particle":"","parse-names":false,"suffix":""},{"dropping-particle":"","family":"Taylor","given":"Christine L","non-dropping-particle":"","parse-names":false,"suffix":""},{"dropping-particle":"","family":"Yaktine","given":"Ann L","non-dropping-particle":"","parse-names":false,"suffix":""},{"dropping-particle":"","family":"Valle","given":"Heather B","non-dropping-particle":"Del","parse-names":false,"suffix":""}],"id":"ITEM-1","issued":{"date-parts":[["2011"]]},"publisher":"National Academies Press","title":"Dietary reference intakes for calcium and vitamin D","type":"book"},"uris":["http://www.mendeley.com/documents/?uuid=7f85b6a9-f5cf-4e20-9079-276a7a3518cc"]}],"mendeley":{"formattedCitation":"&lt;sup&gt;11&lt;/sup&gt;","plainTextFormattedCitation":"11","previouslyFormattedCitation":"&lt;sup&gt;11&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11</w:t>
            </w:r>
            <w:r w:rsidR="00122A2E">
              <w:rPr>
                <w:rFonts w:ascii="Calibri" w:eastAsia="Times New Roman" w:hAnsi="Calibri" w:cs="Calibri"/>
                <w:sz w:val="16"/>
                <w:szCs w:val="16"/>
                <w:lang w:val="en-GB" w:eastAsia="en-US"/>
              </w:rPr>
              <w:fldChar w:fldCharType="end"/>
            </w:r>
          </w:p>
        </w:tc>
        <w:tc>
          <w:tcPr>
            <w:tcW w:w="2042" w:type="dxa"/>
            <w:tcBorders>
              <w:top w:val="nil"/>
              <w:left w:val="nil"/>
              <w:bottom w:val="single" w:sz="4" w:space="0" w:color="auto"/>
              <w:right w:val="nil"/>
            </w:tcBorders>
            <w:shd w:val="clear" w:color="auto" w:fill="auto"/>
            <w:vAlign w:val="center"/>
            <w:hideMark/>
          </w:tcPr>
          <w:p w14:paraId="7FBC2FF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Dietary Reference Intakes for Calcium and Vitamin D </w:t>
            </w:r>
          </w:p>
        </w:tc>
        <w:tc>
          <w:tcPr>
            <w:tcW w:w="6438" w:type="dxa"/>
            <w:tcBorders>
              <w:top w:val="nil"/>
              <w:left w:val="nil"/>
              <w:bottom w:val="single" w:sz="4" w:space="0" w:color="auto"/>
              <w:right w:val="nil"/>
            </w:tcBorders>
            <w:shd w:val="clear" w:color="auto" w:fill="auto"/>
            <w:vAlign w:val="center"/>
            <w:hideMark/>
          </w:tcPr>
          <w:p w14:paraId="71885AC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Establishes Dietary Reference Intakes assuming minimal sun exposure. No recommendation formulated explicitly regarding supplementation. Remarks: At this time, the only solution is to proceed on the basis of the assumption of minimal sun exposure and set reference values assuming that all of the vitamin D comes from the diet. This is a markedly cautious approach given that the vast majority of North Americans obtain at least some vitamin D from inadvertent or intentional sun exposure. Therefore, the estimated intake data for vitamin D cannot stand alone as a basis for broad public health action.</w:t>
            </w:r>
          </w:p>
        </w:tc>
        <w:tc>
          <w:tcPr>
            <w:tcW w:w="3119" w:type="dxa"/>
            <w:tcBorders>
              <w:top w:val="nil"/>
              <w:left w:val="nil"/>
              <w:bottom w:val="single" w:sz="4" w:space="0" w:color="auto"/>
              <w:right w:val="nil"/>
            </w:tcBorders>
            <w:shd w:val="clear" w:color="auto" w:fill="auto"/>
            <w:noWrap/>
            <w:vAlign w:val="center"/>
            <w:hideMark/>
          </w:tcPr>
          <w:p w14:paraId="170FC53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bottom"/>
            <w:hideMark/>
          </w:tcPr>
          <w:p w14:paraId="530E5E2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center"/>
            <w:hideMark/>
          </w:tcPr>
          <w:p w14:paraId="693E98FD"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SR</w:t>
            </w:r>
          </w:p>
        </w:tc>
      </w:tr>
      <w:tr w:rsidR="00817A40" w:rsidRPr="00817A40" w14:paraId="725561C8" w14:textId="77777777" w:rsidTr="00780344">
        <w:trPr>
          <w:trHeight w:val="1600"/>
        </w:trPr>
        <w:tc>
          <w:tcPr>
            <w:tcW w:w="1726" w:type="dxa"/>
            <w:tcBorders>
              <w:top w:val="nil"/>
              <w:left w:val="nil"/>
              <w:bottom w:val="single" w:sz="4" w:space="0" w:color="auto"/>
              <w:right w:val="nil"/>
            </w:tcBorders>
            <w:shd w:val="clear" w:color="auto" w:fill="auto"/>
            <w:vAlign w:val="center"/>
            <w:hideMark/>
          </w:tcPr>
          <w:p w14:paraId="4BD1C26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International Osteoporosis Foundation</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{"citationItems":[{"id":"ITEM-1","itemData":{"DOI":"10.1007/s00198-010-1285-3","ISSN":"1433-2965","PMID":"20422154","abstract":"This position paper of the International Osteoporosis Foundation makes recommendations for vitamin D nutrition in elderly men and women from an evidence-based perspective.","author":[{"dropping-particle":"","family":"Dawson-Hughes","given":"B","non-dropping-particle":"","parse-names":false,"suffix":""},{"dropping-particle":"","family":"Mithal","given":"A","non-dropping-particle":"","parse-names":false,"suffix":""},{"dropping-particle":"","family":"Bonjour","given":"J-P","non-dropping-particle":"","parse-names":false,"suffix":""},{"dropping-particle":"","family":"Boonen","given":"S","non-dropping-particle":"","parse-names":false,"suffix":""},{"dropping-particle":"","family":"Burckhardt","given":"P","non-dropping-particle":"","parse-names":false,"suffix":""},{"dropping-particle":"","family":"Fuleihan","given":"G E-H","non-dropping-particle":"","parse-names":false,"suffix":""},{"dropping-particle":"","family":"Josse","given":"R G","non-dropping-particle":"","parse-names":false,"suffix":""},{"dropping-particle":"","family":"Lips","given":"P","non-dropping-particle":"","parse-names":false,"suffix":""},{"dropping-particle":"","family":"Morales-Torres","given":"J","non-dropping-particle":"","parse-names":false,"suffix":""},{"dropping-particle":"","family":"Yoshimura","given":"N","non-dropping-particle":"","parse-names":false,"suffix":""}],"container-title":"Osteoporosis international : a journal established as result of cooperation between the European Foundation for Osteoporosis and the National Osteoporosis Foundation of the USA","id":"ITEM-1","issue":"7","issued":{"date-parts":[["2010","7"]]},"page":"1151-4","title":"IOF position statement: vitamin D recommendations for older adults.","type":"article-journal","volume":"21"},"uris":["http://www.mendeley.com/documents/?uuid=71be0564-059d-44bf-849c-b14ef29615ea"]}],"mendeley":{"formattedCitation":"&lt;sup&gt;12&lt;/sup&gt;","plainTextFormattedCitation":"12","previouslyFormattedCitation":"&lt;sup&gt;12&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12</w:t>
            </w:r>
            <w:r w:rsidR="00122A2E">
              <w:rPr>
                <w:rFonts w:ascii="Calibri" w:eastAsia="Times New Roman" w:hAnsi="Calibri" w:cs="Calibri"/>
                <w:sz w:val="16"/>
                <w:szCs w:val="16"/>
                <w:lang w:val="en-GB" w:eastAsia="en-US"/>
              </w:rPr>
              <w:fldChar w:fldCharType="end"/>
            </w:r>
          </w:p>
        </w:tc>
        <w:tc>
          <w:tcPr>
            <w:tcW w:w="2042" w:type="dxa"/>
            <w:tcBorders>
              <w:top w:val="nil"/>
              <w:left w:val="nil"/>
              <w:bottom w:val="single" w:sz="4" w:space="0" w:color="auto"/>
              <w:right w:val="nil"/>
            </w:tcBorders>
            <w:shd w:val="clear" w:color="auto" w:fill="auto"/>
            <w:vAlign w:val="center"/>
            <w:hideMark/>
          </w:tcPr>
          <w:p w14:paraId="491B891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IOF position statement: vitamin D recommendations for older adults </w:t>
            </w:r>
          </w:p>
        </w:tc>
        <w:tc>
          <w:tcPr>
            <w:tcW w:w="6438" w:type="dxa"/>
            <w:tcBorders>
              <w:top w:val="nil"/>
              <w:left w:val="nil"/>
              <w:bottom w:val="single" w:sz="4" w:space="0" w:color="auto"/>
              <w:right w:val="nil"/>
            </w:tcBorders>
            <w:shd w:val="clear" w:color="auto" w:fill="auto"/>
            <w:vAlign w:val="center"/>
            <w:hideMark/>
          </w:tcPr>
          <w:p w14:paraId="4067F10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The estimated average vitamin D requirement for older adults to reach a serum 25OHD level of 75 nmol/L (30 ng/ml) is 20 to 25 </w:t>
            </w:r>
            <w:r w:rsidRPr="00817A40">
              <w:rPr>
                <w:rFonts w:ascii="AdvTT2acb703b+03" w:eastAsia="Times New Roman" w:hAnsi="AdvTT2acb703b+03" w:cs="Calibri"/>
                <w:color w:val="111111"/>
                <w:sz w:val="16"/>
                <w:szCs w:val="16"/>
                <w:lang w:val="en-GB" w:eastAsia="en-US"/>
              </w:rPr>
              <w:t>μ</w:t>
            </w:r>
            <w:r w:rsidRPr="00817A40">
              <w:rPr>
                <w:rFonts w:ascii="AdvTT2acb703b" w:eastAsia="Times New Roman" w:hAnsi="AdvTT2acb703b" w:cs="Calibri"/>
                <w:color w:val="111111"/>
                <w:sz w:val="16"/>
                <w:szCs w:val="16"/>
                <w:lang w:val="en-GB" w:eastAsia="en-US"/>
              </w:rPr>
              <w:t xml:space="preserve">g/day (800 to 1,000 IU/day) </w:t>
            </w:r>
            <w:r w:rsidRPr="00817A40">
              <w:rPr>
                <w:rFonts w:ascii="Calibri" w:eastAsia="Times New Roman" w:hAnsi="Calibri" w:cs="Calibri"/>
                <w:sz w:val="16"/>
                <w:szCs w:val="16"/>
                <w:lang w:val="en-GB" w:eastAsia="en-US"/>
              </w:rPr>
              <w:t>Considerably higher doses would be needed to ensure that almost all older adults reached 75 nmol/l (30 ng/ml).</w:t>
            </w:r>
          </w:p>
        </w:tc>
        <w:tc>
          <w:tcPr>
            <w:tcW w:w="3119" w:type="dxa"/>
            <w:tcBorders>
              <w:top w:val="nil"/>
              <w:left w:val="nil"/>
              <w:bottom w:val="single" w:sz="4" w:space="0" w:color="auto"/>
              <w:right w:val="nil"/>
            </w:tcBorders>
            <w:shd w:val="clear" w:color="auto" w:fill="auto"/>
            <w:noWrap/>
            <w:vAlign w:val="center"/>
            <w:hideMark/>
          </w:tcPr>
          <w:p w14:paraId="6E959A8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center"/>
            <w:hideMark/>
          </w:tcPr>
          <w:p w14:paraId="7C567E8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single" w:sz="4" w:space="0" w:color="auto"/>
              <w:right w:val="nil"/>
            </w:tcBorders>
            <w:shd w:val="clear" w:color="auto" w:fill="auto"/>
            <w:noWrap/>
            <w:vAlign w:val="center"/>
            <w:hideMark/>
          </w:tcPr>
          <w:p w14:paraId="1D416F3E"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SR, MA</w:t>
            </w:r>
          </w:p>
        </w:tc>
      </w:tr>
      <w:tr w:rsidR="00817A40" w:rsidRPr="00817A40" w14:paraId="4D72A6FE" w14:textId="77777777" w:rsidTr="00780344">
        <w:trPr>
          <w:trHeight w:val="1900"/>
        </w:trPr>
        <w:tc>
          <w:tcPr>
            <w:tcW w:w="1726" w:type="dxa"/>
            <w:tcBorders>
              <w:top w:val="nil"/>
              <w:left w:val="nil"/>
              <w:bottom w:val="nil"/>
              <w:right w:val="nil"/>
            </w:tcBorders>
            <w:shd w:val="clear" w:color="auto" w:fill="auto"/>
            <w:vAlign w:val="center"/>
            <w:hideMark/>
          </w:tcPr>
          <w:p w14:paraId="509521B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Kaiser Permanente</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{"citationItems":[{"id":"ITEM-1","itemData":{"author":[{"dropping-particle":"","family":"Kaiser Permanente","given":"","non-dropping-particle":"","parse-names":false,"suffix":""}],"container-title":"Kaiser Permanente Medical Care Program","id":"ITEM-1","issued":{"date-parts":[["2014"]]},"title":"Osteoporosis/Fracture Prevention","type":"article-journal"},"uris":["http://www.mendeley.com/documents/?uuid=ac9a3899-f57c-4d39-b41f-fbef22c453d9"]}],"mendeley":{"formattedCitation":"&lt;sup&gt;13&lt;/sup&gt;","plainTextFormattedCitation":"13","previouslyFormattedCitation":"&lt;sup&gt;13&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13</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043ACD8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Osteoporosis/Fracture Prevention NATIONAL GUIDELINE SUMMARY</w:t>
            </w:r>
          </w:p>
        </w:tc>
        <w:tc>
          <w:tcPr>
            <w:tcW w:w="6438" w:type="dxa"/>
            <w:tcBorders>
              <w:top w:val="nil"/>
              <w:left w:val="nil"/>
              <w:bottom w:val="nil"/>
              <w:right w:val="nil"/>
            </w:tcBorders>
            <w:shd w:val="clear" w:color="auto" w:fill="auto"/>
            <w:vAlign w:val="center"/>
            <w:hideMark/>
          </w:tcPr>
          <w:p w14:paraId="5EEBBDC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Total daily intake of calcium is recommended for all pre– or postmenopausal women and older men (1,000 mg/ day for premenopausal women; 1,200 mg/day for postmenopausal women and men aged 50 or older). Many individuals require supplemental calcium therapy. </w:t>
            </w:r>
          </w:p>
        </w:tc>
        <w:tc>
          <w:tcPr>
            <w:tcW w:w="3119" w:type="dxa"/>
            <w:tcBorders>
              <w:top w:val="nil"/>
              <w:left w:val="nil"/>
              <w:bottom w:val="nil"/>
              <w:right w:val="nil"/>
            </w:tcBorders>
            <w:shd w:val="clear" w:color="auto" w:fill="auto"/>
            <w:vAlign w:val="center"/>
            <w:hideMark/>
          </w:tcPr>
          <w:p w14:paraId="14DBB62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(Evidence–based: B) </w:t>
            </w:r>
          </w:p>
        </w:tc>
        <w:tc>
          <w:tcPr>
            <w:tcW w:w="1276" w:type="dxa"/>
            <w:tcBorders>
              <w:top w:val="nil"/>
              <w:left w:val="nil"/>
              <w:bottom w:val="nil"/>
              <w:right w:val="nil"/>
            </w:tcBorders>
            <w:shd w:val="clear" w:color="auto" w:fill="auto"/>
            <w:noWrap/>
            <w:vAlign w:val="center"/>
            <w:hideMark/>
          </w:tcPr>
          <w:p w14:paraId="4BE71D7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nil"/>
              <w:right w:val="nil"/>
            </w:tcBorders>
            <w:shd w:val="clear" w:color="auto" w:fill="auto"/>
            <w:noWrap/>
            <w:vAlign w:val="center"/>
            <w:hideMark/>
          </w:tcPr>
          <w:p w14:paraId="7C61C29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708B350E" w14:textId="77777777" w:rsidTr="00780344">
        <w:trPr>
          <w:trHeight w:val="960"/>
        </w:trPr>
        <w:tc>
          <w:tcPr>
            <w:tcW w:w="1726" w:type="dxa"/>
            <w:tcBorders>
              <w:top w:val="nil"/>
              <w:left w:val="nil"/>
              <w:bottom w:val="single" w:sz="4" w:space="0" w:color="auto"/>
              <w:right w:val="nil"/>
            </w:tcBorders>
            <w:shd w:val="clear" w:color="auto" w:fill="auto"/>
            <w:noWrap/>
            <w:vAlign w:val="bottom"/>
            <w:hideMark/>
          </w:tcPr>
          <w:p w14:paraId="427D489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5B56E5C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2FB9049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Total daily intake of vitamin D (at least 1,000 IU/day), preferably vitamin D3, is recommended for all pre– or postmenopausal women and men aged 50 or older. </w:t>
            </w:r>
            <w:r w:rsidRPr="00817A40">
              <w:rPr>
                <w:rFonts w:ascii="AvenirLTStd" w:eastAsia="Times New Roman" w:hAnsi="AvenirLTStd" w:cs="Calibri"/>
                <w:i/>
                <w:iCs/>
                <w:sz w:val="16"/>
                <w:szCs w:val="16"/>
                <w:lang w:val="en-GB" w:eastAsia="en-US"/>
              </w:rPr>
              <w:t xml:space="preserve">(Consensus–based) </w:t>
            </w:r>
          </w:p>
        </w:tc>
        <w:tc>
          <w:tcPr>
            <w:tcW w:w="3119" w:type="dxa"/>
            <w:tcBorders>
              <w:top w:val="nil"/>
              <w:left w:val="nil"/>
              <w:bottom w:val="single" w:sz="4" w:space="0" w:color="auto"/>
              <w:right w:val="nil"/>
            </w:tcBorders>
            <w:shd w:val="clear" w:color="auto" w:fill="auto"/>
            <w:vAlign w:val="center"/>
            <w:hideMark/>
          </w:tcPr>
          <w:p w14:paraId="67F1E8C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(Consensus–based) </w:t>
            </w:r>
          </w:p>
        </w:tc>
        <w:tc>
          <w:tcPr>
            <w:tcW w:w="1276" w:type="dxa"/>
            <w:tcBorders>
              <w:top w:val="nil"/>
              <w:left w:val="nil"/>
              <w:bottom w:val="single" w:sz="4" w:space="0" w:color="auto"/>
              <w:right w:val="nil"/>
            </w:tcBorders>
            <w:shd w:val="clear" w:color="auto" w:fill="auto"/>
            <w:noWrap/>
            <w:vAlign w:val="center"/>
            <w:hideMark/>
          </w:tcPr>
          <w:p w14:paraId="467BDE8D"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single" w:sz="4" w:space="0" w:color="auto"/>
              <w:right w:val="nil"/>
            </w:tcBorders>
            <w:shd w:val="clear" w:color="auto" w:fill="auto"/>
            <w:noWrap/>
            <w:vAlign w:val="center"/>
            <w:hideMark/>
          </w:tcPr>
          <w:p w14:paraId="1915B34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817A40" w14:paraId="0348B070" w14:textId="77777777" w:rsidTr="00780344">
        <w:trPr>
          <w:trHeight w:val="1360"/>
        </w:trPr>
        <w:tc>
          <w:tcPr>
            <w:tcW w:w="1726" w:type="dxa"/>
            <w:tcBorders>
              <w:top w:val="nil"/>
              <w:left w:val="nil"/>
              <w:bottom w:val="nil"/>
              <w:right w:val="nil"/>
            </w:tcBorders>
            <w:shd w:val="clear" w:color="auto" w:fill="auto"/>
            <w:vAlign w:val="center"/>
            <w:hideMark/>
          </w:tcPr>
          <w:p w14:paraId="277F55D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Korean Bone Society</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{"citationItems":[{"id":"ITEM-1","itemData":{"DOI":"10.11005/jbm.2015.22.4.143","ISSN":"2287-6375","PMID":"26713305","abstract":"Calcium and vitamin D are essential components for bone health, thus calcium and vitamin D supplementation is an important strategy in the management of osteoporosis. However, the benefit of calcium and vitamin D supplementation on bone health is still controversial. Moreover, potentially harmful effects of excessive calcium supplementation on cardiovascular health are recently suggested. Too high a level of vitamin D has been also reported to have several, possibly related, harmful events. Korea is well known for low dietary calcium intake and vitamin D deficiency in its population. This position statement developed the following recommendation for adequate levels of calcium and vitamin D intake in Korean, postmenopausal women and men older than 50 years: Adequate calcium intake and optimal vitamin D level are essential for preventing and treating osteoporosis in postmenopausal women and men older than 50 years. We recommend a daily calcium intake of 800 to 1,000 mg/day. Food remains the best source of calcium; however calcium supplements should be considered when dietary intake of calcium is inadequate. We recommend dietary vitamin D intake of more than 800 IU per day, a level which appears to reduce the risk of fractures. When vitamin D deficiency is suspected, serum 25-hydroxy-vitamin D (25-[OH]D) level should be tested. We suggest that a serum 25-(OH)D level greater than 20 ng/mL is generally appropriate for prevention of osteoporosis. However, a serum 25-(OH)D level greater than 30 ng/mL is probably helpful for management of osteoporosis and prevention of fractures.","author":[{"dropping-particle":"","family":"Kim","given":"Kyoung Min","non-dropping-particle":"","parse-names":false,"suffix":""},{"dropping-particle":"","family":"Choi","given":"Han Seok","non-dropping-particle":"","parse-names":false,"suffix":""},{"dropping-particle":"","family":"Choi","given":"Mi-Ja","non-dropping-particle":"","parse-names":false,"suffix":""},{"dropping-particle":"","family":"Chung","given":"Ho Yeon","non-dropping-particle":"","parse-names":false,"suffix":""}],"container-title":"Journal of bone metabolism","id":"ITEM-1","issue":"4","issued":{"date-parts":[["2015","11","1"]]},"language":"English","page":"143-9","title":"Calcium and Vitamin D Supplementations: 2015 Position Statement of the Korean Society for Bone and Mineral Research.","type":"article-journal","volume":"22"},"uris":["http://www.mendeley.com/documents/?uuid=16178e0f-a6b4-4b55-b3e7-599fd1569f0a"]}],"mendeley":{"formattedCitation":"&lt;sup&gt;14&lt;/sup&gt;","plainTextFormattedCitation":"14","previouslyFormattedCitation":"&lt;sup&gt;14&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14</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noWrap/>
            <w:vAlign w:val="bottom"/>
            <w:hideMark/>
          </w:tcPr>
          <w:p w14:paraId="5B0E022F" w14:textId="77777777" w:rsidR="00817A40" w:rsidRPr="00817A40" w:rsidRDefault="0061760B" w:rsidP="00817A40">
            <w:pPr>
              <w:spacing w:line="240" w:lineRule="auto"/>
              <w:rPr>
                <w:rFonts w:ascii="Calibri" w:eastAsia="Times New Roman" w:hAnsi="Calibri" w:cs="Calibri"/>
                <w:sz w:val="16"/>
                <w:szCs w:val="16"/>
                <w:lang w:val="en-GB" w:eastAsia="en-US"/>
              </w:rPr>
            </w:pPr>
            <w:r w:rsidRPr="0061760B">
              <w:rPr>
                <w:rFonts w:ascii="Calibri" w:eastAsia="Times New Roman" w:hAnsi="Calibri" w:cs="Calibri"/>
                <w:sz w:val="16"/>
                <w:szCs w:val="16"/>
                <w:lang w:val="en-GB" w:eastAsia="en-US"/>
              </w:rPr>
              <w:t>Calcium and Vitamin D Supplementations: 2015 Position Statement of the Korean Society for Bone and Mineral Research.</w:t>
            </w:r>
          </w:p>
        </w:tc>
        <w:tc>
          <w:tcPr>
            <w:tcW w:w="6438" w:type="dxa"/>
            <w:tcBorders>
              <w:top w:val="nil"/>
              <w:left w:val="nil"/>
              <w:bottom w:val="nil"/>
              <w:right w:val="nil"/>
            </w:tcBorders>
            <w:shd w:val="clear" w:color="auto" w:fill="auto"/>
            <w:vAlign w:val="center"/>
            <w:hideMark/>
          </w:tcPr>
          <w:p w14:paraId="4376AB6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This is the 2015 Position Statement of the Korean Society for Bone and Mineral Research for calcium and vitamin D supplementations in Korea</w:t>
            </w:r>
            <w:r w:rsidR="00FA5CBF">
              <w:rPr>
                <w:rFonts w:ascii="Calibri" w:eastAsia="Times New Roman" w:hAnsi="Calibri" w:cs="Calibri"/>
                <w:sz w:val="16"/>
                <w:szCs w:val="16"/>
                <w:lang w:val="en-GB" w:eastAsia="en-US"/>
              </w:rPr>
              <w:t>n adults, especially for postme</w:t>
            </w:r>
            <w:r w:rsidRPr="00817A40">
              <w:rPr>
                <w:rFonts w:ascii="Calibri" w:eastAsia="Times New Roman" w:hAnsi="Calibri" w:cs="Calibri"/>
                <w:sz w:val="16"/>
                <w:szCs w:val="16"/>
                <w:lang w:val="en-GB" w:eastAsia="en-US"/>
              </w:rPr>
              <w:t xml:space="preserve">nopausal women and men older than 50 years. </w:t>
            </w:r>
          </w:p>
        </w:tc>
        <w:tc>
          <w:tcPr>
            <w:tcW w:w="3119" w:type="dxa"/>
            <w:tcBorders>
              <w:top w:val="nil"/>
              <w:left w:val="nil"/>
              <w:bottom w:val="nil"/>
              <w:right w:val="nil"/>
            </w:tcBorders>
            <w:shd w:val="clear" w:color="auto" w:fill="auto"/>
            <w:noWrap/>
            <w:vAlign w:val="center"/>
            <w:hideMark/>
          </w:tcPr>
          <w:p w14:paraId="3A9B531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nil"/>
              <w:right w:val="nil"/>
            </w:tcBorders>
            <w:shd w:val="clear" w:color="auto" w:fill="auto"/>
            <w:noWrap/>
            <w:vAlign w:val="center"/>
            <w:hideMark/>
          </w:tcPr>
          <w:p w14:paraId="73CF2857"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nil"/>
              <w:right w:val="nil"/>
            </w:tcBorders>
            <w:shd w:val="clear" w:color="auto" w:fill="auto"/>
            <w:noWrap/>
            <w:vAlign w:val="center"/>
            <w:hideMark/>
          </w:tcPr>
          <w:p w14:paraId="6D4B780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r>
      <w:tr w:rsidR="00817A40" w:rsidRPr="001C4F18" w14:paraId="2BC6C842" w14:textId="77777777" w:rsidTr="00780344">
        <w:trPr>
          <w:trHeight w:val="1600"/>
        </w:trPr>
        <w:tc>
          <w:tcPr>
            <w:tcW w:w="1726" w:type="dxa"/>
            <w:tcBorders>
              <w:top w:val="nil"/>
              <w:left w:val="nil"/>
              <w:bottom w:val="nil"/>
              <w:right w:val="nil"/>
            </w:tcBorders>
            <w:shd w:val="clear" w:color="auto" w:fill="auto"/>
            <w:noWrap/>
            <w:vAlign w:val="bottom"/>
            <w:hideMark/>
          </w:tcPr>
          <w:p w14:paraId="16A570F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63EB50A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55820BD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We recommend daily calcium intake of 800 to 1,000 mg per day which shows positive associations with BMD. Food remains the best source of </w:t>
            </w:r>
            <w:r w:rsidR="00FA5CBF">
              <w:rPr>
                <w:rFonts w:ascii="Calibri" w:eastAsia="Times New Roman" w:hAnsi="Calibri" w:cs="Calibri"/>
                <w:sz w:val="16"/>
                <w:szCs w:val="16"/>
                <w:lang w:val="en-GB" w:eastAsia="en-US"/>
              </w:rPr>
              <w:t>calcium, however use of supple</w:t>
            </w:r>
            <w:r w:rsidRPr="00817A40">
              <w:rPr>
                <w:rFonts w:ascii="Calibri" w:eastAsia="Times New Roman" w:hAnsi="Calibri" w:cs="Calibri"/>
                <w:sz w:val="16"/>
                <w:szCs w:val="16"/>
                <w:lang w:val="en-GB" w:eastAsia="en-US"/>
              </w:rPr>
              <w:t xml:space="preserve">ments should be considered when adequate dietary intake of calcium cannot be achieved </w:t>
            </w:r>
          </w:p>
        </w:tc>
        <w:tc>
          <w:tcPr>
            <w:tcW w:w="3119" w:type="dxa"/>
            <w:tcBorders>
              <w:top w:val="nil"/>
              <w:left w:val="nil"/>
              <w:bottom w:val="nil"/>
              <w:right w:val="nil"/>
            </w:tcBorders>
            <w:shd w:val="clear" w:color="auto" w:fill="auto"/>
            <w:noWrap/>
            <w:vAlign w:val="bottom"/>
            <w:hideMark/>
          </w:tcPr>
          <w:p w14:paraId="790DADB1"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1CCD570A"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0C90D84D"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001A26EE" w14:textId="77777777" w:rsidTr="00780344">
        <w:trPr>
          <w:trHeight w:val="640"/>
        </w:trPr>
        <w:tc>
          <w:tcPr>
            <w:tcW w:w="1726" w:type="dxa"/>
            <w:tcBorders>
              <w:top w:val="nil"/>
              <w:left w:val="nil"/>
              <w:bottom w:val="single" w:sz="4" w:space="0" w:color="auto"/>
              <w:right w:val="nil"/>
            </w:tcBorders>
            <w:shd w:val="clear" w:color="auto" w:fill="auto"/>
            <w:noWrap/>
            <w:vAlign w:val="bottom"/>
            <w:hideMark/>
          </w:tcPr>
          <w:p w14:paraId="03FD4DF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27A5BDB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1C6C41B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We recommend dietary vitamin D intake of more than 800 IU per day, which appears to reduce the risk of fractures. </w:t>
            </w:r>
          </w:p>
        </w:tc>
        <w:tc>
          <w:tcPr>
            <w:tcW w:w="3119" w:type="dxa"/>
            <w:tcBorders>
              <w:top w:val="nil"/>
              <w:left w:val="nil"/>
              <w:bottom w:val="single" w:sz="4" w:space="0" w:color="auto"/>
              <w:right w:val="nil"/>
            </w:tcBorders>
            <w:shd w:val="clear" w:color="auto" w:fill="auto"/>
            <w:noWrap/>
            <w:vAlign w:val="bottom"/>
            <w:hideMark/>
          </w:tcPr>
          <w:p w14:paraId="0022E03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54FFFDF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7BBF973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019DFC25" w14:textId="77777777" w:rsidTr="00780344">
        <w:trPr>
          <w:trHeight w:val="4800"/>
        </w:trPr>
        <w:tc>
          <w:tcPr>
            <w:tcW w:w="1726" w:type="dxa"/>
            <w:tcBorders>
              <w:top w:val="nil"/>
              <w:left w:val="nil"/>
              <w:bottom w:val="single" w:sz="4" w:space="0" w:color="auto"/>
              <w:right w:val="nil"/>
            </w:tcBorders>
            <w:shd w:val="clear" w:color="auto" w:fill="auto"/>
            <w:vAlign w:val="center"/>
            <w:hideMark/>
          </w:tcPr>
          <w:p w14:paraId="0654204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 xml:space="preserve">National </w:t>
            </w:r>
            <w:r w:rsidR="0061760B" w:rsidRPr="00817A40">
              <w:rPr>
                <w:rFonts w:ascii="Calibri" w:eastAsia="Times New Roman" w:hAnsi="Calibri" w:cs="Calibri"/>
                <w:sz w:val="16"/>
                <w:szCs w:val="16"/>
                <w:lang w:val="en-GB" w:eastAsia="en-US"/>
              </w:rPr>
              <w:t>Institute</w:t>
            </w:r>
            <w:r w:rsidRPr="00817A40">
              <w:rPr>
                <w:rFonts w:ascii="Calibri" w:eastAsia="Times New Roman" w:hAnsi="Calibri" w:cs="Calibri"/>
                <w:sz w:val="16"/>
                <w:szCs w:val="16"/>
                <w:lang w:val="en-GB" w:eastAsia="en-US"/>
              </w:rPr>
              <w:t xml:space="preserve"> for Health and Care Excellence (NICE)</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{"citationItems":[{"id":"ITEM-1","itemData":{"ISBN":"1473101328","author":[{"dropping-particle":"","family":"National Institute for Health and Care Excellence","given":"","non-dropping-particle":"","parse-names":false,"suffix":""}],"id":"ITEM-1","issued":{"date-parts":[["2013"]]},"publisher":"NICE","title":"Falls in older people: assessing risk and prevention","type":"book"},"uris":["http://www.mendeley.com/documents/?uuid=e170633f-f216-46ec-b43e-7597b1cfbbdf"]}],"mendeley":{"formattedCitation":"&lt;sup&gt;15&lt;/sup&gt;","plainTextFormattedCitation":"15","previouslyFormattedCitation":"&lt;sup&gt;15&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15</w:t>
            </w:r>
            <w:r w:rsidR="00122A2E">
              <w:rPr>
                <w:rFonts w:ascii="Calibri" w:eastAsia="Times New Roman" w:hAnsi="Calibri" w:cs="Calibri"/>
                <w:sz w:val="16"/>
                <w:szCs w:val="16"/>
                <w:lang w:val="en-GB" w:eastAsia="en-US"/>
              </w:rPr>
              <w:fldChar w:fldCharType="end"/>
            </w:r>
          </w:p>
        </w:tc>
        <w:tc>
          <w:tcPr>
            <w:tcW w:w="2042" w:type="dxa"/>
            <w:tcBorders>
              <w:top w:val="nil"/>
              <w:left w:val="nil"/>
              <w:bottom w:val="single" w:sz="4" w:space="0" w:color="auto"/>
              <w:right w:val="nil"/>
            </w:tcBorders>
            <w:shd w:val="clear" w:color="auto" w:fill="auto"/>
            <w:vAlign w:val="center"/>
            <w:hideMark/>
          </w:tcPr>
          <w:p w14:paraId="6465FC0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Falls: Assessment and prevention of falls in older people </w:t>
            </w:r>
          </w:p>
        </w:tc>
        <w:tc>
          <w:tcPr>
            <w:tcW w:w="6438" w:type="dxa"/>
            <w:tcBorders>
              <w:top w:val="nil"/>
              <w:left w:val="nil"/>
              <w:bottom w:val="single" w:sz="4" w:space="0" w:color="auto"/>
              <w:right w:val="nil"/>
            </w:tcBorders>
            <w:shd w:val="clear" w:color="auto" w:fill="auto"/>
            <w:vAlign w:val="center"/>
            <w:hideMark/>
          </w:tcPr>
          <w:p w14:paraId="3782C3B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Vitamin D. </w:t>
            </w:r>
            <w:r w:rsidRPr="00817A40">
              <w:rPr>
                <w:rFonts w:eastAsia="Times New Roman"/>
                <w:sz w:val="16"/>
                <w:szCs w:val="16"/>
                <w:lang w:val="en-GB" w:eastAsia="en-US"/>
              </w:rPr>
              <w:t xml:space="preserve">There is evidence that vitamin D deficiency and insufficiency are common among older people and that, when present, they impair muscle strength and possibly neuromuscular function, via CNS-mediated pathways. In addition, the use of combined calcium and vitamin D3 supplementation has been found to reduce fracture rates in older people in residential/nursing homes and sheltered accommodation. Although there is emerging evidence that correction of vitamin D deficiency or insufficiency may reduce the propensity for falling, there is uncertainty about the relative contribution to fracture reduction via this mechanism (as opposed to bone mass) and about the dose and route of administration required. No firm recommendation can therefore currently be made on its use for this indication.3 </w:t>
            </w:r>
            <w:r w:rsidRPr="00817A40">
              <w:rPr>
                <w:rFonts w:ascii="Arial,Bold" w:eastAsia="Times New Roman" w:hAnsi="Arial,Bold" w:cs="Calibri"/>
                <w:sz w:val="16"/>
                <w:szCs w:val="16"/>
                <w:lang w:val="en-GB" w:eastAsia="en-US"/>
              </w:rPr>
              <w:t xml:space="preserve">[2004, amended 2013] </w:t>
            </w:r>
          </w:p>
        </w:tc>
        <w:tc>
          <w:tcPr>
            <w:tcW w:w="3119" w:type="dxa"/>
            <w:tcBorders>
              <w:top w:val="nil"/>
              <w:left w:val="nil"/>
              <w:bottom w:val="single" w:sz="4" w:space="0" w:color="auto"/>
              <w:right w:val="nil"/>
            </w:tcBorders>
            <w:shd w:val="clear" w:color="auto" w:fill="auto"/>
            <w:noWrap/>
            <w:vAlign w:val="center"/>
            <w:hideMark/>
          </w:tcPr>
          <w:p w14:paraId="2E9C14E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1276" w:type="dxa"/>
            <w:tcBorders>
              <w:top w:val="nil"/>
              <w:left w:val="nil"/>
              <w:bottom w:val="single" w:sz="4" w:space="0" w:color="auto"/>
              <w:right w:val="nil"/>
            </w:tcBorders>
            <w:shd w:val="clear" w:color="auto" w:fill="auto"/>
            <w:noWrap/>
            <w:vAlign w:val="center"/>
            <w:hideMark/>
          </w:tcPr>
          <w:p w14:paraId="34D9F92B"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X</w:t>
            </w:r>
          </w:p>
        </w:tc>
        <w:tc>
          <w:tcPr>
            <w:tcW w:w="907" w:type="dxa"/>
            <w:tcBorders>
              <w:top w:val="nil"/>
              <w:left w:val="nil"/>
              <w:bottom w:val="single" w:sz="4" w:space="0" w:color="auto"/>
              <w:right w:val="nil"/>
            </w:tcBorders>
            <w:shd w:val="clear" w:color="auto" w:fill="auto"/>
            <w:noWrap/>
            <w:vAlign w:val="bottom"/>
            <w:hideMark/>
          </w:tcPr>
          <w:p w14:paraId="2938C30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6EC9D1F4" w14:textId="77777777" w:rsidTr="00FA5CBF">
        <w:trPr>
          <w:trHeight w:val="1280"/>
        </w:trPr>
        <w:tc>
          <w:tcPr>
            <w:tcW w:w="1726" w:type="dxa"/>
            <w:tcBorders>
              <w:top w:val="nil"/>
              <w:left w:val="nil"/>
              <w:bottom w:val="nil"/>
              <w:right w:val="nil"/>
            </w:tcBorders>
            <w:shd w:val="clear" w:color="auto" w:fill="auto"/>
            <w:vAlign w:val="center"/>
            <w:hideMark/>
          </w:tcPr>
          <w:p w14:paraId="24DED7CF" w14:textId="77777777" w:rsidR="00817A40" w:rsidRPr="00817A40" w:rsidRDefault="00122A2E" w:rsidP="00817A40">
            <w:pPr>
              <w:spacing w:line="240" w:lineRule="auto"/>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 xml:space="preserve">National Osteoporosis Foundation  </w:t>
            </w:r>
            <w:r>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{"citationItems":[{"id":"ITEM-1","itemData":{"DOI":"10.1007/s00198-014-2794-2","ISSN":"1433-2965","PMID":"25182228","abstract":"The Clinician's Guide to Prevention and Treatment of Osteoporosis was developed by an expert committee of the National Osteoporosis Foundation (NOF) in collaboration with a multispecialty council of medical experts in the field of bone health convened by NOF. Readers are urged to consult current prescribing information on any drug, device, or procedure discussed in this publication.","author":[{"dropping-particle":"","family":"Cosman","given":"F","non-dropping-particle":"","parse-names":false,"suffix":""},{"dropping-particle":"","family":"Beur","given":"S J","non-dropping-particle":"de","parse-names":false,"suffix":""},{"dropping-particle":"","family":"LeBoff","given":"M S","non-dropping-particle":"","parse-names":false,"suffix":""},{"dropping-particle":"","family":"Lewiecki","given":"E M","non-dropping-particle":"","parse-names":false,"suffix":""},{"dropping-particle":"","family":"Tanner","given":"B","non-dropping-particle":"","parse-names":false,"suffix":""},{"dropping-particle":"","family":"Randall","given":"S","non-dropping-particle":"","parse-names":false,"suffix":""},{"dropping-particle":"","family":"Lindsay","given":"R","non-dropping-particle":"","parse-names":false,"suffix":""}],"container-title":"Osteoporosis international : a journal established as result of cooperation between the European Foundation for Osteoporosis and the National Osteoporosis Foundation of the USA","id":"ITEM-1","issue":"10","issued":{"date-parts":[["2014","10"]]},"page":"2359-81","title":"Clinician's Guide to Prevention and Treatment of Osteoporosis.","type":"article-journal","volume":"25"},"uris":["http://www.mendeley.com/documents/?uuid=511f6d79-c1d5-4487-9e8e-b8ec1c7f3999"]}],"mendeley":{"formattedCitation":"&lt;sup&gt;16&lt;/sup&gt;","plainTextFormattedCitation":"16","previouslyFormattedCitation":"&lt;sup&gt;16&lt;/sup&gt;"},"properties":{"noteIndex":0},"schema":"https://github.com/citation-style-language/schema/raw/master/csl-citation.json"}</w:instrText>
            </w:r>
            <w:r>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16</w:t>
            </w:r>
            <w:r>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noWrap/>
            <w:vAlign w:val="center"/>
            <w:hideMark/>
          </w:tcPr>
          <w:p w14:paraId="1409D4CE" w14:textId="77777777" w:rsidR="00817A40" w:rsidRPr="00817A40" w:rsidRDefault="00817A40" w:rsidP="0061760B">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Clinician’s Guide to Prevention and Treatment of Osteoporosis</w:t>
            </w:r>
          </w:p>
        </w:tc>
        <w:tc>
          <w:tcPr>
            <w:tcW w:w="6438" w:type="dxa"/>
            <w:tcBorders>
              <w:top w:val="nil"/>
              <w:left w:val="nil"/>
              <w:bottom w:val="nil"/>
              <w:right w:val="nil"/>
            </w:tcBorders>
            <w:shd w:val="clear" w:color="auto" w:fill="auto"/>
            <w:vAlign w:val="center"/>
            <w:hideMark/>
          </w:tcPr>
          <w:p w14:paraId="58358F14"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Advise on a diet that includes adequate amounts of total calcium intake (1000 mg/day for men 50–70; 1200 mg/day for women 51 and older </w:t>
            </w:r>
            <w:r w:rsidR="00FA5CBF">
              <w:rPr>
                <w:rFonts w:ascii="Calibri" w:eastAsia="Times New Roman" w:hAnsi="Calibri" w:cs="Calibri"/>
                <w:sz w:val="16"/>
                <w:szCs w:val="16"/>
                <w:lang w:val="en-GB" w:eastAsia="en-US"/>
              </w:rPr>
              <w:t>and men 71 and older), incorpo</w:t>
            </w:r>
            <w:r w:rsidRPr="00817A40">
              <w:rPr>
                <w:rFonts w:ascii="Calibri" w:eastAsia="Times New Roman" w:hAnsi="Calibri" w:cs="Calibri"/>
                <w:sz w:val="16"/>
                <w:szCs w:val="16"/>
                <w:lang w:val="en-GB" w:eastAsia="en-US"/>
              </w:rPr>
              <w:t>rating dietary supplements if diet is insufficient.</w:t>
            </w:r>
          </w:p>
        </w:tc>
        <w:tc>
          <w:tcPr>
            <w:tcW w:w="3119" w:type="dxa"/>
            <w:tcBorders>
              <w:top w:val="nil"/>
              <w:left w:val="nil"/>
              <w:bottom w:val="nil"/>
              <w:right w:val="nil"/>
            </w:tcBorders>
            <w:shd w:val="clear" w:color="auto" w:fill="auto"/>
            <w:noWrap/>
            <w:vAlign w:val="bottom"/>
            <w:hideMark/>
          </w:tcPr>
          <w:p w14:paraId="19BEE93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nil"/>
              <w:right w:val="nil"/>
            </w:tcBorders>
            <w:shd w:val="clear" w:color="auto" w:fill="auto"/>
            <w:noWrap/>
            <w:vAlign w:val="bottom"/>
            <w:hideMark/>
          </w:tcPr>
          <w:p w14:paraId="4C05B73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nil"/>
              <w:right w:val="nil"/>
            </w:tcBorders>
            <w:shd w:val="clear" w:color="auto" w:fill="auto"/>
            <w:noWrap/>
            <w:vAlign w:val="bottom"/>
            <w:hideMark/>
          </w:tcPr>
          <w:p w14:paraId="1251FFA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788F928A" w14:textId="77777777" w:rsidTr="00FA5CBF">
        <w:trPr>
          <w:trHeight w:val="660"/>
        </w:trPr>
        <w:tc>
          <w:tcPr>
            <w:tcW w:w="1726" w:type="dxa"/>
            <w:tcBorders>
              <w:top w:val="nil"/>
              <w:left w:val="nil"/>
              <w:bottom w:val="single" w:sz="4" w:space="0" w:color="auto"/>
              <w:right w:val="nil"/>
            </w:tcBorders>
            <w:shd w:val="clear" w:color="auto" w:fill="auto"/>
            <w:noWrap/>
            <w:vAlign w:val="bottom"/>
            <w:hideMark/>
          </w:tcPr>
          <w:p w14:paraId="4F887C7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421CDB8B" w14:textId="77777777" w:rsidR="00817A40" w:rsidRPr="00817A40" w:rsidRDefault="00817A40" w:rsidP="00817A40">
            <w:pPr>
              <w:spacing w:line="240" w:lineRule="auto"/>
              <w:rPr>
                <w:rFonts w:ascii="Segoe UI" w:eastAsia="Times New Roman" w:hAnsi="Segoe UI" w:cs="Calibri"/>
                <w:color w:val="7C7C7C"/>
                <w:sz w:val="16"/>
                <w:szCs w:val="16"/>
                <w:lang w:val="en-GB" w:eastAsia="en-US"/>
              </w:rPr>
            </w:pPr>
            <w:r w:rsidRPr="00817A40">
              <w:rPr>
                <w:rFonts w:ascii="Segoe UI" w:eastAsia="Times New Roman" w:hAnsi="Segoe UI" w:cs="Calibri"/>
                <w:color w:val="7C7C7C"/>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681F414E"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Advise on vitamin D intake (800</w:t>
            </w:r>
            <w:r w:rsidRPr="00817A40">
              <w:rPr>
                <w:rFonts w:ascii="Calibri" w:eastAsia="Times New Roman" w:hAnsi="Calibri" w:cs="Calibri"/>
                <w:color w:val="111111"/>
                <w:sz w:val="16"/>
                <w:szCs w:val="16"/>
                <w:lang w:val="en-GB" w:eastAsia="en-US"/>
              </w:rPr>
              <w:t xml:space="preserve">–1000 IU/day), including supplements if necessary for individuals age 50 and older. </w:t>
            </w:r>
          </w:p>
        </w:tc>
        <w:tc>
          <w:tcPr>
            <w:tcW w:w="3119" w:type="dxa"/>
            <w:tcBorders>
              <w:top w:val="nil"/>
              <w:left w:val="nil"/>
              <w:bottom w:val="single" w:sz="4" w:space="0" w:color="auto"/>
              <w:right w:val="nil"/>
            </w:tcBorders>
            <w:shd w:val="clear" w:color="auto" w:fill="auto"/>
            <w:noWrap/>
            <w:vAlign w:val="bottom"/>
            <w:hideMark/>
          </w:tcPr>
          <w:p w14:paraId="1219371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6C621F9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0B633908"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58717584" w14:textId="77777777" w:rsidTr="00FA5CBF">
        <w:trPr>
          <w:trHeight w:val="1280"/>
        </w:trPr>
        <w:tc>
          <w:tcPr>
            <w:tcW w:w="1726" w:type="dxa"/>
            <w:tcBorders>
              <w:top w:val="nil"/>
              <w:left w:val="nil"/>
              <w:bottom w:val="nil"/>
              <w:right w:val="nil"/>
            </w:tcBorders>
            <w:shd w:val="clear" w:color="auto" w:fill="auto"/>
            <w:vAlign w:val="center"/>
            <w:hideMark/>
          </w:tcPr>
          <w:p w14:paraId="36F59F89" w14:textId="77777777" w:rsidR="00817A40" w:rsidRPr="00817A40" w:rsidRDefault="00122A2E" w:rsidP="00817A40">
            <w:pPr>
              <w:spacing w:line="240" w:lineRule="auto"/>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 xml:space="preserve">NOF </w:t>
            </w:r>
            <w:r>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{"citationItems":[{"id":"ITEM-1","itemData":{"ISSN":"0937-941X","author":[{"dropping-particle":"","family":"Weaver","given":"C M","non-dropping-particle":"","parse-names":false,"suffix":""},{"dropping-particle":"","family":"Gordon","given":"C M","non-dropping-particle":"","parse-names":false,"suffix":""},{"dropping-particle":"","family":"Janz","given":"K F","non-dropping-particle":"","parse-names":false,"suffix":""},{"dropping-particle":"","family":"Kalkwarf","given":"H J","non-dropping-particle":"","parse-names":false,"suffix":""},{"dropping-particle":"","family":"Lappe","given":"J M","non-dropping-particle":"","parse-names":false,"suffix":""},{"dropping-particle":"","family":"Lewis","given":"R","non-dropping-particle":"","parse-names":false,"suffix":""},{"dropping-particle":"","family":"O’Karma","given":"M","non-dropping-particle":"","parse-names":false,"suffix":""},{"dropping-particle":"","family":"Wallace","given":"T C","non-dropping-particle":"","parse-names":false,"suffix":""},{"dropping-particle":"","family":"Zemel","given":"B S","non-dropping-particle":"","parse-names":false,"suffix":""}],"container-title":"Osteoporosis International","id":"ITEM-1","issue":"4","issued":{"date-parts":[["2016"]]},"page":"1281-1386","publisher":"Springer","title":"The National Osteoporosis Foundation’s position statement on peak bone mass development and lifestyle factors: a systematic review and implementation recommendations","type":"article-journal","volume":"27"},"uris":["http://www.mendeley.com/documents/?uuid=44c50985-d4f7-4522-acd7-2197e2c5381a"]}],"mendeley":{"formattedCitation":"&lt;sup&gt;17&lt;/sup&gt;","plainTextFormattedCitation":"17","previouslyFormattedCitation":"&lt;sup&gt;17&lt;/sup&gt;"},"properties":{"noteIndex":0},"schema":"https://github.com/citation-style-language/schema/raw/master/csl-citation.json"}</w:instrText>
            </w:r>
            <w:r>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17</w:t>
            </w:r>
            <w:r>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bottom"/>
            <w:hideMark/>
          </w:tcPr>
          <w:p w14:paraId="07F617B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National Osteoporosis Foundation’s position statement</w:t>
            </w:r>
            <w:r w:rsidRPr="00817A40">
              <w:rPr>
                <w:rFonts w:ascii="Calibri" w:eastAsia="Times New Roman" w:hAnsi="Calibri" w:cs="Calibri"/>
                <w:sz w:val="16"/>
                <w:szCs w:val="16"/>
                <w:lang w:val="en-GB" w:eastAsia="en-US"/>
              </w:rPr>
              <w:br/>
              <w:t>on peak bone mass development and lifestyle factors: a systematic review and implementation recommendations</w:t>
            </w:r>
          </w:p>
        </w:tc>
        <w:tc>
          <w:tcPr>
            <w:tcW w:w="6438" w:type="dxa"/>
            <w:tcBorders>
              <w:top w:val="nil"/>
              <w:left w:val="nil"/>
              <w:bottom w:val="nil"/>
              <w:right w:val="nil"/>
            </w:tcBorders>
            <w:shd w:val="clear" w:color="auto" w:fill="auto"/>
            <w:vAlign w:val="center"/>
            <w:hideMark/>
          </w:tcPr>
          <w:p w14:paraId="06F8DC97"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Nonetheless, we find that calcium supplement</w:t>
            </w:r>
            <w:r w:rsidR="00FA5CBF">
              <w:rPr>
                <w:rFonts w:ascii="Calibri" w:eastAsia="Times New Roman" w:hAnsi="Calibri" w:cs="Calibri"/>
                <w:sz w:val="16"/>
                <w:szCs w:val="16"/>
                <w:lang w:val="en-GB" w:eastAsia="en-US"/>
              </w:rPr>
              <w:t>ation, whether with pills, for</w:t>
            </w:r>
            <w:r w:rsidRPr="00817A40">
              <w:rPr>
                <w:rFonts w:ascii="Calibri" w:eastAsia="Times New Roman" w:hAnsi="Calibri" w:cs="Calibri"/>
                <w:sz w:val="16"/>
                <w:szCs w:val="16"/>
                <w:lang w:val="en-GB" w:eastAsia="en-US"/>
              </w:rPr>
              <w:t>tified foods, or dairy, consistently increases gain in skeletal mass and density measures in</w:t>
            </w:r>
            <w:r w:rsidR="00FA5CBF">
              <w:rPr>
                <w:rFonts w:ascii="Calibri" w:eastAsia="Times New Roman" w:hAnsi="Calibri" w:cs="Calibri"/>
                <w:sz w:val="16"/>
                <w:szCs w:val="16"/>
                <w:lang w:val="en-GB" w:eastAsia="en-US"/>
              </w:rPr>
              <w:t xml:space="preserve"> children and adolescents, usu</w:t>
            </w:r>
            <w:r w:rsidRPr="00817A40">
              <w:rPr>
                <w:rFonts w:ascii="Calibri" w:eastAsia="Times New Roman" w:hAnsi="Calibri" w:cs="Calibri"/>
                <w:sz w:val="16"/>
                <w:szCs w:val="16"/>
                <w:lang w:val="en-GB" w:eastAsia="en-US"/>
              </w:rPr>
              <w:t>ally between 1.0 and 5.0 %.</w:t>
            </w:r>
          </w:p>
        </w:tc>
        <w:tc>
          <w:tcPr>
            <w:tcW w:w="3119" w:type="dxa"/>
            <w:tcBorders>
              <w:top w:val="nil"/>
              <w:left w:val="nil"/>
              <w:bottom w:val="nil"/>
              <w:right w:val="nil"/>
            </w:tcBorders>
            <w:shd w:val="clear" w:color="auto" w:fill="auto"/>
            <w:vAlign w:val="center"/>
            <w:hideMark/>
          </w:tcPr>
          <w:p w14:paraId="1433522B"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 Grade: Level of evidence A was assigned for the benefit of calcium on bone.</w:t>
            </w:r>
          </w:p>
        </w:tc>
        <w:tc>
          <w:tcPr>
            <w:tcW w:w="1276" w:type="dxa"/>
            <w:tcBorders>
              <w:top w:val="nil"/>
              <w:left w:val="nil"/>
              <w:bottom w:val="nil"/>
              <w:right w:val="nil"/>
            </w:tcBorders>
            <w:shd w:val="clear" w:color="auto" w:fill="auto"/>
            <w:noWrap/>
            <w:vAlign w:val="bottom"/>
            <w:hideMark/>
          </w:tcPr>
          <w:p w14:paraId="0FE3EFC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3672429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32EE1C2A" w14:textId="77777777" w:rsidTr="00780344">
        <w:trPr>
          <w:trHeight w:val="960"/>
        </w:trPr>
        <w:tc>
          <w:tcPr>
            <w:tcW w:w="1726" w:type="dxa"/>
            <w:tcBorders>
              <w:top w:val="nil"/>
              <w:left w:val="nil"/>
              <w:bottom w:val="single" w:sz="4" w:space="0" w:color="auto"/>
              <w:right w:val="nil"/>
            </w:tcBorders>
            <w:shd w:val="clear" w:color="auto" w:fill="auto"/>
            <w:noWrap/>
            <w:vAlign w:val="bottom"/>
            <w:hideMark/>
          </w:tcPr>
          <w:p w14:paraId="13B640E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 </w:t>
            </w:r>
          </w:p>
        </w:tc>
        <w:tc>
          <w:tcPr>
            <w:tcW w:w="2042" w:type="dxa"/>
            <w:tcBorders>
              <w:top w:val="nil"/>
              <w:left w:val="nil"/>
              <w:bottom w:val="single" w:sz="4" w:space="0" w:color="auto"/>
              <w:right w:val="nil"/>
            </w:tcBorders>
            <w:shd w:val="clear" w:color="auto" w:fill="auto"/>
            <w:noWrap/>
            <w:vAlign w:val="bottom"/>
            <w:hideMark/>
          </w:tcPr>
          <w:p w14:paraId="51E5236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5E8D054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Although we ranked the evidence for a positive effect of vitamin D supplementation o</w:t>
            </w:r>
            <w:r w:rsidR="00FA5CBF">
              <w:rPr>
                <w:rFonts w:ascii="Calibri" w:eastAsia="Times New Roman" w:hAnsi="Calibri" w:cs="Calibri"/>
                <w:sz w:val="16"/>
                <w:szCs w:val="16"/>
                <w:lang w:val="en-GB" w:eastAsia="en-US"/>
              </w:rPr>
              <w:t>n bone mineral accrual in chil</w:t>
            </w:r>
            <w:r w:rsidRPr="00817A40">
              <w:rPr>
                <w:rFonts w:ascii="Calibri" w:eastAsia="Times New Roman" w:hAnsi="Calibri" w:cs="Calibri"/>
                <w:sz w:val="16"/>
                <w:szCs w:val="16"/>
                <w:lang w:val="en-GB" w:eastAsia="en-US"/>
              </w:rPr>
              <w:t>dren and adolescents as mode</w:t>
            </w:r>
            <w:r w:rsidR="00FA5CBF">
              <w:rPr>
                <w:rFonts w:ascii="Calibri" w:eastAsia="Times New Roman" w:hAnsi="Calibri" w:cs="Calibri"/>
                <w:sz w:val="16"/>
                <w:szCs w:val="16"/>
                <w:lang w:val="en-GB" w:eastAsia="en-US"/>
              </w:rPr>
              <w:t>rate, several unanswered quest</w:t>
            </w:r>
            <w:r w:rsidRPr="00817A40">
              <w:rPr>
                <w:rFonts w:ascii="Calibri" w:eastAsia="Times New Roman" w:hAnsi="Calibri" w:cs="Calibri"/>
                <w:sz w:val="16"/>
                <w:szCs w:val="16"/>
                <w:lang w:val="en-GB" w:eastAsia="en-US"/>
              </w:rPr>
              <w:t xml:space="preserve">ions remain. </w:t>
            </w:r>
          </w:p>
        </w:tc>
        <w:tc>
          <w:tcPr>
            <w:tcW w:w="3119" w:type="dxa"/>
            <w:tcBorders>
              <w:top w:val="nil"/>
              <w:left w:val="nil"/>
              <w:bottom w:val="single" w:sz="4" w:space="0" w:color="auto"/>
              <w:right w:val="nil"/>
            </w:tcBorders>
            <w:shd w:val="clear" w:color="auto" w:fill="auto"/>
            <w:vAlign w:val="center"/>
            <w:hideMark/>
          </w:tcPr>
          <w:p w14:paraId="63117313"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Grade: Level of evidence B was assigned for the benef</w:t>
            </w:r>
            <w:r w:rsidR="00FA5CBF">
              <w:rPr>
                <w:rFonts w:ascii="Calibri" w:eastAsia="Times New Roman" w:hAnsi="Calibri" w:cs="Calibri"/>
                <w:sz w:val="16"/>
                <w:szCs w:val="16"/>
                <w:lang w:val="en-GB" w:eastAsia="en-US"/>
              </w:rPr>
              <w:t>it of vitamin D on bone</w:t>
            </w:r>
          </w:p>
        </w:tc>
        <w:tc>
          <w:tcPr>
            <w:tcW w:w="1276" w:type="dxa"/>
            <w:tcBorders>
              <w:top w:val="nil"/>
              <w:left w:val="nil"/>
              <w:bottom w:val="single" w:sz="4" w:space="0" w:color="auto"/>
              <w:right w:val="nil"/>
            </w:tcBorders>
            <w:shd w:val="clear" w:color="auto" w:fill="auto"/>
            <w:noWrap/>
            <w:vAlign w:val="bottom"/>
            <w:hideMark/>
          </w:tcPr>
          <w:p w14:paraId="2F7895C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40164F5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28EE77D4" w14:textId="77777777" w:rsidTr="00FA5CBF">
        <w:trPr>
          <w:trHeight w:val="1920"/>
        </w:trPr>
        <w:tc>
          <w:tcPr>
            <w:tcW w:w="1726" w:type="dxa"/>
            <w:tcBorders>
              <w:top w:val="nil"/>
              <w:left w:val="nil"/>
              <w:bottom w:val="nil"/>
              <w:right w:val="nil"/>
            </w:tcBorders>
            <w:shd w:val="clear" w:color="auto" w:fill="auto"/>
            <w:vAlign w:val="center"/>
            <w:hideMark/>
          </w:tcPr>
          <w:p w14:paraId="73BB382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National Osteoporosis Guideline Group</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{"citationItems":[{"id":"ITEM-1","itemData":{"author":[{"dropping-particle":"","family":"Group","given":"National Osteoporosis Guideline","non-dropping-particle":"","parse-names":false,"suffix":""}],"id":"ITEM-1","issued":{"date-parts":[["2016"]]},"publisher":"National Osteoporosis Guideline Group","title":"Osteoporosis clinical guideline for prevention and treatment: Executive summary","type":"book"},"uris":["http://www.mendeley.com/documents/?uuid=182e303f-17a0-415e-85c4-138ce9703004"]}],"mendeley":{"formattedCitation":"&lt;sup&gt;18&lt;/sup&gt;","plainTextFormattedCitation":"18","previouslyFormattedCitation":"&lt;sup&gt;18&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18</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7065C8D1" w14:textId="77777777" w:rsidR="00817A40" w:rsidRPr="00817A40" w:rsidRDefault="00817A40" w:rsidP="0061760B">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Osteoporosis</w:t>
            </w:r>
            <w:r w:rsidRPr="00817A40">
              <w:rPr>
                <w:rFonts w:ascii="Calibri" w:eastAsia="Times New Roman" w:hAnsi="Calibri" w:cs="Calibri"/>
                <w:sz w:val="16"/>
                <w:szCs w:val="16"/>
                <w:lang w:val="en-GB" w:eastAsia="en-US"/>
              </w:rPr>
              <w:br/>
              <w:t>Clinical guideline for prevention and treatment</w:t>
            </w:r>
            <w:r w:rsidRPr="00817A40">
              <w:rPr>
                <w:rFonts w:ascii="Calibri" w:eastAsia="Times New Roman" w:hAnsi="Calibri" w:cs="Calibri"/>
                <w:sz w:val="16"/>
                <w:szCs w:val="16"/>
                <w:lang w:val="en-GB" w:eastAsia="en-US"/>
              </w:rPr>
              <w:br/>
              <w:t>Executive Summary</w:t>
            </w:r>
          </w:p>
        </w:tc>
        <w:tc>
          <w:tcPr>
            <w:tcW w:w="6438" w:type="dxa"/>
            <w:tcBorders>
              <w:top w:val="nil"/>
              <w:left w:val="nil"/>
              <w:bottom w:val="nil"/>
              <w:right w:val="nil"/>
            </w:tcBorders>
            <w:shd w:val="clear" w:color="auto" w:fill="auto"/>
            <w:vAlign w:val="center"/>
            <w:hideMark/>
          </w:tcPr>
          <w:p w14:paraId="0BD5F0FE" w14:textId="77777777" w:rsidR="00817A40" w:rsidRPr="00FA5CBF" w:rsidRDefault="00817A40" w:rsidP="00FA5CBF">
            <w:pPr>
              <w:spacing w:line="240" w:lineRule="auto"/>
              <w:rPr>
                <w:rFonts w:ascii="Calibri" w:eastAsia="Times New Roman" w:hAnsi="Calibri" w:cs="Calibri"/>
                <w:sz w:val="16"/>
                <w:szCs w:val="16"/>
                <w:lang w:val="en-GB" w:eastAsia="en-US"/>
              </w:rPr>
            </w:pPr>
            <w:r w:rsidRPr="00FA5CBF">
              <w:rPr>
                <w:rFonts w:ascii="Calibri" w:eastAsia="Times New Roman" w:hAnsi="Calibri" w:cs="Calibri"/>
                <w:sz w:val="16"/>
                <w:szCs w:val="16"/>
                <w:lang w:val="en-GB" w:eastAsia="en-US"/>
              </w:rPr>
              <w:t xml:space="preserve">Calcium and vitamin D supplementation is widely recommended in older people who are housebound or living in residential or nursing homes, where vitamin D deficiency and low dietary calcium intake are common. Supplementation is also often advocated as an adjunct to other treatments for osteoporosis, as the clinical trials of these agents were performed in patients who were calcium and vitamin D replete. </w:t>
            </w:r>
          </w:p>
        </w:tc>
        <w:tc>
          <w:tcPr>
            <w:tcW w:w="3119" w:type="dxa"/>
            <w:tcBorders>
              <w:top w:val="nil"/>
              <w:left w:val="nil"/>
              <w:bottom w:val="nil"/>
              <w:right w:val="nil"/>
            </w:tcBorders>
            <w:shd w:val="clear" w:color="auto" w:fill="auto"/>
            <w:noWrap/>
            <w:vAlign w:val="bottom"/>
            <w:hideMark/>
          </w:tcPr>
          <w:p w14:paraId="298AE584" w14:textId="77777777" w:rsidR="00817A40" w:rsidRPr="00817A40" w:rsidRDefault="00817A40" w:rsidP="00817A40">
            <w:pPr>
              <w:spacing w:line="240" w:lineRule="auto"/>
              <w:rPr>
                <w:rFonts w:ascii="TimesNewRomanPSMT" w:eastAsia="Times New Roman" w:hAnsi="TimesNewRomanPSMT" w:cs="TimesNewRomanPSMT"/>
                <w:sz w:val="16"/>
                <w:szCs w:val="16"/>
                <w:lang w:val="en-GB" w:eastAsia="en-US"/>
              </w:rPr>
            </w:pPr>
          </w:p>
        </w:tc>
        <w:tc>
          <w:tcPr>
            <w:tcW w:w="1276" w:type="dxa"/>
            <w:tcBorders>
              <w:top w:val="nil"/>
              <w:left w:val="nil"/>
              <w:bottom w:val="nil"/>
              <w:right w:val="nil"/>
            </w:tcBorders>
            <w:shd w:val="clear" w:color="auto" w:fill="auto"/>
            <w:noWrap/>
            <w:vAlign w:val="bottom"/>
            <w:hideMark/>
          </w:tcPr>
          <w:p w14:paraId="5093B6FE"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4DE0176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2DE4756C" w14:textId="77777777" w:rsidTr="00FA5CBF">
        <w:trPr>
          <w:trHeight w:val="2560"/>
        </w:trPr>
        <w:tc>
          <w:tcPr>
            <w:tcW w:w="1726" w:type="dxa"/>
            <w:tcBorders>
              <w:top w:val="nil"/>
              <w:left w:val="nil"/>
              <w:bottom w:val="nil"/>
              <w:right w:val="nil"/>
            </w:tcBorders>
            <w:shd w:val="clear" w:color="auto" w:fill="auto"/>
            <w:noWrap/>
            <w:vAlign w:val="bottom"/>
            <w:hideMark/>
          </w:tcPr>
          <w:p w14:paraId="5F77B65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center"/>
            <w:hideMark/>
          </w:tcPr>
          <w:p w14:paraId="0E9AF589" w14:textId="77777777" w:rsidR="00817A40" w:rsidRPr="00817A40" w:rsidRDefault="00817A40" w:rsidP="0061760B">
            <w:pPr>
              <w:spacing w:line="240" w:lineRule="auto"/>
              <w:jc w:val="center"/>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69CA38A6" w14:textId="77777777" w:rsidR="00817A40" w:rsidRPr="00FA5CBF" w:rsidRDefault="00817A40" w:rsidP="00FA5CBF">
            <w:pPr>
              <w:spacing w:line="240" w:lineRule="auto"/>
              <w:rPr>
                <w:rFonts w:ascii="Calibri" w:eastAsia="Times New Roman" w:hAnsi="Calibri" w:cs="Calibri"/>
                <w:sz w:val="16"/>
                <w:szCs w:val="16"/>
                <w:lang w:val="en-GB" w:eastAsia="en-US"/>
              </w:rPr>
            </w:pPr>
            <w:r w:rsidRPr="00FA5CBF">
              <w:rPr>
                <w:rFonts w:ascii="Calibri" w:eastAsia="Times New Roman" w:hAnsi="Calibri" w:cs="Calibri"/>
                <w:sz w:val="16"/>
                <w:szCs w:val="16"/>
                <w:lang w:val="en-GB" w:eastAsia="en-US"/>
              </w:rPr>
              <w:t xml:space="preserve">The writing group makes no recommendations concerning such population-based strategies, for two reasons. First, not all the factors are necessarily causally related to osteoporosis. Second, the uptake and compliance of such strategies have not been adequately assessed, so the value and feasibility of population programmes in osteoporosis prevention or treatment cannot be evaluated. It is recommended that further research be undertaken on the feasibility and impact of population-based strategies. </w:t>
            </w:r>
          </w:p>
        </w:tc>
        <w:tc>
          <w:tcPr>
            <w:tcW w:w="3119" w:type="dxa"/>
            <w:tcBorders>
              <w:top w:val="nil"/>
              <w:left w:val="nil"/>
              <w:bottom w:val="nil"/>
              <w:right w:val="nil"/>
            </w:tcBorders>
            <w:shd w:val="clear" w:color="auto" w:fill="auto"/>
            <w:vAlign w:val="center"/>
            <w:hideMark/>
          </w:tcPr>
          <w:p w14:paraId="0DEC14C5" w14:textId="77777777" w:rsidR="00817A40" w:rsidRPr="00817A40" w:rsidRDefault="00817A40" w:rsidP="00817A40">
            <w:pPr>
              <w:spacing w:line="240" w:lineRule="auto"/>
              <w:jc w:val="center"/>
              <w:rPr>
                <w:rFonts w:ascii="TimesNewRomanPSMT" w:eastAsia="Times New Roman" w:hAnsi="TimesNewRomanPSMT" w:cs="TimesNewRomanPSMT"/>
                <w:sz w:val="16"/>
                <w:szCs w:val="16"/>
                <w:lang w:val="en-GB" w:eastAsia="en-US"/>
              </w:rPr>
            </w:pPr>
            <w:r w:rsidRPr="00817A40">
              <w:rPr>
                <w:rFonts w:ascii="TimesNewRomanPSMT" w:eastAsia="Times New Roman" w:hAnsi="TimesNewRomanPSMT" w:cs="TimesNewRomanPSMT"/>
                <w:sz w:val="16"/>
                <w:szCs w:val="16"/>
                <w:lang w:val="en-GB" w:eastAsia="en-US"/>
              </w:rPr>
              <w:t xml:space="preserve">Calcium +/- Vitamin D </w:t>
            </w:r>
            <w:r w:rsidR="00FA5CBF" w:rsidRPr="00817A40">
              <w:rPr>
                <w:rFonts w:ascii="TimesNewRomanPSMT" w:eastAsia="Times New Roman" w:hAnsi="TimesNewRomanPSMT" w:cs="TimesNewRomanPSMT"/>
                <w:sz w:val="16"/>
                <w:szCs w:val="16"/>
                <w:lang w:val="en-GB" w:eastAsia="en-US"/>
              </w:rPr>
              <w:t>Supplements</w:t>
            </w:r>
            <w:r w:rsidRPr="00817A40">
              <w:rPr>
                <w:rFonts w:ascii="TimesNewRomanPSMT" w:eastAsia="Times New Roman" w:hAnsi="TimesNewRomanPSMT" w:cs="TimesNewRomanPSMT"/>
                <w:sz w:val="16"/>
                <w:szCs w:val="16"/>
                <w:lang w:val="en-GB" w:eastAsia="en-US"/>
              </w:rPr>
              <w:t xml:space="preserve"> Effects on BMD: A Spine Fracture B, Hip Fracture B</w:t>
            </w:r>
          </w:p>
        </w:tc>
        <w:tc>
          <w:tcPr>
            <w:tcW w:w="1276" w:type="dxa"/>
            <w:tcBorders>
              <w:top w:val="nil"/>
              <w:left w:val="nil"/>
              <w:bottom w:val="nil"/>
              <w:right w:val="nil"/>
            </w:tcBorders>
            <w:shd w:val="clear" w:color="auto" w:fill="auto"/>
            <w:noWrap/>
            <w:vAlign w:val="bottom"/>
            <w:hideMark/>
          </w:tcPr>
          <w:p w14:paraId="34E58296" w14:textId="77777777" w:rsidR="00817A40" w:rsidRPr="00817A40" w:rsidRDefault="00817A40" w:rsidP="00817A40">
            <w:pPr>
              <w:spacing w:line="240" w:lineRule="auto"/>
              <w:jc w:val="center"/>
              <w:rPr>
                <w:rFonts w:ascii="TimesNewRomanPSMT" w:eastAsia="Times New Roman" w:hAnsi="TimesNewRomanPSMT" w:cs="TimesNewRomanPSMT"/>
                <w:sz w:val="16"/>
                <w:szCs w:val="16"/>
                <w:lang w:val="en-GB" w:eastAsia="en-US"/>
              </w:rPr>
            </w:pPr>
          </w:p>
        </w:tc>
        <w:tc>
          <w:tcPr>
            <w:tcW w:w="907" w:type="dxa"/>
            <w:tcBorders>
              <w:top w:val="nil"/>
              <w:left w:val="nil"/>
              <w:bottom w:val="nil"/>
              <w:right w:val="nil"/>
            </w:tcBorders>
            <w:shd w:val="clear" w:color="auto" w:fill="auto"/>
            <w:noWrap/>
            <w:vAlign w:val="bottom"/>
            <w:hideMark/>
          </w:tcPr>
          <w:p w14:paraId="63CF9719"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3CAD064D" w14:textId="77777777" w:rsidTr="00FA5CBF">
        <w:trPr>
          <w:trHeight w:val="1920"/>
        </w:trPr>
        <w:tc>
          <w:tcPr>
            <w:tcW w:w="1726" w:type="dxa"/>
            <w:tcBorders>
              <w:top w:val="nil"/>
              <w:left w:val="nil"/>
              <w:bottom w:val="single" w:sz="4" w:space="0" w:color="auto"/>
              <w:right w:val="nil"/>
            </w:tcBorders>
            <w:shd w:val="clear" w:color="auto" w:fill="auto"/>
            <w:noWrap/>
            <w:vAlign w:val="bottom"/>
            <w:hideMark/>
          </w:tcPr>
          <w:p w14:paraId="307973D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3E5D12F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13AE2345" w14:textId="77777777" w:rsidR="00817A40" w:rsidRPr="00FA5CBF" w:rsidRDefault="00817A40" w:rsidP="00FA5CBF">
            <w:pPr>
              <w:spacing w:line="240" w:lineRule="auto"/>
              <w:rPr>
                <w:rFonts w:ascii="Calibri" w:eastAsia="Times New Roman" w:hAnsi="Calibri" w:cs="Calibri"/>
                <w:sz w:val="16"/>
                <w:szCs w:val="16"/>
                <w:lang w:val="en-GB" w:eastAsia="en-US"/>
              </w:rPr>
            </w:pPr>
            <w:r w:rsidRPr="00FA5CBF">
              <w:rPr>
                <w:rFonts w:ascii="Calibri" w:eastAsia="Times New Roman" w:hAnsi="Calibri" w:cs="Calibri"/>
                <w:sz w:val="16"/>
                <w:szCs w:val="16"/>
                <w:lang w:val="en-GB" w:eastAsia="en-US"/>
              </w:rPr>
              <w:t xml:space="preserve">It may therefore be prudent to increase dietary calcium intake and use vitamin D alone, where the use of calcium and vitamin D supplementation might otherwise be considered. As a recent trial showed an increase in falls and fractures with annual high dose vitamin D (500,000 IU), more frequent administration with lower dose vitamin D should be considered. </w:t>
            </w:r>
          </w:p>
        </w:tc>
        <w:tc>
          <w:tcPr>
            <w:tcW w:w="3119" w:type="dxa"/>
            <w:tcBorders>
              <w:top w:val="nil"/>
              <w:left w:val="nil"/>
              <w:bottom w:val="single" w:sz="4" w:space="0" w:color="auto"/>
              <w:right w:val="nil"/>
            </w:tcBorders>
            <w:shd w:val="clear" w:color="auto" w:fill="auto"/>
            <w:noWrap/>
            <w:vAlign w:val="bottom"/>
            <w:hideMark/>
          </w:tcPr>
          <w:p w14:paraId="1A8BB9C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7D61D09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2C8D1D6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1500C28B" w14:textId="77777777" w:rsidTr="00FA5CBF">
        <w:trPr>
          <w:trHeight w:val="960"/>
        </w:trPr>
        <w:tc>
          <w:tcPr>
            <w:tcW w:w="1726" w:type="dxa"/>
            <w:tcBorders>
              <w:top w:val="nil"/>
              <w:left w:val="nil"/>
              <w:bottom w:val="nil"/>
              <w:right w:val="nil"/>
            </w:tcBorders>
            <w:shd w:val="clear" w:color="auto" w:fill="auto"/>
            <w:vAlign w:val="center"/>
            <w:hideMark/>
          </w:tcPr>
          <w:p w14:paraId="54D79FA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Nordic nutrition recommendations</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edition":"Kindle","editor":[{"dropping-particle":"","family":"Hursti","given":"UK","non-dropping-particle":"","parse-names":false,"suffix":""},{"dropping-particle":"","family":"Becker","given":"W","non-dropping-particle":"","parse-names":false,"suffix":""}],"id":"ITEM-1","issued":{"date-parts":[["2012"]]},"number-of-pages":"732","publisher":"Nordic Council of Ministers","title":"Nordic Nutrition Recommendations 2012: Integrating nutrition and physical activity","type":"book"},"uris":["http://www.mendeley.com/documents/?uuid=f2631149-cb39-4d2c-a3bf-5d5468a0f2df"]}],"mendeley":{"formattedCitation":"&lt;sup&gt;19&lt;/sup&gt;","plainTextFormattedCitation":"19","previouslyFormattedCitation":"&lt;sup&gt;19&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19</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bottom"/>
            <w:hideMark/>
          </w:tcPr>
          <w:p w14:paraId="6F15724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Nordic Nutrition Recommendations 2012: Int</w:t>
            </w:r>
            <w:r w:rsidR="00FA5CBF">
              <w:rPr>
                <w:rFonts w:ascii="Calibri" w:eastAsia="Times New Roman" w:hAnsi="Calibri" w:cs="Calibri"/>
                <w:sz w:val="16"/>
                <w:szCs w:val="16"/>
                <w:lang w:val="en-GB" w:eastAsia="en-US"/>
              </w:rPr>
              <w:t>egrating nutrition and physical</w:t>
            </w:r>
            <w:r w:rsidRPr="00817A40">
              <w:rPr>
                <w:rFonts w:ascii="Calibri" w:eastAsia="Times New Roman" w:hAnsi="Calibri" w:cs="Calibri"/>
                <w:sz w:val="16"/>
                <w:szCs w:val="16"/>
                <w:lang w:val="en-GB" w:eastAsia="en-US"/>
              </w:rPr>
              <w:t xml:space="preserve"> </w:t>
            </w:r>
            <w:r w:rsidR="00FA5CBF">
              <w:rPr>
                <w:rFonts w:ascii="Calibri" w:eastAsia="Times New Roman" w:hAnsi="Calibri" w:cs="Calibri"/>
                <w:sz w:val="16"/>
                <w:szCs w:val="16"/>
                <w:lang w:val="en-GB" w:eastAsia="en-US"/>
              </w:rPr>
              <w:t>activity</w:t>
            </w:r>
          </w:p>
        </w:tc>
        <w:tc>
          <w:tcPr>
            <w:tcW w:w="6438" w:type="dxa"/>
            <w:tcBorders>
              <w:top w:val="nil"/>
              <w:left w:val="nil"/>
              <w:bottom w:val="nil"/>
              <w:right w:val="nil"/>
            </w:tcBorders>
            <w:shd w:val="clear" w:color="auto" w:fill="auto"/>
            <w:vAlign w:val="center"/>
            <w:hideMark/>
          </w:tcPr>
          <w:p w14:paraId="24CF1EF6"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The NNR SR concluded that data from the reviewed SRs show that there is </w:t>
            </w:r>
            <w:r w:rsidRPr="00817A40">
              <w:rPr>
                <w:rFonts w:ascii="Calibri" w:eastAsia="Times New Roman" w:hAnsi="Calibri" w:cs="Calibri"/>
                <w:i/>
                <w:iCs/>
                <w:sz w:val="16"/>
                <w:szCs w:val="16"/>
                <w:lang w:val="en-GB" w:eastAsia="en-US"/>
              </w:rPr>
              <w:t xml:space="preserve">convincing </w:t>
            </w:r>
            <w:r w:rsidR="00FA5CBF">
              <w:rPr>
                <w:rFonts w:ascii="Calibri" w:eastAsia="Times New Roman" w:hAnsi="Calibri" w:cs="Calibri"/>
                <w:sz w:val="16"/>
                <w:szCs w:val="16"/>
                <w:lang w:val="en-GB" w:eastAsia="en-US"/>
              </w:rPr>
              <w:t>evidence of a protective eff</w:t>
            </w:r>
            <w:r w:rsidRPr="00817A40">
              <w:rPr>
                <w:rFonts w:ascii="Calibri" w:eastAsia="Times New Roman" w:hAnsi="Calibri" w:cs="Calibri"/>
                <w:sz w:val="16"/>
                <w:szCs w:val="16"/>
                <w:lang w:val="en-GB" w:eastAsia="en-US"/>
              </w:rPr>
              <w:t xml:space="preserve">ect of vitamin D on bone health, total mortality, and the risk of falling (38) </w:t>
            </w:r>
          </w:p>
        </w:tc>
        <w:tc>
          <w:tcPr>
            <w:tcW w:w="3119" w:type="dxa"/>
            <w:tcBorders>
              <w:top w:val="nil"/>
              <w:left w:val="nil"/>
              <w:bottom w:val="nil"/>
              <w:right w:val="nil"/>
            </w:tcBorders>
            <w:shd w:val="clear" w:color="auto" w:fill="auto"/>
            <w:noWrap/>
            <w:vAlign w:val="bottom"/>
            <w:hideMark/>
          </w:tcPr>
          <w:p w14:paraId="38E38A53"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0C3E6C85" w14:textId="77777777" w:rsidR="00817A40" w:rsidRPr="00817A40" w:rsidRDefault="00817A40" w:rsidP="00817A40">
            <w:pPr>
              <w:spacing w:line="240" w:lineRule="auto"/>
              <w:jc w:val="right"/>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1</w:t>
            </w:r>
          </w:p>
        </w:tc>
        <w:tc>
          <w:tcPr>
            <w:tcW w:w="907" w:type="dxa"/>
            <w:tcBorders>
              <w:top w:val="nil"/>
              <w:left w:val="nil"/>
              <w:bottom w:val="nil"/>
              <w:right w:val="nil"/>
            </w:tcBorders>
            <w:shd w:val="clear" w:color="auto" w:fill="auto"/>
            <w:noWrap/>
            <w:vAlign w:val="bottom"/>
            <w:hideMark/>
          </w:tcPr>
          <w:p w14:paraId="51D5E00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SR</w:t>
            </w:r>
          </w:p>
        </w:tc>
      </w:tr>
      <w:tr w:rsidR="00817A40" w:rsidRPr="001C4F18" w14:paraId="642756E5" w14:textId="77777777" w:rsidTr="00780344">
        <w:trPr>
          <w:trHeight w:val="1920"/>
        </w:trPr>
        <w:tc>
          <w:tcPr>
            <w:tcW w:w="1726" w:type="dxa"/>
            <w:tcBorders>
              <w:top w:val="nil"/>
              <w:left w:val="nil"/>
              <w:bottom w:val="nil"/>
              <w:right w:val="nil"/>
            </w:tcBorders>
            <w:shd w:val="clear" w:color="auto" w:fill="auto"/>
            <w:noWrap/>
            <w:vAlign w:val="bottom"/>
            <w:hideMark/>
          </w:tcPr>
          <w:p w14:paraId="5933F8FB"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2042" w:type="dxa"/>
            <w:tcBorders>
              <w:top w:val="nil"/>
              <w:left w:val="nil"/>
              <w:bottom w:val="nil"/>
              <w:right w:val="nil"/>
            </w:tcBorders>
            <w:shd w:val="clear" w:color="auto" w:fill="auto"/>
            <w:noWrap/>
            <w:vAlign w:val="bottom"/>
            <w:hideMark/>
          </w:tcPr>
          <w:p w14:paraId="39E38EA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bottom"/>
            <w:hideMark/>
          </w:tcPr>
          <w:p w14:paraId="69E44B7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For people with little or no sun exposure, an intake of 20 μg/d is recommended. For the elderly (&gt;75 years of age), an intake of 20 μg/d is recommended, and this is mainly to account for the more limited solar-induced vitamin D synthesis and th</w:t>
            </w:r>
            <w:r w:rsidR="00FA5CBF">
              <w:rPr>
                <w:rFonts w:ascii="Calibri" w:eastAsia="Times New Roman" w:hAnsi="Calibri" w:cs="Calibri"/>
                <w:sz w:val="16"/>
                <w:szCs w:val="16"/>
                <w:lang w:val="en-GB" w:eastAsia="en-US"/>
              </w:rPr>
              <w:t>e evidence for the protective eff</w:t>
            </w:r>
            <w:r w:rsidRPr="00817A40">
              <w:rPr>
                <w:rFonts w:ascii="Calibri" w:eastAsia="Times New Roman" w:hAnsi="Calibri" w:cs="Calibri"/>
                <w:sz w:val="16"/>
                <w:szCs w:val="16"/>
                <w:lang w:val="en-GB" w:eastAsia="en-US"/>
              </w:rPr>
              <w:t xml:space="preserve">ect of such an intake against mortality, fractures, and falls. </w:t>
            </w:r>
          </w:p>
        </w:tc>
        <w:tc>
          <w:tcPr>
            <w:tcW w:w="3119" w:type="dxa"/>
            <w:tcBorders>
              <w:top w:val="nil"/>
              <w:left w:val="nil"/>
              <w:bottom w:val="nil"/>
              <w:right w:val="nil"/>
            </w:tcBorders>
            <w:shd w:val="clear" w:color="auto" w:fill="auto"/>
            <w:noWrap/>
            <w:vAlign w:val="bottom"/>
            <w:hideMark/>
          </w:tcPr>
          <w:p w14:paraId="76313521"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58D025B4"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444347D4"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0CD88BD4" w14:textId="77777777" w:rsidTr="00780344">
        <w:trPr>
          <w:trHeight w:val="1600"/>
        </w:trPr>
        <w:tc>
          <w:tcPr>
            <w:tcW w:w="1726" w:type="dxa"/>
            <w:tcBorders>
              <w:top w:val="nil"/>
              <w:left w:val="nil"/>
              <w:bottom w:val="single" w:sz="4" w:space="0" w:color="auto"/>
              <w:right w:val="nil"/>
            </w:tcBorders>
            <w:shd w:val="clear" w:color="auto" w:fill="auto"/>
            <w:noWrap/>
            <w:vAlign w:val="bottom"/>
            <w:hideMark/>
          </w:tcPr>
          <w:p w14:paraId="543D88F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57BBB27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bottom"/>
            <w:hideMark/>
          </w:tcPr>
          <w:p w14:paraId="56BB219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NNR SR (38) concluded that vitamin D supplementation during pregnancy improved vitamin D status as measured by serum 25OHD concentrations at term (39, 9</w:t>
            </w:r>
            <w:r w:rsidR="00FA5CBF">
              <w:rPr>
                <w:rFonts w:ascii="Calibri" w:eastAsia="Times New Roman" w:hAnsi="Calibri" w:cs="Calibri"/>
                <w:sz w:val="16"/>
                <w:szCs w:val="16"/>
                <w:lang w:val="en-GB" w:eastAsia="en-US"/>
              </w:rPr>
              <w:t>4). However, the clinical signifi</w:t>
            </w:r>
            <w:r w:rsidRPr="00817A40">
              <w:rPr>
                <w:rFonts w:ascii="Calibri" w:eastAsia="Times New Roman" w:hAnsi="Calibri" w:cs="Calibri"/>
                <w:sz w:val="16"/>
                <w:szCs w:val="16"/>
                <w:lang w:val="en-GB" w:eastAsia="en-US"/>
              </w:rPr>
              <w:t xml:space="preserve">cance of this remains uncertain. Data on health outcomes are </w:t>
            </w:r>
            <w:r w:rsidRPr="00817A40">
              <w:rPr>
                <w:rFonts w:ascii="Calibri" w:eastAsia="Times New Roman" w:hAnsi="Calibri" w:cs="Calibri"/>
                <w:i/>
                <w:iCs/>
                <w:sz w:val="16"/>
                <w:szCs w:val="16"/>
                <w:lang w:val="en-GB" w:eastAsia="en-US"/>
              </w:rPr>
              <w:t>limited and inconclusive</w:t>
            </w:r>
            <w:r w:rsidRPr="00817A40">
              <w:rPr>
                <w:rFonts w:ascii="Calibri" w:eastAsia="Times New Roman" w:hAnsi="Calibri" w:cs="Calibri"/>
                <w:sz w:val="16"/>
                <w:szCs w:val="16"/>
                <w:lang w:val="en-GB" w:eastAsia="en-US"/>
              </w:rPr>
              <w:t xml:space="preserve">. </w:t>
            </w:r>
          </w:p>
        </w:tc>
        <w:tc>
          <w:tcPr>
            <w:tcW w:w="3119" w:type="dxa"/>
            <w:tcBorders>
              <w:top w:val="nil"/>
              <w:left w:val="nil"/>
              <w:bottom w:val="single" w:sz="4" w:space="0" w:color="auto"/>
              <w:right w:val="nil"/>
            </w:tcBorders>
            <w:shd w:val="clear" w:color="auto" w:fill="auto"/>
            <w:noWrap/>
            <w:vAlign w:val="bottom"/>
            <w:hideMark/>
          </w:tcPr>
          <w:p w14:paraId="6403FF2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085FA96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58F3678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0E0BEDF7" w14:textId="77777777" w:rsidTr="00FA5CBF">
        <w:trPr>
          <w:trHeight w:val="1600"/>
        </w:trPr>
        <w:tc>
          <w:tcPr>
            <w:tcW w:w="1726" w:type="dxa"/>
            <w:tcBorders>
              <w:top w:val="nil"/>
              <w:left w:val="nil"/>
              <w:bottom w:val="nil"/>
              <w:right w:val="nil"/>
            </w:tcBorders>
            <w:shd w:val="clear" w:color="auto" w:fill="auto"/>
            <w:vAlign w:val="center"/>
            <w:hideMark/>
          </w:tcPr>
          <w:p w14:paraId="6A79044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Osteoporosis Canada</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{"citationItems":[{"id":"ITEM-1","itemData":{"DOI":"cmaj.091062 [pii]\r10.1503/cmaj.091062 [doi]","ISBN":"1488-2329 (Electronic)\r0820-3946 (Linking)","PMID":"20624865","author":[{"dropping-particle":"","family":"Hanley","given":"D A","non-dropping-particle":"","parse-names":false,"suffix":""},{"dropping-particle":"","family":"Cranney","given":"A","non-dropping-particle":"","parse-names":false,"suffix":""},{"dropping-particle":"","family":"Jones","given":"G","non-dropping-particle":"","parse-names":false,"suffix":""},{"dropping-particle":"","family":"Whiting","given":"S J","non-dropping-particle":"","parse-names":false,"suffix":""},{"dropping-particle":"","family":"Leslie","given":"W D","non-dropping-particle":"","parse-names":false,"suffix":""},{"dropping-particle":"","family":"Guidelines Committee of the Scientific Advisory Council of Osteoporosis","given":"Canada","non-dropping-particle":"","parse-names":false,"suffix":""}],"container-title":"CMAJ","edition":"2010/07/14","id":"ITEM-1","issue":"12","issued":{"date-parts":[["2010"]]},"language":"eng","note":"Hanley, David A\nCranney, Ann\nJones, Glenville\nWhiting, Susan J\nLeslie, William D\nPractice Guideline\nResearch Support, Non-U.S. Gov't\nReview\nCanada\nCMAJ : Canadian Medical Association journal = journal de l'Association medicale canadienne\nCMAJ. 2010 Sep 7;182(12):1315-9. doi: 10.1503/cmaj.091062. Epub 2010 Jul 12.","page":"1315-1319","title":"Vitamin D in adult health and disease: a review and guideline statement from Osteoporosis Canada (summary)","type":"article-journal","volume":"182"},"uris":["http://www.mendeley.com/documents/?uuid=edd1db28-0faf-4135-842d-9d190fdd354f"]}],"mendeley":{"formattedCitation":"&lt;sup&gt;20&lt;/sup&gt;","plainTextFormattedCitation":"20","previouslyFormattedCitation":"&lt;sup&gt;20&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20</w:t>
            </w:r>
            <w:r w:rsidR="00122A2E">
              <w:rPr>
                <w:rFonts w:ascii="Calibri" w:eastAsia="Times New Roman" w:hAnsi="Calibri" w:cs="Calibri"/>
                <w:sz w:val="16"/>
                <w:szCs w:val="16"/>
                <w:lang w:val="en-GB" w:eastAsia="en-US"/>
              </w:rPr>
              <w:fldChar w:fldCharType="end"/>
            </w:r>
            <w:r w:rsidR="00122A2E">
              <w:rPr>
                <w:rFonts w:ascii="Calibri" w:eastAsia="Times New Roman" w:hAnsi="Calibri" w:cs="Calibri"/>
                <w:sz w:val="16"/>
                <w:szCs w:val="16"/>
                <w:lang w:val="en-GB" w:eastAsia="en-US"/>
              </w:rPr>
              <w:t xml:space="preserve"> </w:t>
            </w:r>
          </w:p>
        </w:tc>
        <w:tc>
          <w:tcPr>
            <w:tcW w:w="2042" w:type="dxa"/>
            <w:tcBorders>
              <w:top w:val="nil"/>
              <w:left w:val="nil"/>
              <w:bottom w:val="nil"/>
              <w:right w:val="nil"/>
            </w:tcBorders>
            <w:shd w:val="clear" w:color="auto" w:fill="auto"/>
            <w:vAlign w:val="center"/>
            <w:hideMark/>
          </w:tcPr>
          <w:p w14:paraId="3FA6F85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in adult health and disease: a review and guideline statement from Osteoporosis Canada</w:t>
            </w:r>
          </w:p>
        </w:tc>
        <w:tc>
          <w:tcPr>
            <w:tcW w:w="6438" w:type="dxa"/>
            <w:tcBorders>
              <w:top w:val="nil"/>
              <w:left w:val="nil"/>
              <w:bottom w:val="nil"/>
              <w:right w:val="nil"/>
            </w:tcBorders>
            <w:shd w:val="clear" w:color="auto" w:fill="auto"/>
            <w:vAlign w:val="center"/>
            <w:hideMark/>
          </w:tcPr>
          <w:p w14:paraId="0391A01C"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In healthy adults at low risk for vitamin D deficiency (i.e., under age 50, without osteoporosis or conditions affecting vitamin D absorption or action), routine vitamin D supplementation (10–25 μg [400–1000 IU] daily) is recommended. Serum 25-hydroxyvitamin D should not be measured </w:t>
            </w:r>
          </w:p>
        </w:tc>
        <w:tc>
          <w:tcPr>
            <w:tcW w:w="3119" w:type="dxa"/>
            <w:tcBorders>
              <w:top w:val="nil"/>
              <w:left w:val="nil"/>
              <w:bottom w:val="nil"/>
              <w:right w:val="nil"/>
            </w:tcBorders>
            <w:shd w:val="clear" w:color="auto" w:fill="auto"/>
            <w:vAlign w:val="center"/>
            <w:hideMark/>
          </w:tcPr>
          <w:p w14:paraId="04B813BD"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(level 5 evidence, grade D recommendation). </w:t>
            </w:r>
          </w:p>
        </w:tc>
        <w:tc>
          <w:tcPr>
            <w:tcW w:w="1276" w:type="dxa"/>
            <w:tcBorders>
              <w:top w:val="nil"/>
              <w:left w:val="nil"/>
              <w:bottom w:val="nil"/>
              <w:right w:val="nil"/>
            </w:tcBorders>
            <w:shd w:val="clear" w:color="auto" w:fill="auto"/>
            <w:noWrap/>
            <w:vAlign w:val="bottom"/>
            <w:hideMark/>
          </w:tcPr>
          <w:p w14:paraId="24D9EAA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570C4DA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550139D0" w14:textId="77777777" w:rsidTr="00FA5CBF">
        <w:trPr>
          <w:trHeight w:val="1920"/>
        </w:trPr>
        <w:tc>
          <w:tcPr>
            <w:tcW w:w="1726" w:type="dxa"/>
            <w:tcBorders>
              <w:top w:val="nil"/>
              <w:left w:val="nil"/>
              <w:bottom w:val="nil"/>
              <w:right w:val="nil"/>
            </w:tcBorders>
            <w:shd w:val="clear" w:color="auto" w:fill="auto"/>
            <w:noWrap/>
            <w:vAlign w:val="bottom"/>
            <w:hideMark/>
          </w:tcPr>
          <w:p w14:paraId="7AB4DE9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07CC3A19"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40DD92A5"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Adults over 50 years of age are at moderate risk for vitamin D deficiency. Supplementation with at least 20–25 μg (800–1000 IU) of vitamin D3 daily is recommended. To achieve optimal vitamin D status (&gt; 75 nmol/L), many individuals may require supplementation at greater than 25 μg (1000 IU) daily. Doses up to 50 μg (2000 IU) are safe and do not require monitoring </w:t>
            </w:r>
          </w:p>
        </w:tc>
        <w:tc>
          <w:tcPr>
            <w:tcW w:w="3119" w:type="dxa"/>
            <w:tcBorders>
              <w:top w:val="nil"/>
              <w:left w:val="nil"/>
              <w:bottom w:val="nil"/>
              <w:right w:val="nil"/>
            </w:tcBorders>
            <w:shd w:val="clear" w:color="auto" w:fill="auto"/>
            <w:vAlign w:val="center"/>
            <w:hideMark/>
          </w:tcPr>
          <w:p w14:paraId="0F4F9B5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(level 3 evidence, grade C recommendation). </w:t>
            </w:r>
          </w:p>
        </w:tc>
        <w:tc>
          <w:tcPr>
            <w:tcW w:w="1276" w:type="dxa"/>
            <w:tcBorders>
              <w:top w:val="nil"/>
              <w:left w:val="nil"/>
              <w:bottom w:val="nil"/>
              <w:right w:val="nil"/>
            </w:tcBorders>
            <w:shd w:val="clear" w:color="auto" w:fill="auto"/>
            <w:noWrap/>
            <w:vAlign w:val="bottom"/>
            <w:hideMark/>
          </w:tcPr>
          <w:p w14:paraId="7C05F79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0BF87084"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50372068" w14:textId="77777777" w:rsidTr="00FA5CBF">
        <w:trPr>
          <w:trHeight w:val="960"/>
        </w:trPr>
        <w:tc>
          <w:tcPr>
            <w:tcW w:w="1726" w:type="dxa"/>
            <w:tcBorders>
              <w:top w:val="nil"/>
              <w:left w:val="nil"/>
              <w:bottom w:val="single" w:sz="4" w:space="0" w:color="auto"/>
              <w:right w:val="nil"/>
            </w:tcBorders>
            <w:shd w:val="clear" w:color="auto" w:fill="auto"/>
            <w:noWrap/>
            <w:vAlign w:val="bottom"/>
            <w:hideMark/>
          </w:tcPr>
          <w:p w14:paraId="2B13D3C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32B1474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56072BAE"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Exposure to natural </w:t>
            </w:r>
            <w:r w:rsidR="00FA5CBF" w:rsidRPr="00817A40">
              <w:rPr>
                <w:rFonts w:ascii="Calibri" w:eastAsia="Times New Roman" w:hAnsi="Calibri" w:cs="Calibri"/>
                <w:sz w:val="16"/>
                <w:szCs w:val="16"/>
                <w:lang w:val="en-GB" w:eastAsia="en-US"/>
              </w:rPr>
              <w:t>sunlight,</w:t>
            </w:r>
            <w:r w:rsidRPr="00817A40">
              <w:rPr>
                <w:rFonts w:ascii="Calibri" w:eastAsia="Times New Roman" w:hAnsi="Calibri" w:cs="Calibri"/>
                <w:sz w:val="16"/>
                <w:szCs w:val="16"/>
                <w:lang w:val="en-GB" w:eastAsia="en-US"/>
              </w:rPr>
              <w:t xml:space="preserve"> when used in moderation (avoiding sunburn) and individualized to the person’s skin type, can contribute to summertime vitamin D sufficiency  </w:t>
            </w:r>
          </w:p>
        </w:tc>
        <w:tc>
          <w:tcPr>
            <w:tcW w:w="3119" w:type="dxa"/>
            <w:tcBorders>
              <w:top w:val="nil"/>
              <w:left w:val="nil"/>
              <w:bottom w:val="single" w:sz="4" w:space="0" w:color="auto"/>
              <w:right w:val="nil"/>
            </w:tcBorders>
            <w:shd w:val="clear" w:color="auto" w:fill="auto"/>
            <w:vAlign w:val="center"/>
            <w:hideMark/>
          </w:tcPr>
          <w:p w14:paraId="6C238C59"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(level 2 evidence, grade B recommendation).</w:t>
            </w:r>
          </w:p>
        </w:tc>
        <w:tc>
          <w:tcPr>
            <w:tcW w:w="1276" w:type="dxa"/>
            <w:tcBorders>
              <w:top w:val="nil"/>
              <w:left w:val="nil"/>
              <w:bottom w:val="single" w:sz="4" w:space="0" w:color="auto"/>
              <w:right w:val="nil"/>
            </w:tcBorders>
            <w:shd w:val="clear" w:color="auto" w:fill="auto"/>
            <w:noWrap/>
            <w:vAlign w:val="bottom"/>
            <w:hideMark/>
          </w:tcPr>
          <w:p w14:paraId="2ACC1FE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73EFC3C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38D271D6" w14:textId="77777777" w:rsidTr="00FA5CBF">
        <w:trPr>
          <w:trHeight w:val="960"/>
        </w:trPr>
        <w:tc>
          <w:tcPr>
            <w:tcW w:w="1726" w:type="dxa"/>
            <w:tcBorders>
              <w:top w:val="nil"/>
              <w:left w:val="nil"/>
              <w:bottom w:val="nil"/>
              <w:right w:val="nil"/>
            </w:tcBorders>
            <w:shd w:val="clear" w:color="auto" w:fill="auto"/>
            <w:vAlign w:val="center"/>
            <w:hideMark/>
          </w:tcPr>
          <w:p w14:paraId="6DE311B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Program of Preventive activities in Primary Care (PAPPS)</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{"citationItems":[{"id":"ITEM-1","itemData":{"ISSN":"0212-6567","author":[{"dropping-particle":"","family":"García-Franco","given":"Alberto López","non-dropping-particle":"","parse-names":false,"suffix":""},{"dropping-particle":"","family":"Mir","given":"Lorenzo Arribas","non-dropping-particle":"","parse-names":false,"suffix":""},{"dropping-particle":"","family":"Cura González","given":"Isabel","non-dropping-particle":"del","parse-names":false,"suffix":""},{"dropping-particle":"","family":"Muñoz","given":"Emilia Bailón","non-dropping-particle":"","parse-names":false,"suffix":""},{"dropping-particle":"","family":"Piñeiro","given":"M José Iglesias","non-dropping-particle":"","parse-names":false,"suffix":""},{"dropping-particle":"","family":"Teira","given":"Blanca Gutiérrez","non-dropping-particle":"","parse-names":false,"suffix":""},{"dropping-particle":"","family":"Goñi","given":"Jacinta Landa","non-dropping-particle":"","parse-names":false,"suffix":""},{"dropping-particle":"","family":"Solsona","given":"Julia Ojuel","non-dropping-particle":"","parse-names":false,"suffix":""},{"dropping-particle":"","family":"Pujol","given":"Mercè Fuentes","non-dropping-particle":"","parse-names":false,"suffix":""},{"dropping-particle":"","family":"Coello","given":"Pablo Alonso","non-dropping-particle":"","parse-names":false,"suffix":""}],"container-title":"Atención Primaria","id":"ITEM-1","issued":{"date-parts":[["2014"]]},"page":"82-98","publisher":"Elsevier","title":"Actividades preventivas en la mujer","type":"article-journal","volume":"46"},"uris":["http://www.mendeley.com/documents/?uuid=1a29941f-be3f-41fb-92d2-728a955c802f"]}],"mendeley":{"formattedCitation":"&lt;sup&gt;21&lt;/sup&gt;","plainTextFormattedCitation":"21","previouslyFormattedCitation":"&lt;sup&gt;21&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21</w:t>
            </w:r>
            <w:r w:rsidR="00122A2E">
              <w:rPr>
                <w:rFonts w:ascii="Calibri" w:eastAsia="Times New Roman" w:hAnsi="Calibri" w:cs="Calibri"/>
                <w:sz w:val="16"/>
                <w:szCs w:val="16"/>
                <w:lang w:val="en-GB" w:eastAsia="en-US"/>
              </w:rPr>
              <w:fldChar w:fldCharType="end"/>
            </w:r>
            <w:r w:rsidR="0065536F">
              <w:rPr>
                <w:rFonts w:ascii="Calibri" w:eastAsia="Times New Roman" w:hAnsi="Calibri" w:cs="Calibri"/>
                <w:sz w:val="16"/>
                <w:szCs w:val="16"/>
                <w:lang w:val="en-GB" w:eastAsia="en-US"/>
              </w:rPr>
              <w:t xml:space="preserve"> Spanish Family Medicine Society</w:t>
            </w:r>
          </w:p>
        </w:tc>
        <w:tc>
          <w:tcPr>
            <w:tcW w:w="2042" w:type="dxa"/>
            <w:tcBorders>
              <w:top w:val="nil"/>
              <w:left w:val="nil"/>
              <w:bottom w:val="nil"/>
              <w:right w:val="nil"/>
            </w:tcBorders>
            <w:shd w:val="clear" w:color="auto" w:fill="auto"/>
            <w:noWrap/>
            <w:vAlign w:val="center"/>
            <w:hideMark/>
          </w:tcPr>
          <w:p w14:paraId="3B2B94D0" w14:textId="77777777" w:rsidR="00817A40" w:rsidRPr="00866B0A" w:rsidRDefault="00817A40" w:rsidP="00FA5CBF">
            <w:pPr>
              <w:spacing w:line="240" w:lineRule="auto"/>
              <w:rPr>
                <w:rFonts w:ascii="Calibri" w:eastAsia="Times New Roman" w:hAnsi="Calibri" w:cs="Calibri"/>
                <w:sz w:val="16"/>
                <w:szCs w:val="16"/>
                <w:lang w:eastAsia="en-US"/>
              </w:rPr>
            </w:pPr>
            <w:r w:rsidRPr="00817A40">
              <w:rPr>
                <w:rFonts w:ascii="Calibri" w:eastAsia="Times New Roman" w:hAnsi="Calibri" w:cs="Calibri"/>
                <w:sz w:val="16"/>
                <w:szCs w:val="16"/>
                <w:lang w:val="en-GB" w:eastAsia="en-US"/>
              </w:rPr>
              <w:t> </w:t>
            </w:r>
            <w:r w:rsidR="00FA5CBF" w:rsidRPr="00866B0A">
              <w:rPr>
                <w:rFonts w:ascii="Calibri" w:eastAsia="Times New Roman" w:hAnsi="Calibri" w:cs="Calibri"/>
                <w:sz w:val="16"/>
                <w:szCs w:val="16"/>
                <w:lang w:eastAsia="en-US"/>
              </w:rPr>
              <w:t>Actividades preventivas en la mujer</w:t>
            </w:r>
          </w:p>
        </w:tc>
        <w:tc>
          <w:tcPr>
            <w:tcW w:w="6438" w:type="dxa"/>
            <w:tcBorders>
              <w:top w:val="nil"/>
              <w:left w:val="nil"/>
              <w:bottom w:val="nil"/>
              <w:right w:val="nil"/>
            </w:tcBorders>
            <w:shd w:val="clear" w:color="auto" w:fill="auto"/>
            <w:vAlign w:val="center"/>
            <w:hideMark/>
          </w:tcPr>
          <w:p w14:paraId="11F8C8CE" w14:textId="77777777" w:rsidR="00817A40" w:rsidRPr="00817A40" w:rsidRDefault="00817A40" w:rsidP="00FA5CBF">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intake must be equivalent to 800-1000 UI/day either coming from diet or supplements with a daily, weekly or monthly dose.</w:t>
            </w:r>
          </w:p>
        </w:tc>
        <w:tc>
          <w:tcPr>
            <w:tcW w:w="3119" w:type="dxa"/>
            <w:tcBorders>
              <w:top w:val="nil"/>
              <w:left w:val="nil"/>
              <w:bottom w:val="nil"/>
              <w:right w:val="nil"/>
            </w:tcBorders>
            <w:shd w:val="clear" w:color="auto" w:fill="auto"/>
            <w:noWrap/>
            <w:vAlign w:val="bottom"/>
            <w:hideMark/>
          </w:tcPr>
          <w:p w14:paraId="103C472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nil"/>
              <w:right w:val="nil"/>
            </w:tcBorders>
            <w:shd w:val="clear" w:color="auto" w:fill="auto"/>
            <w:noWrap/>
            <w:vAlign w:val="bottom"/>
            <w:hideMark/>
          </w:tcPr>
          <w:p w14:paraId="73816A9E" w14:textId="77777777" w:rsidR="00817A40" w:rsidRPr="00817A40" w:rsidRDefault="00817A40" w:rsidP="00817A40">
            <w:pPr>
              <w:spacing w:line="240" w:lineRule="auto"/>
              <w:jc w:val="right"/>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3</w:t>
            </w:r>
          </w:p>
        </w:tc>
        <w:tc>
          <w:tcPr>
            <w:tcW w:w="907" w:type="dxa"/>
            <w:tcBorders>
              <w:top w:val="nil"/>
              <w:left w:val="nil"/>
              <w:bottom w:val="nil"/>
              <w:right w:val="nil"/>
            </w:tcBorders>
            <w:shd w:val="clear" w:color="auto" w:fill="auto"/>
            <w:noWrap/>
            <w:vAlign w:val="bottom"/>
            <w:hideMark/>
          </w:tcPr>
          <w:p w14:paraId="46E420F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Other</w:t>
            </w:r>
          </w:p>
        </w:tc>
      </w:tr>
      <w:tr w:rsidR="00817A40" w:rsidRPr="001C4F18" w14:paraId="27B12B2A" w14:textId="77777777" w:rsidTr="00780344">
        <w:trPr>
          <w:trHeight w:val="640"/>
        </w:trPr>
        <w:tc>
          <w:tcPr>
            <w:tcW w:w="1726" w:type="dxa"/>
            <w:tcBorders>
              <w:top w:val="nil"/>
              <w:left w:val="nil"/>
              <w:bottom w:val="single" w:sz="4" w:space="0" w:color="auto"/>
              <w:right w:val="nil"/>
            </w:tcBorders>
            <w:shd w:val="clear" w:color="auto" w:fill="auto"/>
            <w:noWrap/>
            <w:vAlign w:val="bottom"/>
            <w:hideMark/>
          </w:tcPr>
          <w:p w14:paraId="7C65F61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6E9F621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bottom"/>
            <w:hideMark/>
          </w:tcPr>
          <w:p w14:paraId="7382148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We recommend supplementation of Vitamin </w:t>
            </w:r>
            <w:r w:rsidR="00FA5CBF" w:rsidRPr="00817A40">
              <w:rPr>
                <w:rFonts w:ascii="Calibri" w:eastAsia="Times New Roman" w:hAnsi="Calibri" w:cs="Calibri"/>
                <w:sz w:val="16"/>
                <w:szCs w:val="16"/>
                <w:lang w:val="en-GB" w:eastAsia="en-US"/>
              </w:rPr>
              <w:t>D (</w:t>
            </w:r>
            <w:r w:rsidRPr="00817A40">
              <w:rPr>
                <w:rFonts w:ascii="Calibri" w:eastAsia="Times New Roman" w:hAnsi="Calibri" w:cs="Calibri"/>
                <w:sz w:val="16"/>
                <w:szCs w:val="16"/>
                <w:lang w:val="en-GB" w:eastAsia="en-US"/>
              </w:rPr>
              <w:t>800‐1.000 UI/day) in patients older than 65 years old with vitamin D deficit.</w:t>
            </w:r>
          </w:p>
        </w:tc>
        <w:tc>
          <w:tcPr>
            <w:tcW w:w="3119" w:type="dxa"/>
            <w:tcBorders>
              <w:top w:val="nil"/>
              <w:left w:val="nil"/>
              <w:bottom w:val="single" w:sz="4" w:space="0" w:color="auto"/>
              <w:right w:val="nil"/>
            </w:tcBorders>
            <w:shd w:val="clear" w:color="auto" w:fill="auto"/>
            <w:noWrap/>
            <w:vAlign w:val="bottom"/>
            <w:hideMark/>
          </w:tcPr>
          <w:p w14:paraId="605B07C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1F45BA0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50FD7CF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02418E6C" w14:textId="77777777" w:rsidTr="001952F3">
        <w:trPr>
          <w:trHeight w:val="1040"/>
        </w:trPr>
        <w:tc>
          <w:tcPr>
            <w:tcW w:w="1726" w:type="dxa"/>
            <w:tcBorders>
              <w:top w:val="nil"/>
              <w:left w:val="nil"/>
              <w:bottom w:val="nil"/>
              <w:right w:val="nil"/>
            </w:tcBorders>
            <w:shd w:val="clear" w:color="auto" w:fill="auto"/>
            <w:vAlign w:val="center"/>
            <w:hideMark/>
          </w:tcPr>
          <w:p w14:paraId="52D1ACA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Royal Australian College of General Practitioners</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{"citationItems":[{"id":"ITEM-1","itemData":{"author":[{"dropping-particle":"","family":"The Royal Australian College of General Practitioners","given":"","non-dropping-particle":"","parse-names":false,"suffix":""}],"id":"ITEM-1","issued":{"date-parts":[["2010"]]},"title":"Clinical guideline for the prevention and treatment of osteoporosis in postmenopausal women and older men","type":"article-journal"},"uris":["http://www.mendeley.com/documents/?uuid=7b6c4e53-8748-45b5-8581-27fc76a0392b"]}],"mendeley":{"formattedCitation":"&lt;sup&gt;22&lt;/sup&gt;","plainTextFormattedCitation":"22","previouslyFormattedCitation":"&lt;sup&gt;22&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22</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50D90D3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Clinical guideline for the prevention and treatment of osteoporosis in postmenopausal women and older men and treatment of osteoporosis in postmenopausal women and older men </w:t>
            </w:r>
          </w:p>
        </w:tc>
        <w:tc>
          <w:tcPr>
            <w:tcW w:w="6438" w:type="dxa"/>
            <w:tcBorders>
              <w:top w:val="nil"/>
              <w:left w:val="nil"/>
              <w:bottom w:val="nil"/>
              <w:right w:val="nil"/>
            </w:tcBorders>
            <w:shd w:val="clear" w:color="auto" w:fill="auto"/>
            <w:vAlign w:val="center"/>
            <w:hideMark/>
          </w:tcPr>
          <w:p w14:paraId="31DD81BA"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 </w:t>
            </w:r>
            <w:r w:rsidR="001952F3">
              <w:rPr>
                <w:rFonts w:ascii="Calibri" w:eastAsia="Times New Roman" w:hAnsi="Calibri" w:cs="Calibri"/>
                <w:sz w:val="16"/>
                <w:szCs w:val="16"/>
                <w:lang w:val="en-GB" w:eastAsia="en-US"/>
              </w:rPr>
              <w:t xml:space="preserve">Dietary Calcium </w:t>
            </w:r>
            <w:r w:rsidRPr="00817A40">
              <w:rPr>
                <w:rFonts w:ascii="Calibri" w:eastAsia="Times New Roman" w:hAnsi="Calibri" w:cs="Calibri"/>
                <w:sz w:val="16"/>
                <w:szCs w:val="16"/>
                <w:lang w:val="en-GB" w:eastAsia="en-US"/>
              </w:rPr>
              <w:t xml:space="preserve">(Grade </w:t>
            </w:r>
            <w:r w:rsidR="00FA5CBF" w:rsidRPr="00817A40">
              <w:rPr>
                <w:rFonts w:ascii="Calibri" w:eastAsia="Times New Roman" w:hAnsi="Calibri" w:cs="Calibri"/>
                <w:sz w:val="16"/>
                <w:szCs w:val="16"/>
                <w:lang w:val="en-GB" w:eastAsia="en-US"/>
              </w:rPr>
              <w:t>A) General</w:t>
            </w:r>
            <w:r w:rsidRPr="00817A40">
              <w:rPr>
                <w:rFonts w:ascii="Calibri" w:eastAsia="Times New Roman" w:hAnsi="Calibri" w:cs="Calibri"/>
                <w:sz w:val="16"/>
                <w:szCs w:val="16"/>
                <w:lang w:val="en-GB" w:eastAsia="en-US"/>
              </w:rPr>
              <w:t xml:space="preserve"> practitioners should recommend that postmenopausal women and older men maintain a diet high in calcium to meet the Australian recommended dietary intake. </w:t>
            </w:r>
          </w:p>
        </w:tc>
        <w:tc>
          <w:tcPr>
            <w:tcW w:w="3119" w:type="dxa"/>
            <w:tcBorders>
              <w:top w:val="nil"/>
              <w:left w:val="nil"/>
              <w:bottom w:val="nil"/>
              <w:right w:val="nil"/>
            </w:tcBorders>
            <w:shd w:val="clear" w:color="auto" w:fill="auto"/>
            <w:vAlign w:val="center"/>
            <w:hideMark/>
          </w:tcPr>
          <w:p w14:paraId="19C688A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Grade A</w:t>
            </w:r>
          </w:p>
        </w:tc>
        <w:tc>
          <w:tcPr>
            <w:tcW w:w="1276" w:type="dxa"/>
            <w:tcBorders>
              <w:top w:val="nil"/>
              <w:left w:val="nil"/>
              <w:bottom w:val="nil"/>
              <w:right w:val="nil"/>
            </w:tcBorders>
            <w:shd w:val="clear" w:color="auto" w:fill="auto"/>
            <w:noWrap/>
            <w:vAlign w:val="bottom"/>
            <w:hideMark/>
          </w:tcPr>
          <w:p w14:paraId="7074239C"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32870E6F"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5E3EA0FA" w14:textId="77777777" w:rsidTr="001952F3">
        <w:trPr>
          <w:trHeight w:val="1260"/>
        </w:trPr>
        <w:tc>
          <w:tcPr>
            <w:tcW w:w="1726" w:type="dxa"/>
            <w:tcBorders>
              <w:top w:val="nil"/>
              <w:left w:val="nil"/>
              <w:bottom w:val="nil"/>
              <w:right w:val="nil"/>
            </w:tcBorders>
            <w:shd w:val="clear" w:color="auto" w:fill="auto"/>
            <w:noWrap/>
            <w:vAlign w:val="bottom"/>
            <w:hideMark/>
          </w:tcPr>
          <w:p w14:paraId="28016D6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59CEA351"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675C5348"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General practitioners should recommend the following important lifestyle choices for all postmenopausal women and older men: adequate but safe exposure to sunlight as a source of vitamin D </w:t>
            </w:r>
          </w:p>
        </w:tc>
        <w:tc>
          <w:tcPr>
            <w:tcW w:w="3119" w:type="dxa"/>
            <w:tcBorders>
              <w:top w:val="nil"/>
              <w:left w:val="nil"/>
              <w:bottom w:val="nil"/>
              <w:right w:val="nil"/>
            </w:tcBorders>
            <w:shd w:val="clear" w:color="auto" w:fill="auto"/>
            <w:vAlign w:val="center"/>
            <w:hideMark/>
          </w:tcPr>
          <w:p w14:paraId="5BF3F0D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Grade D consensus</w:t>
            </w:r>
          </w:p>
        </w:tc>
        <w:tc>
          <w:tcPr>
            <w:tcW w:w="1276" w:type="dxa"/>
            <w:tcBorders>
              <w:top w:val="nil"/>
              <w:left w:val="nil"/>
              <w:bottom w:val="nil"/>
              <w:right w:val="nil"/>
            </w:tcBorders>
            <w:shd w:val="clear" w:color="auto" w:fill="auto"/>
            <w:noWrap/>
            <w:vAlign w:val="bottom"/>
            <w:hideMark/>
          </w:tcPr>
          <w:p w14:paraId="386B0900"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7D4514DF"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1D18EEAF" w14:textId="77777777" w:rsidTr="001952F3">
        <w:trPr>
          <w:trHeight w:val="2240"/>
        </w:trPr>
        <w:tc>
          <w:tcPr>
            <w:tcW w:w="1726" w:type="dxa"/>
            <w:tcBorders>
              <w:top w:val="nil"/>
              <w:left w:val="nil"/>
              <w:bottom w:val="single" w:sz="4" w:space="0" w:color="auto"/>
              <w:right w:val="nil"/>
            </w:tcBorders>
            <w:shd w:val="clear" w:color="auto" w:fill="auto"/>
            <w:noWrap/>
            <w:vAlign w:val="bottom"/>
            <w:hideMark/>
          </w:tcPr>
          <w:p w14:paraId="23B27B4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113102B5" w14:textId="77777777" w:rsidR="00817A40" w:rsidRPr="00817A40" w:rsidRDefault="00817A40" w:rsidP="00817A40">
            <w:pPr>
              <w:spacing w:line="240" w:lineRule="auto"/>
              <w:rPr>
                <w:rFonts w:ascii="FrutigerLT" w:eastAsia="Times New Roman" w:hAnsi="FrutigerLT" w:cs="Calibri"/>
                <w:b/>
                <w:bCs/>
                <w:color w:val="001E8E"/>
                <w:sz w:val="16"/>
                <w:szCs w:val="16"/>
                <w:lang w:val="en-GB" w:eastAsia="en-US"/>
              </w:rPr>
            </w:pPr>
            <w:r w:rsidRPr="00817A40">
              <w:rPr>
                <w:rFonts w:ascii="FrutigerLT" w:eastAsia="Times New Roman" w:hAnsi="FrutigerLT" w:cs="Calibri"/>
                <w:b/>
                <w:bCs/>
                <w:color w:val="001E8E"/>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2041830B"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CALCIUM AND VITAMIN D SUPPLEMENTATION (Grade C) There is mixed evidence on the effectiveness of calcium and vitamin D supplementation for prevention of bone loss and OP fractures in postmenopausal women and older men. There may be some bene t for those who have inadequate levels, particularly institutionalised patients. </w:t>
            </w:r>
          </w:p>
        </w:tc>
        <w:tc>
          <w:tcPr>
            <w:tcW w:w="3119" w:type="dxa"/>
            <w:tcBorders>
              <w:top w:val="nil"/>
              <w:left w:val="nil"/>
              <w:bottom w:val="single" w:sz="4" w:space="0" w:color="auto"/>
              <w:right w:val="nil"/>
            </w:tcBorders>
            <w:shd w:val="clear" w:color="auto" w:fill="auto"/>
            <w:vAlign w:val="center"/>
            <w:hideMark/>
          </w:tcPr>
          <w:p w14:paraId="0C4CF3B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Grade C</w:t>
            </w:r>
          </w:p>
        </w:tc>
        <w:tc>
          <w:tcPr>
            <w:tcW w:w="1276" w:type="dxa"/>
            <w:tcBorders>
              <w:top w:val="nil"/>
              <w:left w:val="nil"/>
              <w:bottom w:val="single" w:sz="4" w:space="0" w:color="auto"/>
              <w:right w:val="nil"/>
            </w:tcBorders>
            <w:shd w:val="clear" w:color="auto" w:fill="auto"/>
            <w:noWrap/>
            <w:vAlign w:val="bottom"/>
            <w:hideMark/>
          </w:tcPr>
          <w:p w14:paraId="7F2DBE1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18E17A2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4CECBACE" w14:textId="77777777" w:rsidTr="00780344">
        <w:trPr>
          <w:trHeight w:val="2420"/>
        </w:trPr>
        <w:tc>
          <w:tcPr>
            <w:tcW w:w="1726" w:type="dxa"/>
            <w:tcBorders>
              <w:top w:val="nil"/>
              <w:left w:val="nil"/>
              <w:bottom w:val="nil"/>
              <w:right w:val="nil"/>
            </w:tcBorders>
            <w:shd w:val="clear" w:color="auto" w:fill="auto"/>
            <w:vAlign w:val="center"/>
            <w:hideMark/>
          </w:tcPr>
          <w:p w14:paraId="60897D5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Swiss Federal Commission</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{"citationItems":[{"id":"ITEM-1","itemData":{"author":[{"dropping-particle":"","family":"Bischoff-Ferrari","given":"Heike A","non-dropping-particle":"","parse-names":false,"suffix":""},{"dropping-particle":"","family":"Keller","given":"Ulrich","non-dropping-particle":"","parse-names":false,"suffix":""},{"dropping-particle":"","family":"Burckhardt","given":"Peter","non-dropping-particle":"","parse-names":false,"suffix":""},{"dropping-particle":"","family":"Lötscher","given":"K Quack","non-dropping-particle":"","parse-names":false,"suffix":""},{"dropping-particle":"","family":"Gerber","given":"Beat","non-dropping-particle":"","parse-names":false,"suffix":""},{"dropping-particle":"","family":"l’Allemand","given":"Dagmar","non-dropping-particle":"","parse-names":false,"suffix":""},{"dropping-particle":"","family":"Laimbacher","given":"Josef","non-dropping-particle":"","parse-names":false,"suffix":""},{"dropping-particle":"","family":"Bachmann","given":"Marco","non-dropping-particle":"","parse-names":false,"suffix":""},{"dropping-particle":"","family":"Rizzoli","given":"René","non-dropping-particle":"","parse-names":false,"suffix":""}],"container-title":"Forum Med Suisse","id":"ITEM-1","issued":{"date-parts":[["2012"]]},"page":"775-778","title":"Recommandations de la Commission fédérale de l’alimentation concernant l’apport de vitamine D","type":"paper-conference","volume":"12"},"uris":["http://www.mendeley.com/documents/?uuid=b7cc8969-45a9-4c85-a6fd-4a1058fed190"]}],"mendeley":{"formattedCitation":"&lt;sup&gt;3&lt;/sup&gt;","plainTextFormattedCitation":"3","previouslyFormattedCitation":"&lt;sup&gt;3&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3</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159AAE01" w14:textId="77777777" w:rsidR="00817A40" w:rsidRPr="005544BE" w:rsidRDefault="00817A40" w:rsidP="00817A40">
            <w:pPr>
              <w:spacing w:line="240" w:lineRule="auto"/>
              <w:rPr>
                <w:rFonts w:ascii="Calibri" w:eastAsia="Times New Roman" w:hAnsi="Calibri" w:cs="Calibri"/>
                <w:sz w:val="16"/>
                <w:szCs w:val="16"/>
                <w:lang w:val="fr-FR" w:eastAsia="en-US"/>
              </w:rPr>
            </w:pPr>
            <w:r w:rsidRPr="005544BE">
              <w:rPr>
                <w:rFonts w:ascii="Calibri" w:eastAsia="Times New Roman" w:hAnsi="Calibri" w:cs="Calibri"/>
                <w:sz w:val="16"/>
                <w:szCs w:val="16"/>
                <w:lang w:val="fr-FR" w:eastAsia="en-US"/>
              </w:rPr>
              <w:t xml:space="preserve">Recommandations de la Commission fédérale de l’alimentation concernant l’apport de vitamine D </w:t>
            </w:r>
          </w:p>
        </w:tc>
        <w:tc>
          <w:tcPr>
            <w:tcW w:w="6438" w:type="dxa"/>
            <w:tcBorders>
              <w:top w:val="nil"/>
              <w:left w:val="nil"/>
              <w:bottom w:val="nil"/>
              <w:right w:val="nil"/>
            </w:tcBorders>
            <w:shd w:val="clear" w:color="auto" w:fill="auto"/>
            <w:vAlign w:val="center"/>
            <w:hideMark/>
          </w:tcPr>
          <w:p w14:paraId="6A121AB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For preventing vitamin D </w:t>
            </w:r>
            <w:r w:rsidR="00FA5CBF" w:rsidRPr="00817A40">
              <w:rPr>
                <w:rFonts w:ascii="Calibri" w:eastAsia="Times New Roman" w:hAnsi="Calibri" w:cs="Calibri"/>
                <w:sz w:val="16"/>
                <w:szCs w:val="16"/>
                <w:lang w:val="en-GB" w:eastAsia="en-US"/>
              </w:rPr>
              <w:t>deficiency,</w:t>
            </w:r>
            <w:r w:rsidRPr="00817A40">
              <w:rPr>
                <w:rFonts w:ascii="Calibri" w:eastAsia="Times New Roman" w:hAnsi="Calibri" w:cs="Calibri"/>
                <w:sz w:val="16"/>
                <w:szCs w:val="16"/>
                <w:lang w:val="en-GB" w:eastAsia="en-US"/>
              </w:rPr>
              <w:t xml:space="preserve"> we recommend to everyone having a minimal sun exposure the following intakes:</w:t>
            </w:r>
            <w:r w:rsidRPr="00817A40">
              <w:rPr>
                <w:rFonts w:ascii="Calibri" w:eastAsia="Times New Roman" w:hAnsi="Calibri" w:cs="Calibri"/>
                <w:sz w:val="16"/>
                <w:szCs w:val="16"/>
                <w:lang w:val="en-GB" w:eastAsia="en-US"/>
              </w:rPr>
              <w:br/>
              <w:t>– 1st year 400 UI/day</w:t>
            </w:r>
            <w:r w:rsidRPr="00817A40">
              <w:rPr>
                <w:rFonts w:ascii="Calibri" w:eastAsia="Times New Roman" w:hAnsi="Calibri" w:cs="Calibri"/>
                <w:sz w:val="16"/>
                <w:szCs w:val="16"/>
                <w:lang w:val="en-GB" w:eastAsia="en-US"/>
              </w:rPr>
              <w:br/>
              <w:t>– 2nd–59th year: 600 UI/day</w:t>
            </w:r>
            <w:r w:rsidRPr="00817A40">
              <w:rPr>
                <w:rFonts w:ascii="Calibri" w:eastAsia="Times New Roman" w:hAnsi="Calibri" w:cs="Calibri"/>
                <w:sz w:val="16"/>
                <w:szCs w:val="16"/>
                <w:lang w:val="en-GB" w:eastAsia="en-US"/>
              </w:rPr>
              <w:br/>
              <w:t>– 60th year: 800 UI/day.</w:t>
            </w:r>
          </w:p>
        </w:tc>
        <w:tc>
          <w:tcPr>
            <w:tcW w:w="3119" w:type="dxa"/>
            <w:tcBorders>
              <w:top w:val="nil"/>
              <w:left w:val="nil"/>
              <w:bottom w:val="nil"/>
              <w:right w:val="nil"/>
            </w:tcBorders>
            <w:shd w:val="clear" w:color="auto" w:fill="auto"/>
            <w:noWrap/>
            <w:vAlign w:val="bottom"/>
            <w:hideMark/>
          </w:tcPr>
          <w:p w14:paraId="53974A06"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6DFFB1D3"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0555F034"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1FC616A7" w14:textId="77777777" w:rsidTr="00780344">
        <w:trPr>
          <w:trHeight w:val="900"/>
        </w:trPr>
        <w:tc>
          <w:tcPr>
            <w:tcW w:w="1726" w:type="dxa"/>
            <w:tcBorders>
              <w:top w:val="nil"/>
              <w:left w:val="nil"/>
              <w:bottom w:val="nil"/>
              <w:right w:val="nil"/>
            </w:tcBorders>
            <w:shd w:val="clear" w:color="auto" w:fill="auto"/>
            <w:noWrap/>
            <w:vAlign w:val="bottom"/>
            <w:hideMark/>
          </w:tcPr>
          <w:p w14:paraId="30C7485A"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682F848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01FC151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Oral Vitamin D recommendations as the ones provided by the IOM. The </w:t>
            </w:r>
            <w:r w:rsidR="00FA5CBF" w:rsidRPr="00817A40">
              <w:rPr>
                <w:rFonts w:ascii="Calibri" w:eastAsia="Times New Roman" w:hAnsi="Calibri" w:cs="Calibri"/>
                <w:sz w:val="16"/>
                <w:szCs w:val="16"/>
                <w:lang w:val="en-GB" w:eastAsia="en-US"/>
              </w:rPr>
              <w:t>objective</w:t>
            </w:r>
            <w:r w:rsidRPr="00817A40">
              <w:rPr>
                <w:rFonts w:ascii="Calibri" w:eastAsia="Times New Roman" w:hAnsi="Calibri" w:cs="Calibri"/>
                <w:sz w:val="16"/>
                <w:szCs w:val="16"/>
                <w:lang w:val="en-GB" w:eastAsia="en-US"/>
              </w:rPr>
              <w:t xml:space="preserve"> is to correct vitamin D deficiency in every age and to augment serum 25(OH)D at least to 50nmol/l in all population. </w:t>
            </w:r>
          </w:p>
        </w:tc>
        <w:tc>
          <w:tcPr>
            <w:tcW w:w="3119" w:type="dxa"/>
            <w:tcBorders>
              <w:top w:val="nil"/>
              <w:left w:val="nil"/>
              <w:bottom w:val="nil"/>
              <w:right w:val="nil"/>
            </w:tcBorders>
            <w:shd w:val="clear" w:color="auto" w:fill="auto"/>
            <w:noWrap/>
            <w:vAlign w:val="bottom"/>
            <w:hideMark/>
          </w:tcPr>
          <w:p w14:paraId="3EC222B2"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38B9CC80"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4AE72011"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4EA1DCAA" w14:textId="77777777" w:rsidTr="00780344">
        <w:trPr>
          <w:trHeight w:val="1320"/>
        </w:trPr>
        <w:tc>
          <w:tcPr>
            <w:tcW w:w="1726" w:type="dxa"/>
            <w:tcBorders>
              <w:top w:val="nil"/>
              <w:left w:val="nil"/>
              <w:bottom w:val="nil"/>
              <w:right w:val="nil"/>
            </w:tcBorders>
            <w:shd w:val="clear" w:color="auto" w:fill="auto"/>
            <w:noWrap/>
            <w:vAlign w:val="bottom"/>
            <w:hideMark/>
          </w:tcPr>
          <w:p w14:paraId="0D5FBC6B"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2CCC0DBE"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2B3806B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Unlike IOM, the expert committee recommends 800 UI per day from 60 years and not from 70s having </w:t>
            </w:r>
            <w:r w:rsidR="00FA5CBF" w:rsidRPr="00817A40">
              <w:rPr>
                <w:rFonts w:ascii="Calibri" w:eastAsia="Times New Roman" w:hAnsi="Calibri" w:cs="Calibri"/>
                <w:sz w:val="16"/>
                <w:szCs w:val="16"/>
                <w:lang w:val="en-GB" w:eastAsia="en-US"/>
              </w:rPr>
              <w:t>considered</w:t>
            </w:r>
            <w:r w:rsidRPr="00817A40">
              <w:rPr>
                <w:rFonts w:ascii="Calibri" w:eastAsia="Times New Roman" w:hAnsi="Calibri" w:cs="Calibri"/>
                <w:sz w:val="16"/>
                <w:szCs w:val="16"/>
                <w:lang w:val="en-GB" w:eastAsia="en-US"/>
              </w:rPr>
              <w:t xml:space="preserve"> the results from randomized clinical trials for fracture prevention. </w:t>
            </w:r>
          </w:p>
        </w:tc>
        <w:tc>
          <w:tcPr>
            <w:tcW w:w="3119" w:type="dxa"/>
            <w:tcBorders>
              <w:top w:val="nil"/>
              <w:left w:val="nil"/>
              <w:bottom w:val="nil"/>
              <w:right w:val="nil"/>
            </w:tcBorders>
            <w:shd w:val="clear" w:color="auto" w:fill="auto"/>
            <w:noWrap/>
            <w:vAlign w:val="bottom"/>
            <w:hideMark/>
          </w:tcPr>
          <w:p w14:paraId="1F6597E2"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17807BF1"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371F80ED"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2CA9F668" w14:textId="77777777" w:rsidTr="00780344">
        <w:trPr>
          <w:trHeight w:val="640"/>
        </w:trPr>
        <w:tc>
          <w:tcPr>
            <w:tcW w:w="1726" w:type="dxa"/>
            <w:tcBorders>
              <w:top w:val="nil"/>
              <w:left w:val="nil"/>
              <w:bottom w:val="single" w:sz="4" w:space="0" w:color="auto"/>
              <w:right w:val="nil"/>
            </w:tcBorders>
            <w:shd w:val="clear" w:color="auto" w:fill="auto"/>
            <w:noWrap/>
            <w:vAlign w:val="bottom"/>
            <w:hideMark/>
          </w:tcPr>
          <w:p w14:paraId="329B340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0728F62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4978BDD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For economic reasons vitamin D screening is only recommended in people at a high risk for deficiency.</w:t>
            </w:r>
          </w:p>
        </w:tc>
        <w:tc>
          <w:tcPr>
            <w:tcW w:w="3119" w:type="dxa"/>
            <w:tcBorders>
              <w:top w:val="nil"/>
              <w:left w:val="nil"/>
              <w:bottom w:val="single" w:sz="4" w:space="0" w:color="auto"/>
              <w:right w:val="nil"/>
            </w:tcBorders>
            <w:shd w:val="clear" w:color="auto" w:fill="auto"/>
            <w:noWrap/>
            <w:vAlign w:val="bottom"/>
            <w:hideMark/>
          </w:tcPr>
          <w:p w14:paraId="3817C25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02883AC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3F43F20F"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817A40" w14:paraId="254368FE" w14:textId="77777777" w:rsidTr="001952F3">
        <w:trPr>
          <w:trHeight w:val="2060"/>
        </w:trPr>
        <w:tc>
          <w:tcPr>
            <w:tcW w:w="1726" w:type="dxa"/>
            <w:tcBorders>
              <w:top w:val="nil"/>
              <w:left w:val="nil"/>
              <w:bottom w:val="nil"/>
              <w:right w:val="nil"/>
            </w:tcBorders>
            <w:shd w:val="clear" w:color="auto" w:fill="auto"/>
            <w:vAlign w:val="center"/>
            <w:hideMark/>
          </w:tcPr>
          <w:p w14:paraId="0F5EACCE"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United States Preventive Services Task Force</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5B42D5">
              <w:rPr>
                <w:rFonts w:ascii="Calibri" w:eastAsia="Times New Roman" w:hAnsi="Calibri" w:cs="Calibri"/>
                <w:sz w:val="16"/>
                <w:szCs w:val="16"/>
                <w:lang w:val="en-GB" w:eastAsia="en-US"/>
              </w:rPr>
              <w:instrText>ADDIN CSL_CITATION {"citationItems":[{"id":"ITEM-1","itemData":{"DOI":"1655858 [pii]\r10.7326/0003-4819-158-9-201305070-00603 [doi]","ISBN":"1539-3704 (Electronic)\r0003-4819 (Linking)","PMID":"23440163","abstract":"DESCRIPTION: New U.S. Preventive Services Task Force (USPSTF) recommendation statement on vitamin D and calcium supplementation to prevent fractures in adults. METHODS: The USPSTF commissioned 2 systematic evidence reviews and a meta-analysis on vitamin D supplementation with or without calcium to assess the effects of supplementation on bone health outcomes in community-dwelling adults, the association of vitamin D and calcium levels with bone health outcomes, and the adverse effects of supplementation. POPULATION: These recommendations apply to noninstitutionalized or community-dwelling asymptomatic adults without a history of fractures. This recommendation does not apply to the treatment of persons with osteoporosis or vitamin D deficiency. RECOMMENDATION: The USPSTF concludes that the current evidence is insufficient to assess the balance of the benefits and harms of combined vitamin D and calcium supplementation for the primary prevention of fractures in premenopausal women or in men. (I statement)The USPSTF concludes that the current evidence is insufficient to assess the balance of the benefits and harms of daily supplementation with greater than 400 IU of vitamin D3 and greater than 1000 mg of calcium for the primary prevention of fractures in noninstitutionalized postmenopausal women. (I statement)The USPSTF recommends against daily supplementation with 400 IU or less of vitamin D3 and 1000 mg or less of calcium for the primary prevention of fractures in noninstitutionalized postmenopausal women. (D recommendation).","author":[{"dropping-particle":"","family":"Moyer","given":"V A","non-dropping-particle":"","parse-names":false,"suffix":""},{"dropping-particle":"","family":"Force*","given":"U S Preventive Services Task","non-dropping-particle":"","parse-names":false,"suffix":""}],"container-title":"Ann Intern Med","edition":"2013/02/27","id":"ITEM-1","issue":"9","issued":{"date-parts":[["2013"]]},"language":"eng","note":"Moyer, Virginia A\nPractice Guideline\nResearch Support, U.S. Gov't, P.H.S.\nUnited States\nAnnals of internal medicine\nAnn Intern Med. 2013 May 7;158(9):691-6. doi: 10.7326/0003-4819-158-9-201305070-00603.","page":"691-696","title":"Vitamin D and calcium supplementation to prevent fractures in adults: U.S. Preventive Services Task Force recommendation statement","type":"article-journal","volume":"158"},"uris":["http://www.mendeley.com/documents/?uuid=d27b1271-0b82-41cb-a82a-ae5414d7cadc"]}],"mendeley":{"formattedCitation":"&lt;sup&gt;23&lt;/sup&gt;","plainTextFormattedCitation":"23","previouslyFormattedCitation":"&lt;sup&gt;23&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544BE" w:rsidRPr="005544BE">
              <w:rPr>
                <w:rFonts w:ascii="Calibri" w:eastAsia="Times New Roman" w:hAnsi="Calibri" w:cs="Calibri"/>
                <w:noProof/>
                <w:sz w:val="16"/>
                <w:szCs w:val="16"/>
                <w:vertAlign w:val="superscript"/>
                <w:lang w:val="en-GB" w:eastAsia="en-US"/>
              </w:rPr>
              <w:t>23</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3E18171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Vitamin D and calcium supplementation to prevent fractures in adults: U.S. Preventive Services Task Force recommendation statement. </w:t>
            </w:r>
          </w:p>
        </w:tc>
        <w:tc>
          <w:tcPr>
            <w:tcW w:w="6438" w:type="dxa"/>
            <w:tcBorders>
              <w:top w:val="nil"/>
              <w:left w:val="nil"/>
              <w:bottom w:val="nil"/>
              <w:right w:val="nil"/>
            </w:tcBorders>
            <w:shd w:val="clear" w:color="auto" w:fill="auto"/>
            <w:vAlign w:val="center"/>
            <w:hideMark/>
          </w:tcPr>
          <w:p w14:paraId="3D3A359B"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USPSTF concludes that the current evidence is insufficient to assess the balance of the benefits and harms of combined vitamin D and calcium supplementation for the primary prevention of fractures in premenopausal women or in men.</w:t>
            </w:r>
          </w:p>
        </w:tc>
        <w:tc>
          <w:tcPr>
            <w:tcW w:w="3119" w:type="dxa"/>
            <w:tcBorders>
              <w:top w:val="nil"/>
              <w:left w:val="nil"/>
              <w:bottom w:val="nil"/>
              <w:right w:val="nil"/>
            </w:tcBorders>
            <w:shd w:val="clear" w:color="auto" w:fill="auto"/>
            <w:noWrap/>
            <w:vAlign w:val="center"/>
            <w:hideMark/>
          </w:tcPr>
          <w:p w14:paraId="7D273EE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I statement</w:t>
            </w:r>
          </w:p>
        </w:tc>
        <w:tc>
          <w:tcPr>
            <w:tcW w:w="1276" w:type="dxa"/>
            <w:tcBorders>
              <w:top w:val="nil"/>
              <w:left w:val="nil"/>
              <w:bottom w:val="nil"/>
              <w:right w:val="nil"/>
            </w:tcBorders>
            <w:shd w:val="clear" w:color="auto" w:fill="auto"/>
            <w:noWrap/>
            <w:vAlign w:val="bottom"/>
            <w:hideMark/>
          </w:tcPr>
          <w:p w14:paraId="65A4AAE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793C9C41"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5DF2EC65" w14:textId="77777777" w:rsidTr="001952F3">
        <w:trPr>
          <w:trHeight w:val="2280"/>
        </w:trPr>
        <w:tc>
          <w:tcPr>
            <w:tcW w:w="1726" w:type="dxa"/>
            <w:tcBorders>
              <w:top w:val="nil"/>
              <w:left w:val="nil"/>
              <w:bottom w:val="nil"/>
              <w:right w:val="nil"/>
            </w:tcBorders>
            <w:shd w:val="clear" w:color="auto" w:fill="auto"/>
            <w:noWrap/>
            <w:vAlign w:val="bottom"/>
            <w:hideMark/>
          </w:tcPr>
          <w:p w14:paraId="261FAA0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27CA622D"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1A252274"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USPSTF concludes that the current evidence is insufficient to assess the balance of the benefits and harms of daily supplementation with greater than 400 IU of vitamin D3 and greater than 1000 mg of calcium for the primary prevention of fractures in noninstitutionalized postmenopausal women. (I statement)</w:t>
            </w:r>
          </w:p>
        </w:tc>
        <w:tc>
          <w:tcPr>
            <w:tcW w:w="3119" w:type="dxa"/>
            <w:tcBorders>
              <w:top w:val="nil"/>
              <w:left w:val="nil"/>
              <w:bottom w:val="nil"/>
              <w:right w:val="nil"/>
            </w:tcBorders>
            <w:shd w:val="clear" w:color="auto" w:fill="auto"/>
            <w:noWrap/>
            <w:vAlign w:val="center"/>
            <w:hideMark/>
          </w:tcPr>
          <w:p w14:paraId="1DA78845"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I statement</w:t>
            </w:r>
          </w:p>
        </w:tc>
        <w:tc>
          <w:tcPr>
            <w:tcW w:w="1276" w:type="dxa"/>
            <w:tcBorders>
              <w:top w:val="nil"/>
              <w:left w:val="nil"/>
              <w:bottom w:val="nil"/>
              <w:right w:val="nil"/>
            </w:tcBorders>
            <w:shd w:val="clear" w:color="auto" w:fill="auto"/>
            <w:noWrap/>
            <w:vAlign w:val="bottom"/>
            <w:hideMark/>
          </w:tcPr>
          <w:p w14:paraId="3F238786"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5112EBF5"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0E106FAA" w14:textId="77777777" w:rsidTr="001952F3">
        <w:trPr>
          <w:trHeight w:val="1280"/>
        </w:trPr>
        <w:tc>
          <w:tcPr>
            <w:tcW w:w="1726" w:type="dxa"/>
            <w:tcBorders>
              <w:top w:val="nil"/>
              <w:left w:val="nil"/>
              <w:bottom w:val="nil"/>
              <w:right w:val="nil"/>
            </w:tcBorders>
            <w:shd w:val="clear" w:color="auto" w:fill="auto"/>
            <w:noWrap/>
            <w:vAlign w:val="bottom"/>
            <w:hideMark/>
          </w:tcPr>
          <w:p w14:paraId="4B63C91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4E264E7F"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2E9E417E" w14:textId="77777777" w:rsidR="00817A40" w:rsidRPr="00817A40" w:rsidRDefault="00817A40" w:rsidP="001952F3">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USPSTF recommends against daily supplementation with 400 IU or less of vitamin D</w:t>
            </w:r>
            <w:r w:rsidRPr="00817A40">
              <w:rPr>
                <w:rFonts w:ascii="VerdanaRegular" w:eastAsia="Times New Roman" w:hAnsi="VerdanaRegular" w:cs="Calibri"/>
                <w:color w:val="333333"/>
                <w:sz w:val="16"/>
                <w:szCs w:val="16"/>
                <w:lang w:val="en-GB" w:eastAsia="en-US"/>
              </w:rPr>
              <w:t>3 and 1000 mg or less of calcium for the primary prevention of fractures in noninstitutionalized postmenopausal women.</w:t>
            </w:r>
          </w:p>
        </w:tc>
        <w:tc>
          <w:tcPr>
            <w:tcW w:w="3119" w:type="dxa"/>
            <w:tcBorders>
              <w:top w:val="nil"/>
              <w:left w:val="nil"/>
              <w:bottom w:val="nil"/>
              <w:right w:val="nil"/>
            </w:tcBorders>
            <w:shd w:val="clear" w:color="auto" w:fill="auto"/>
            <w:noWrap/>
            <w:vAlign w:val="center"/>
            <w:hideMark/>
          </w:tcPr>
          <w:p w14:paraId="08435312"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D recommendation</w:t>
            </w:r>
          </w:p>
        </w:tc>
        <w:tc>
          <w:tcPr>
            <w:tcW w:w="1276" w:type="dxa"/>
            <w:tcBorders>
              <w:top w:val="nil"/>
              <w:left w:val="nil"/>
              <w:bottom w:val="nil"/>
              <w:right w:val="nil"/>
            </w:tcBorders>
            <w:shd w:val="clear" w:color="auto" w:fill="auto"/>
            <w:noWrap/>
            <w:vAlign w:val="bottom"/>
            <w:hideMark/>
          </w:tcPr>
          <w:p w14:paraId="19D69A48"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58E96D3C"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817A40" w14:paraId="30BFEFC7" w14:textId="77777777" w:rsidTr="00780344">
        <w:trPr>
          <w:trHeight w:val="1760"/>
        </w:trPr>
        <w:tc>
          <w:tcPr>
            <w:tcW w:w="1726" w:type="dxa"/>
            <w:tcBorders>
              <w:top w:val="nil"/>
              <w:left w:val="nil"/>
              <w:bottom w:val="single" w:sz="4" w:space="0" w:color="auto"/>
              <w:right w:val="nil"/>
            </w:tcBorders>
            <w:shd w:val="clear" w:color="auto" w:fill="auto"/>
            <w:noWrap/>
            <w:vAlign w:val="bottom"/>
            <w:hideMark/>
          </w:tcPr>
          <w:p w14:paraId="27989092"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22EEF34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43F7B42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USPSTF recommends vitamin D supplementation (the median dose of vitamin D in available studies was 800 IU) to prevent falls in community-dwelling adults aged 65 years or older who are at increased risk for falls because of a history of recent falls or vitamin D deficiency</w:t>
            </w:r>
          </w:p>
        </w:tc>
        <w:tc>
          <w:tcPr>
            <w:tcW w:w="3119" w:type="dxa"/>
            <w:tcBorders>
              <w:top w:val="nil"/>
              <w:left w:val="nil"/>
              <w:bottom w:val="single" w:sz="4" w:space="0" w:color="auto"/>
              <w:right w:val="nil"/>
            </w:tcBorders>
            <w:shd w:val="clear" w:color="auto" w:fill="auto"/>
            <w:noWrap/>
            <w:vAlign w:val="center"/>
            <w:hideMark/>
          </w:tcPr>
          <w:p w14:paraId="10C6E8FA"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B Recommendation</w:t>
            </w:r>
          </w:p>
        </w:tc>
        <w:tc>
          <w:tcPr>
            <w:tcW w:w="1276" w:type="dxa"/>
            <w:tcBorders>
              <w:top w:val="nil"/>
              <w:left w:val="nil"/>
              <w:bottom w:val="single" w:sz="4" w:space="0" w:color="auto"/>
              <w:right w:val="nil"/>
            </w:tcBorders>
            <w:shd w:val="clear" w:color="auto" w:fill="auto"/>
            <w:noWrap/>
            <w:vAlign w:val="bottom"/>
            <w:hideMark/>
          </w:tcPr>
          <w:p w14:paraId="39E48A2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0F93B62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2FD342F8" w14:textId="77777777" w:rsidTr="00780344">
        <w:trPr>
          <w:trHeight w:val="860"/>
        </w:trPr>
        <w:tc>
          <w:tcPr>
            <w:tcW w:w="1726" w:type="dxa"/>
            <w:tcBorders>
              <w:top w:val="nil"/>
              <w:left w:val="nil"/>
              <w:bottom w:val="nil"/>
              <w:right w:val="nil"/>
            </w:tcBorders>
            <w:shd w:val="clear" w:color="auto" w:fill="auto"/>
            <w:vAlign w:val="center"/>
            <w:hideMark/>
          </w:tcPr>
          <w:p w14:paraId="4E5E779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World Health Organization</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6D3C2D">
              <w:rPr>
                <w:rFonts w:ascii="Calibri" w:eastAsia="Times New Roman" w:hAnsi="Calibri" w:cs="Calibri"/>
                <w:sz w:val="16"/>
                <w:szCs w:val="16"/>
                <w:lang w:val="en-GB" w:eastAsia="en-US"/>
              </w:rPr>
              <w:instrText>ADDIN CSL_CITATION {"citationItems":[{"id":"ITEM-1","itemData":{"container-title":"WHO","id":"ITEM-1","issued":{"date-parts":[["2016"]]},"publisher":"World Health Organization","title":"WHO | Archived: Vitamin D supplementation in pregnant women","type":"article-journal"},"uris":["http://www.mendeley.com/documents/?uuid=cae0995f-f02c-3d79-a0aa-36acc47af5a3"]}],"mendeley":{"formattedCitation":"&lt;sup&gt;24&lt;/sup&gt;","plainTextFormattedCitation":"24","previouslyFormattedCitation":"&lt;sup&gt;24&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B42D5" w:rsidRPr="005B42D5">
              <w:rPr>
                <w:rFonts w:ascii="Calibri" w:eastAsia="Times New Roman" w:hAnsi="Calibri" w:cs="Calibri"/>
                <w:noProof/>
                <w:sz w:val="16"/>
                <w:szCs w:val="16"/>
                <w:vertAlign w:val="superscript"/>
                <w:lang w:val="en-GB" w:eastAsia="en-US"/>
              </w:rPr>
              <w:t>24</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191DBA1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Guideline: Vitamin D supplementation in pregnant women</w:t>
            </w:r>
          </w:p>
        </w:tc>
        <w:tc>
          <w:tcPr>
            <w:tcW w:w="6438" w:type="dxa"/>
            <w:tcBorders>
              <w:top w:val="nil"/>
              <w:left w:val="nil"/>
              <w:bottom w:val="nil"/>
              <w:right w:val="nil"/>
            </w:tcBorders>
            <w:shd w:val="clear" w:color="auto" w:fill="auto"/>
            <w:vAlign w:val="bottom"/>
            <w:hideMark/>
          </w:tcPr>
          <w:p w14:paraId="2478B19D" w14:textId="77777777" w:rsidR="00817A40" w:rsidRPr="00817A40" w:rsidRDefault="00817A40" w:rsidP="00817A40">
            <w:pPr>
              <w:spacing w:line="240" w:lineRule="auto"/>
              <w:rPr>
                <w:rFonts w:ascii="MyriadPro" w:eastAsia="Times New Roman" w:hAnsi="MyriadPro" w:cs="Calibri"/>
                <w:sz w:val="16"/>
                <w:szCs w:val="16"/>
                <w:lang w:val="en-GB" w:eastAsia="en-US"/>
              </w:rPr>
            </w:pPr>
            <w:r w:rsidRPr="00817A40">
              <w:rPr>
                <w:rFonts w:ascii="MyriadPro" w:eastAsia="Times New Roman" w:hAnsi="MyriadPro" w:cs="Calibri"/>
                <w:sz w:val="16"/>
                <w:szCs w:val="16"/>
                <w:lang w:val="en-GB" w:eastAsia="en-US"/>
              </w:rPr>
              <w:t>Vitamin D supplementation is not recommended during pregnancy to prevent the development of pre-eclampsia and its complications (</w:t>
            </w:r>
            <w:r w:rsidRPr="00817A40">
              <w:rPr>
                <w:rFonts w:ascii="MyriadPro" w:eastAsia="Times New Roman" w:hAnsi="MyriadPro" w:cs="Calibri"/>
                <w:i/>
                <w:iCs/>
                <w:sz w:val="16"/>
                <w:szCs w:val="16"/>
                <w:lang w:val="en-GB" w:eastAsia="en-US"/>
              </w:rPr>
              <w:t>strong recommendation</w:t>
            </w:r>
            <w:r w:rsidRPr="00817A40">
              <w:rPr>
                <w:rFonts w:ascii="MyriadPro" w:eastAsia="Times New Roman" w:hAnsi="MyriadPro" w:cs="Calibri"/>
                <w:sz w:val="16"/>
                <w:szCs w:val="16"/>
                <w:lang w:val="en-GB" w:eastAsia="en-US"/>
              </w:rPr>
              <w:t xml:space="preserve">). </w:t>
            </w:r>
          </w:p>
        </w:tc>
        <w:tc>
          <w:tcPr>
            <w:tcW w:w="3119" w:type="dxa"/>
            <w:tcBorders>
              <w:top w:val="nil"/>
              <w:left w:val="nil"/>
              <w:bottom w:val="nil"/>
              <w:right w:val="nil"/>
            </w:tcBorders>
            <w:shd w:val="clear" w:color="auto" w:fill="auto"/>
            <w:noWrap/>
            <w:vAlign w:val="bottom"/>
            <w:hideMark/>
          </w:tcPr>
          <w:p w14:paraId="4542A2C9" w14:textId="77777777" w:rsidR="00817A40" w:rsidRPr="00817A40" w:rsidRDefault="00817A40" w:rsidP="00817A40">
            <w:pPr>
              <w:spacing w:line="240" w:lineRule="auto"/>
              <w:rPr>
                <w:rFonts w:ascii="MyriadPro" w:eastAsia="Times New Roman" w:hAnsi="MyriadPro"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286BCF30"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4AF839EE"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4358C6CD" w14:textId="77777777" w:rsidTr="00780344">
        <w:trPr>
          <w:trHeight w:val="1920"/>
        </w:trPr>
        <w:tc>
          <w:tcPr>
            <w:tcW w:w="1726" w:type="dxa"/>
            <w:tcBorders>
              <w:top w:val="nil"/>
              <w:left w:val="nil"/>
              <w:bottom w:val="single" w:sz="4" w:space="0" w:color="auto"/>
              <w:right w:val="nil"/>
            </w:tcBorders>
            <w:shd w:val="clear" w:color="auto" w:fill="auto"/>
            <w:noWrap/>
            <w:vAlign w:val="bottom"/>
            <w:hideMark/>
          </w:tcPr>
          <w:p w14:paraId="56BCDFF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26E8BF3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49FCEC43"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In addition, due to the limited evidence currently available to directly assess the bene ts and harms of the use of vitamin D supplementation alone in pregnancy for improving maternal and infant health outcomes, the use of this intervention during pregnancy as part of routine antenatal care is also not recommended (conditional recommendation).</w:t>
            </w:r>
          </w:p>
        </w:tc>
        <w:tc>
          <w:tcPr>
            <w:tcW w:w="3119" w:type="dxa"/>
            <w:tcBorders>
              <w:top w:val="nil"/>
              <w:left w:val="nil"/>
              <w:bottom w:val="single" w:sz="4" w:space="0" w:color="auto"/>
              <w:right w:val="nil"/>
            </w:tcBorders>
            <w:shd w:val="clear" w:color="auto" w:fill="auto"/>
            <w:noWrap/>
            <w:vAlign w:val="bottom"/>
            <w:hideMark/>
          </w:tcPr>
          <w:p w14:paraId="0700982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3CDA443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1C7804B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6ECA741E" w14:textId="77777777" w:rsidTr="00780344">
        <w:trPr>
          <w:trHeight w:val="960"/>
        </w:trPr>
        <w:tc>
          <w:tcPr>
            <w:tcW w:w="1726" w:type="dxa"/>
            <w:tcBorders>
              <w:top w:val="nil"/>
              <w:left w:val="nil"/>
              <w:bottom w:val="nil"/>
              <w:right w:val="nil"/>
            </w:tcBorders>
            <w:shd w:val="clear" w:color="auto" w:fill="auto"/>
            <w:vAlign w:val="center"/>
            <w:hideMark/>
          </w:tcPr>
          <w:p w14:paraId="3FCF91C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lastRenderedPageBreak/>
              <w:t>United Arab Emirates</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6D3C2D">
              <w:rPr>
                <w:rFonts w:ascii="Calibri" w:eastAsia="Times New Roman" w:hAnsi="Calibri" w:cs="Calibri"/>
                <w:sz w:val="16"/>
                <w:szCs w:val="16"/>
                <w:lang w:val="en-GB" w:eastAsia="en-US"/>
              </w:rPr>
              <w:instrText>ADDIN CSL_CITATION {"citationItems":[{"id":"ITEM-1","itemData":{"DOI":"10.1016/j.jsbmb.2016.09.021","ISSN":"1879-1220 0960-0760","PMID":"27693095","abstract":"In the UAE and the Gulf region in general, there are several intricate public health issues in the context of vitamin D deficiency that needs to be addressed. Changes in lifestyle such as diet, lack of exercise, cultural habits, avoiding sun exposure due to excessive heat, and other risk factors predispose those who live in GULF countries, such as Emiratis likely to becoming vitamin D deficient. Consequently, the prevalence of vitamin D deficiency is high, and new guidelines are needed to overcome this major public health issue. Peer-reviewed papers related to guidelines and those vitamin D-related papers relevant to the Middle-Eastern region were extracted from multiple research databases using key words according to the general guidelines from the Preferred Reporting Items for Systematic Analysis. This guideline was prepared focusing on the United Arab Emirate and the Gulf populations, to overcome the high incidence of vitamin D deficiency and to improve overall health. We recommend the following vitamin D supplementations for different groups of people: (A) Breastfed infants supplement with 400 IU/day up to age 6 months, and 400-600 IU/day between 6 and 12 months, depending on daily intake of total vitamin D and sun exposure; (B) for children and adolescents of age 1-18 years supplement with 600-1000 IU/day depending on the body weight; (C) adults greater than 18 years', supplementation with","author":[{"dropping-particle":"","family":"Haq","given":"Afrozul","non-dropping-particle":"","parse-names":false,"suffix":""},{"dropping-particle":"","family":"Wimalawansa","given":"Sunil J","non-dropping-particle":"","parse-names":false,"suffix":""},{"dropping-particle":"","family":"Pludowski","given":"Pawel","non-dropping-particle":"","parse-names":false,"suffix":""},{"dropping-particle":"Al","family":"Anouti","given":"Fatme","non-dropping-particle":"","parse-names":false,"suffix":""}],"container-title":"The Journal of steroid biochemistry and molecular biology","id":"ITEM-1","issued":{"date-parts":[["2018"]]},"page":"4-11","title":"Clinical practice guidelines for vitamin D in the United Arab Emirates.","type":"article-journal","volume":"175"},"uris":["http://www.mendeley.com/documents/?uuid=6fb506b0-d399-4cbf-b87d-4bb4670b8f85"]}],"mendeley":{"formattedCitation":"&lt;sup&gt;25&lt;/sup&gt;","plainTextFormattedCitation":"25","previouslyFormattedCitation":"&lt;sup&gt;25&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B42D5" w:rsidRPr="005B42D5">
              <w:rPr>
                <w:rFonts w:ascii="Calibri" w:eastAsia="Times New Roman" w:hAnsi="Calibri" w:cs="Calibri"/>
                <w:noProof/>
                <w:sz w:val="16"/>
                <w:szCs w:val="16"/>
                <w:vertAlign w:val="superscript"/>
                <w:lang w:val="en-GB" w:eastAsia="en-US"/>
              </w:rPr>
              <w:t>25</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1918109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Clinical practice guidelines for vitamin D in the United Arab Emirates </w:t>
            </w:r>
          </w:p>
        </w:tc>
        <w:tc>
          <w:tcPr>
            <w:tcW w:w="6438" w:type="dxa"/>
            <w:tcBorders>
              <w:top w:val="nil"/>
              <w:left w:val="nil"/>
              <w:bottom w:val="nil"/>
              <w:right w:val="nil"/>
            </w:tcBorders>
            <w:shd w:val="clear" w:color="auto" w:fill="auto"/>
            <w:vAlign w:val="center"/>
            <w:hideMark/>
          </w:tcPr>
          <w:p w14:paraId="4B41BC3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recommend the following vitamin D supplementations for different groups of people: adults greater than 18 years’, supplementation with 1000–2000 IU/ day is recommended</w:t>
            </w:r>
          </w:p>
        </w:tc>
        <w:tc>
          <w:tcPr>
            <w:tcW w:w="3119" w:type="dxa"/>
            <w:tcBorders>
              <w:top w:val="nil"/>
              <w:left w:val="nil"/>
              <w:bottom w:val="nil"/>
              <w:right w:val="nil"/>
            </w:tcBorders>
            <w:shd w:val="clear" w:color="auto" w:fill="auto"/>
            <w:noWrap/>
            <w:vAlign w:val="bottom"/>
            <w:hideMark/>
          </w:tcPr>
          <w:p w14:paraId="33DE3C69"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6FC044FC"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3E236445"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6EA5E379" w14:textId="77777777" w:rsidTr="00780344">
        <w:trPr>
          <w:trHeight w:val="960"/>
        </w:trPr>
        <w:tc>
          <w:tcPr>
            <w:tcW w:w="1726" w:type="dxa"/>
            <w:tcBorders>
              <w:top w:val="nil"/>
              <w:left w:val="nil"/>
              <w:bottom w:val="nil"/>
              <w:right w:val="nil"/>
            </w:tcBorders>
            <w:shd w:val="clear" w:color="auto" w:fill="auto"/>
            <w:noWrap/>
            <w:vAlign w:val="bottom"/>
            <w:hideMark/>
          </w:tcPr>
          <w:p w14:paraId="67D5A6EC"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0A7187AD"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406EA67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recommend the following vitamin D supplementations for different groups of people: the elderly (over 65 years) should be supplemented with 2000 IU/day, throughout the year</w:t>
            </w:r>
          </w:p>
        </w:tc>
        <w:tc>
          <w:tcPr>
            <w:tcW w:w="3119" w:type="dxa"/>
            <w:tcBorders>
              <w:top w:val="nil"/>
              <w:left w:val="nil"/>
              <w:bottom w:val="nil"/>
              <w:right w:val="nil"/>
            </w:tcBorders>
            <w:shd w:val="clear" w:color="auto" w:fill="auto"/>
            <w:noWrap/>
            <w:vAlign w:val="bottom"/>
            <w:hideMark/>
          </w:tcPr>
          <w:p w14:paraId="6FF4893A"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1341752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51380F0A"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07F6C401" w14:textId="77777777" w:rsidTr="00780344">
        <w:trPr>
          <w:trHeight w:val="960"/>
        </w:trPr>
        <w:tc>
          <w:tcPr>
            <w:tcW w:w="1726" w:type="dxa"/>
            <w:tcBorders>
              <w:top w:val="nil"/>
              <w:left w:val="nil"/>
              <w:bottom w:val="nil"/>
              <w:right w:val="nil"/>
            </w:tcBorders>
            <w:shd w:val="clear" w:color="auto" w:fill="auto"/>
            <w:noWrap/>
            <w:vAlign w:val="bottom"/>
            <w:hideMark/>
          </w:tcPr>
          <w:p w14:paraId="6D1487EC"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47AF6963"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2F6AD02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We recommend the following vitamin D supplementations for different groups of people: pregnant and breast feed women, 2000 IU/day from the first trimester of pregnancy</w:t>
            </w:r>
          </w:p>
        </w:tc>
        <w:tc>
          <w:tcPr>
            <w:tcW w:w="3119" w:type="dxa"/>
            <w:tcBorders>
              <w:top w:val="nil"/>
              <w:left w:val="nil"/>
              <w:bottom w:val="nil"/>
              <w:right w:val="nil"/>
            </w:tcBorders>
            <w:shd w:val="clear" w:color="auto" w:fill="auto"/>
            <w:noWrap/>
            <w:vAlign w:val="bottom"/>
            <w:hideMark/>
          </w:tcPr>
          <w:p w14:paraId="2FC07C87"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06761366"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7AD2E70C"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61828A0A" w14:textId="77777777" w:rsidTr="00780344">
        <w:trPr>
          <w:trHeight w:val="640"/>
        </w:trPr>
        <w:tc>
          <w:tcPr>
            <w:tcW w:w="1726" w:type="dxa"/>
            <w:tcBorders>
              <w:top w:val="nil"/>
              <w:left w:val="nil"/>
              <w:bottom w:val="nil"/>
              <w:right w:val="nil"/>
            </w:tcBorders>
            <w:shd w:val="clear" w:color="auto" w:fill="auto"/>
            <w:noWrap/>
            <w:vAlign w:val="bottom"/>
            <w:hideMark/>
          </w:tcPr>
          <w:p w14:paraId="20CA0B98"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2042" w:type="dxa"/>
            <w:tcBorders>
              <w:top w:val="nil"/>
              <w:left w:val="nil"/>
              <w:bottom w:val="nil"/>
              <w:right w:val="nil"/>
            </w:tcBorders>
            <w:shd w:val="clear" w:color="auto" w:fill="auto"/>
            <w:noWrap/>
            <w:vAlign w:val="bottom"/>
            <w:hideMark/>
          </w:tcPr>
          <w:p w14:paraId="022B86A9"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6438" w:type="dxa"/>
            <w:tcBorders>
              <w:top w:val="nil"/>
              <w:left w:val="nil"/>
              <w:bottom w:val="nil"/>
              <w:right w:val="nil"/>
            </w:tcBorders>
            <w:shd w:val="clear" w:color="auto" w:fill="auto"/>
            <w:vAlign w:val="center"/>
            <w:hideMark/>
          </w:tcPr>
          <w:p w14:paraId="5AD9BCF6"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For obese, individuals and those with metabolic syndrome, supplementation of 2000 IU/day </w:t>
            </w:r>
          </w:p>
        </w:tc>
        <w:tc>
          <w:tcPr>
            <w:tcW w:w="3119" w:type="dxa"/>
            <w:tcBorders>
              <w:top w:val="nil"/>
              <w:left w:val="nil"/>
              <w:bottom w:val="nil"/>
              <w:right w:val="nil"/>
            </w:tcBorders>
            <w:shd w:val="clear" w:color="auto" w:fill="auto"/>
            <w:noWrap/>
            <w:vAlign w:val="bottom"/>
            <w:hideMark/>
          </w:tcPr>
          <w:p w14:paraId="6E3312B7" w14:textId="77777777" w:rsidR="00817A40" w:rsidRPr="00817A40" w:rsidRDefault="00817A40" w:rsidP="00817A40">
            <w:pPr>
              <w:spacing w:line="240" w:lineRule="auto"/>
              <w:rPr>
                <w:rFonts w:ascii="Calibri" w:eastAsia="Times New Roman" w:hAnsi="Calibri" w:cs="Calibri"/>
                <w:sz w:val="16"/>
                <w:szCs w:val="16"/>
                <w:lang w:val="en-GB" w:eastAsia="en-US"/>
              </w:rPr>
            </w:pPr>
          </w:p>
        </w:tc>
        <w:tc>
          <w:tcPr>
            <w:tcW w:w="1276" w:type="dxa"/>
            <w:tcBorders>
              <w:top w:val="nil"/>
              <w:left w:val="nil"/>
              <w:bottom w:val="nil"/>
              <w:right w:val="nil"/>
            </w:tcBorders>
            <w:shd w:val="clear" w:color="auto" w:fill="auto"/>
            <w:noWrap/>
            <w:vAlign w:val="bottom"/>
            <w:hideMark/>
          </w:tcPr>
          <w:p w14:paraId="3861F629"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c>
          <w:tcPr>
            <w:tcW w:w="907" w:type="dxa"/>
            <w:tcBorders>
              <w:top w:val="nil"/>
              <w:left w:val="nil"/>
              <w:bottom w:val="nil"/>
              <w:right w:val="nil"/>
            </w:tcBorders>
            <w:shd w:val="clear" w:color="auto" w:fill="auto"/>
            <w:noWrap/>
            <w:vAlign w:val="bottom"/>
            <w:hideMark/>
          </w:tcPr>
          <w:p w14:paraId="212D4A27"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7C7A68FF" w14:textId="77777777" w:rsidTr="00780344">
        <w:trPr>
          <w:trHeight w:val="840"/>
        </w:trPr>
        <w:tc>
          <w:tcPr>
            <w:tcW w:w="1726" w:type="dxa"/>
            <w:tcBorders>
              <w:top w:val="nil"/>
              <w:left w:val="nil"/>
              <w:bottom w:val="single" w:sz="4" w:space="0" w:color="auto"/>
              <w:right w:val="nil"/>
            </w:tcBorders>
            <w:shd w:val="clear" w:color="auto" w:fill="auto"/>
            <w:noWrap/>
            <w:vAlign w:val="bottom"/>
            <w:hideMark/>
          </w:tcPr>
          <w:p w14:paraId="67F69399"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798938F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205C04A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For individuals with dark skin complexions and for night workers, supplementation of 1000</w:t>
            </w:r>
            <w:r w:rsidRPr="00817A40">
              <w:rPr>
                <w:rFonts w:ascii="AdvOT863180fb+20" w:eastAsia="Times New Roman" w:hAnsi="AdvOT863180fb+20" w:cs="Calibri"/>
                <w:sz w:val="16"/>
                <w:szCs w:val="16"/>
                <w:lang w:val="en-GB" w:eastAsia="en-US"/>
              </w:rPr>
              <w:t>–</w:t>
            </w:r>
            <w:r w:rsidRPr="00817A40">
              <w:rPr>
                <w:rFonts w:ascii="AdvOT863180fb" w:eastAsia="Times New Roman" w:hAnsi="AdvOT863180fb" w:cs="Calibri"/>
                <w:sz w:val="16"/>
                <w:szCs w:val="16"/>
                <w:lang w:val="en-GB" w:eastAsia="en-US"/>
              </w:rPr>
              <w:t>2000 IU/day (25</w:t>
            </w:r>
            <w:r w:rsidRPr="00817A40">
              <w:rPr>
                <w:rFonts w:ascii="AdvOT863180fb+20" w:eastAsia="Times New Roman" w:hAnsi="AdvOT863180fb+20" w:cs="Calibri"/>
                <w:sz w:val="16"/>
                <w:szCs w:val="16"/>
                <w:lang w:val="en-GB" w:eastAsia="en-US"/>
              </w:rPr>
              <w:t>–</w:t>
            </w:r>
            <w:r w:rsidRPr="00817A40">
              <w:rPr>
                <w:rFonts w:ascii="AdvOT863180fb" w:eastAsia="Times New Roman" w:hAnsi="AdvOT863180fb" w:cs="Calibri"/>
                <w:sz w:val="16"/>
                <w:szCs w:val="16"/>
                <w:lang w:val="en-GB" w:eastAsia="en-US"/>
              </w:rPr>
              <w:t>50</w:t>
            </w:r>
            <w:r w:rsidRPr="00817A40">
              <w:rPr>
                <w:rFonts w:ascii="AdvP7DA6" w:eastAsia="Times New Roman" w:hAnsi="AdvP7DA6" w:cs="Calibri"/>
                <w:sz w:val="16"/>
                <w:szCs w:val="16"/>
                <w:lang w:val="en-GB" w:eastAsia="en-US"/>
              </w:rPr>
              <w:t>m</w:t>
            </w:r>
            <w:r w:rsidRPr="00817A40">
              <w:rPr>
                <w:rFonts w:ascii="AdvOT863180fb" w:eastAsia="Times New Roman" w:hAnsi="AdvOT863180fb" w:cs="Calibri"/>
                <w:sz w:val="16"/>
                <w:szCs w:val="16"/>
                <w:lang w:val="en-GB" w:eastAsia="en-US"/>
              </w:rPr>
              <w:t xml:space="preserve">g/day), throughout the year, depending on body weight. </w:t>
            </w:r>
          </w:p>
        </w:tc>
        <w:tc>
          <w:tcPr>
            <w:tcW w:w="3119" w:type="dxa"/>
            <w:tcBorders>
              <w:top w:val="nil"/>
              <w:left w:val="nil"/>
              <w:bottom w:val="single" w:sz="4" w:space="0" w:color="auto"/>
              <w:right w:val="nil"/>
            </w:tcBorders>
            <w:shd w:val="clear" w:color="auto" w:fill="auto"/>
            <w:noWrap/>
            <w:vAlign w:val="bottom"/>
            <w:hideMark/>
          </w:tcPr>
          <w:p w14:paraId="052C0E55"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1276" w:type="dxa"/>
            <w:tcBorders>
              <w:top w:val="nil"/>
              <w:left w:val="nil"/>
              <w:bottom w:val="single" w:sz="4" w:space="0" w:color="auto"/>
              <w:right w:val="nil"/>
            </w:tcBorders>
            <w:shd w:val="clear" w:color="auto" w:fill="auto"/>
            <w:noWrap/>
            <w:vAlign w:val="bottom"/>
            <w:hideMark/>
          </w:tcPr>
          <w:p w14:paraId="062E902D"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435DB1C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r w:rsidR="00817A40" w:rsidRPr="001C4F18" w14:paraId="4845B3AA" w14:textId="77777777" w:rsidTr="00780344">
        <w:trPr>
          <w:trHeight w:val="960"/>
        </w:trPr>
        <w:tc>
          <w:tcPr>
            <w:tcW w:w="1726" w:type="dxa"/>
            <w:tcBorders>
              <w:top w:val="nil"/>
              <w:left w:val="nil"/>
              <w:bottom w:val="nil"/>
              <w:right w:val="nil"/>
            </w:tcBorders>
            <w:shd w:val="clear" w:color="auto" w:fill="auto"/>
            <w:vAlign w:val="bottom"/>
            <w:hideMark/>
          </w:tcPr>
          <w:p w14:paraId="7F1AFDF0"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Korean Association of Internal Medicine / Geriatrics Society</w:t>
            </w:r>
            <w:r w:rsidR="00122A2E">
              <w:rPr>
                <w:rFonts w:ascii="Calibri" w:eastAsia="Times New Roman" w:hAnsi="Calibri" w:cs="Calibri"/>
                <w:sz w:val="16"/>
                <w:szCs w:val="16"/>
                <w:lang w:val="en-GB" w:eastAsia="en-US"/>
              </w:rPr>
              <w:t xml:space="preserve"> </w:t>
            </w:r>
            <w:r w:rsidR="00122A2E">
              <w:rPr>
                <w:rFonts w:ascii="Calibri" w:eastAsia="Times New Roman" w:hAnsi="Calibri" w:cs="Calibri"/>
                <w:sz w:val="16"/>
                <w:szCs w:val="16"/>
                <w:lang w:val="en-GB" w:eastAsia="en-US"/>
              </w:rPr>
              <w:fldChar w:fldCharType="begin" w:fldLock="1"/>
            </w:r>
            <w:r w:rsidR="006D3C2D">
              <w:rPr>
                <w:rFonts w:ascii="Calibri" w:eastAsia="Times New Roman" w:hAnsi="Calibri" w:cs="Calibri"/>
                <w:sz w:val="16"/>
                <w:szCs w:val="16"/>
                <w:lang w:val="en-GB" w:eastAsia="en-US"/>
              </w:rPr>
              <w:instrText>ADDIN CSL_CITATION {"citationItems":[{"id":"ITEM-1","itemData":{"DOI":"10.3904/kjim.2016.218","ISSN":"2005-6648 1226-3303","PMID":"28049285","abstract":"Falls and fall-related injuries are common in older populations and have negative effects on quality of life and independence. Falling is also associated with increased morbidity, mortality, nursing home admission, and medical costs. Korea has experienced an extreme demographic shift with its population aging at the fastest pace among developed countries, so it is important to assess fall risks and develop interventions for high-risk populations. Guidelines for the prevention of falls were first developed by the Korean Association of Internal Medicine and the Korean Geriatrics Society. These guidelines were developed through an adaptation process as an evidence-based method; four guidelines were retrieved via systematic review and the Appraisal of Guidelines for Research and Evaluation II process, and seven recommendations were developed based on the Grades of Recommendation, Assessment, Development, and Evaluation framework. Because falls are the result of various factors, the guidelines include a multidimensional assessment and multimodal strategy. The guidelines were developed for primary physicians as well as patients and the general population. They provide detailed recommendations and concrete measures to assess risk and prevent falls among older people.","author":[{"dropping-particle":"","family":"Kim","given":"Kwang-Il","non-dropping-particle":"","parse-names":false,"suffix":""},{"dropping-particle":"","family":"Jung","given":"Hye-Kyung","non-dropping-particle":"","parse-names":false,"suffix":""},{"dropping-particle":"","family":"Kim","given":"Chang Oh","non-dropping-particle":"","parse-names":false,"suffix":""},{"dropping-particle":"","family":"Kim","given":"Soo-Kyung","non-dropping-particle":"","parse-names":false,"suffix":""},{"dropping-particle":"","family":"Cho","given":"Hyun-Ho","non-dropping-particle":"","parse-names":false,"suffix":""},{"dropping-particle":"","family":"Kim","given":"Dae Yul","non-dropping-particle":"","parse-names":false,"suffix":""},{"dropping-particle":"","family":"Ha","given":"Yong-Chan","non-dropping-particle":"","parse-names":false,"suffix":""},{"dropping-particle":"","family":"Hwang","given":"Sung-Hee","non-dropping-particle":"","parse-names":false,"suffix":""},{"dropping-particle":"","family":"Won","given":"Chang Won","non-dropping-particle":"","parse-names":false,"suffix":""},{"dropping-particle":"","family":"Lim","given":"Jae-Young","non-dropping-particle":"","parse-names":false,"suffix":""},{"dropping-particle":"","family":"Kim","given":"Hyun Jung","non-dropping-particle":"","parse-names":false,"suffix":""},{"dropping-particle":"","family":"Kim","given":"Jae Gyu","non-dropping-particle":"","parse-names":false,"suffix":""}],"container-title":"The Korean journal of internal medicine","id":"ITEM-1","issue":"1","issued":{"date-parts":[["2017"]]},"page":"199-210","title":"Evidence-based guidelines for fall prevention in Korea.","type":"article-journal","volume":"32"},"uris":["http://www.mendeley.com/documents/?uuid=a45cfcea-3cd1-4654-aaf5-5d03ac9cf89a"]}],"mendeley":{"formattedCitation":"&lt;sup&gt;26&lt;/sup&gt;","plainTextFormattedCitation":"26","previouslyFormattedCitation":"&lt;sup&gt;26&lt;/sup&gt;"},"properties":{"noteIndex":0},"schema":"https://github.com/citation-style-language/schema/raw/master/csl-citation.json"}</w:instrText>
            </w:r>
            <w:r w:rsidR="00122A2E">
              <w:rPr>
                <w:rFonts w:ascii="Calibri" w:eastAsia="Times New Roman" w:hAnsi="Calibri" w:cs="Calibri"/>
                <w:sz w:val="16"/>
                <w:szCs w:val="16"/>
                <w:lang w:val="en-GB" w:eastAsia="en-US"/>
              </w:rPr>
              <w:fldChar w:fldCharType="separate"/>
            </w:r>
            <w:r w:rsidR="005B42D5" w:rsidRPr="005B42D5">
              <w:rPr>
                <w:rFonts w:ascii="Calibri" w:eastAsia="Times New Roman" w:hAnsi="Calibri" w:cs="Calibri"/>
                <w:noProof/>
                <w:sz w:val="16"/>
                <w:szCs w:val="16"/>
                <w:vertAlign w:val="superscript"/>
                <w:lang w:val="en-GB" w:eastAsia="en-US"/>
              </w:rPr>
              <w:t>26</w:t>
            </w:r>
            <w:r w:rsidR="00122A2E">
              <w:rPr>
                <w:rFonts w:ascii="Calibri" w:eastAsia="Times New Roman" w:hAnsi="Calibri" w:cs="Calibri"/>
                <w:sz w:val="16"/>
                <w:szCs w:val="16"/>
                <w:lang w:val="en-GB" w:eastAsia="en-US"/>
              </w:rPr>
              <w:fldChar w:fldCharType="end"/>
            </w:r>
          </w:p>
        </w:tc>
        <w:tc>
          <w:tcPr>
            <w:tcW w:w="2042" w:type="dxa"/>
            <w:tcBorders>
              <w:top w:val="nil"/>
              <w:left w:val="nil"/>
              <w:bottom w:val="nil"/>
              <w:right w:val="nil"/>
            </w:tcBorders>
            <w:shd w:val="clear" w:color="auto" w:fill="auto"/>
            <w:vAlign w:val="center"/>
            <w:hideMark/>
          </w:tcPr>
          <w:p w14:paraId="498CD167"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xml:space="preserve">Evidence-based guidelines for fall prevention in Korea </w:t>
            </w:r>
          </w:p>
        </w:tc>
        <w:tc>
          <w:tcPr>
            <w:tcW w:w="6438" w:type="dxa"/>
            <w:tcBorders>
              <w:top w:val="nil"/>
              <w:left w:val="nil"/>
              <w:bottom w:val="nil"/>
              <w:right w:val="nil"/>
            </w:tcBorders>
            <w:shd w:val="clear" w:color="auto" w:fill="auto"/>
            <w:vAlign w:val="center"/>
            <w:hideMark/>
          </w:tcPr>
          <w:p w14:paraId="3A4A47F1"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The use of comb</w:t>
            </w:r>
            <w:r w:rsidR="001952F3">
              <w:rPr>
                <w:rFonts w:ascii="Calibri" w:eastAsia="Times New Roman" w:hAnsi="Calibri" w:cs="Calibri"/>
                <w:sz w:val="16"/>
                <w:szCs w:val="16"/>
                <w:lang w:val="en-GB" w:eastAsia="en-US"/>
              </w:rPr>
              <w:t>ined vitamin D and calcium sup</w:t>
            </w:r>
            <w:r w:rsidRPr="00817A40">
              <w:rPr>
                <w:rFonts w:ascii="Calibri" w:eastAsia="Times New Roman" w:hAnsi="Calibri" w:cs="Calibri"/>
                <w:sz w:val="16"/>
                <w:szCs w:val="16"/>
                <w:lang w:val="en-GB" w:eastAsia="en-US"/>
              </w:rPr>
              <w:t xml:space="preserve">plementation may be recommended to prevent fractures in community-dwelling elderly who are at an increased risk for falls. </w:t>
            </w:r>
          </w:p>
        </w:tc>
        <w:tc>
          <w:tcPr>
            <w:tcW w:w="3119" w:type="dxa"/>
            <w:tcBorders>
              <w:top w:val="nil"/>
              <w:left w:val="nil"/>
              <w:bottom w:val="nil"/>
              <w:right w:val="nil"/>
            </w:tcBorders>
            <w:shd w:val="clear" w:color="auto" w:fill="auto"/>
            <w:vAlign w:val="center"/>
            <w:hideMark/>
          </w:tcPr>
          <w:p w14:paraId="4EB6B520" w14:textId="77777777" w:rsidR="00817A40" w:rsidRPr="00817A40" w:rsidRDefault="00CF63C8" w:rsidP="00817A40">
            <w:pPr>
              <w:spacing w:line="240" w:lineRule="auto"/>
              <w:jc w:val="center"/>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 xml:space="preserve">Grade of recommendation: 2 </w:t>
            </w:r>
            <w:r w:rsidR="00817A40" w:rsidRPr="00817A40">
              <w:rPr>
                <w:rFonts w:ascii="Calibri" w:eastAsia="Times New Roman" w:hAnsi="Calibri" w:cs="Calibri"/>
                <w:sz w:val="16"/>
                <w:szCs w:val="16"/>
                <w:lang w:val="en-GB" w:eastAsia="en-US"/>
              </w:rPr>
              <w:t>Level of evidence: E</w:t>
            </w:r>
          </w:p>
        </w:tc>
        <w:tc>
          <w:tcPr>
            <w:tcW w:w="1276" w:type="dxa"/>
            <w:tcBorders>
              <w:top w:val="nil"/>
              <w:left w:val="nil"/>
              <w:bottom w:val="nil"/>
              <w:right w:val="nil"/>
            </w:tcBorders>
            <w:shd w:val="clear" w:color="auto" w:fill="auto"/>
            <w:noWrap/>
            <w:vAlign w:val="bottom"/>
            <w:hideMark/>
          </w:tcPr>
          <w:p w14:paraId="524F7EE4" w14:textId="77777777" w:rsidR="00817A40" w:rsidRPr="00817A40" w:rsidRDefault="00817A40" w:rsidP="00817A40">
            <w:pPr>
              <w:spacing w:line="240" w:lineRule="auto"/>
              <w:jc w:val="center"/>
              <w:rPr>
                <w:rFonts w:ascii="Calibri" w:eastAsia="Times New Roman" w:hAnsi="Calibri" w:cs="Calibri"/>
                <w:sz w:val="16"/>
                <w:szCs w:val="16"/>
                <w:lang w:val="en-GB" w:eastAsia="en-US"/>
              </w:rPr>
            </w:pPr>
          </w:p>
        </w:tc>
        <w:tc>
          <w:tcPr>
            <w:tcW w:w="907" w:type="dxa"/>
            <w:tcBorders>
              <w:top w:val="nil"/>
              <w:left w:val="nil"/>
              <w:bottom w:val="nil"/>
              <w:right w:val="nil"/>
            </w:tcBorders>
            <w:shd w:val="clear" w:color="auto" w:fill="auto"/>
            <w:noWrap/>
            <w:vAlign w:val="bottom"/>
            <w:hideMark/>
          </w:tcPr>
          <w:p w14:paraId="4EC3CABE" w14:textId="77777777" w:rsidR="00817A40" w:rsidRPr="00817A40" w:rsidRDefault="00817A40" w:rsidP="00817A40">
            <w:pPr>
              <w:spacing w:line="240" w:lineRule="auto"/>
              <w:rPr>
                <w:rFonts w:ascii="Times New Roman" w:eastAsia="Times New Roman" w:hAnsi="Times New Roman" w:cs="Times New Roman"/>
                <w:color w:val="auto"/>
                <w:sz w:val="16"/>
                <w:szCs w:val="16"/>
                <w:lang w:val="en-GB" w:eastAsia="en-US"/>
              </w:rPr>
            </w:pPr>
          </w:p>
        </w:tc>
      </w:tr>
      <w:tr w:rsidR="00817A40" w:rsidRPr="001C4F18" w14:paraId="5B43D1CE" w14:textId="77777777" w:rsidTr="00780344">
        <w:trPr>
          <w:trHeight w:val="960"/>
        </w:trPr>
        <w:tc>
          <w:tcPr>
            <w:tcW w:w="1726" w:type="dxa"/>
            <w:tcBorders>
              <w:top w:val="nil"/>
              <w:left w:val="nil"/>
              <w:bottom w:val="single" w:sz="4" w:space="0" w:color="auto"/>
              <w:right w:val="nil"/>
            </w:tcBorders>
            <w:shd w:val="clear" w:color="auto" w:fill="auto"/>
            <w:noWrap/>
            <w:vAlign w:val="bottom"/>
            <w:hideMark/>
          </w:tcPr>
          <w:p w14:paraId="350A5607" w14:textId="40E21E2F" w:rsidR="00817A40" w:rsidRPr="00817A40" w:rsidRDefault="00817A40" w:rsidP="001C4F18">
            <w:pPr>
              <w:widowControl w:val="0"/>
              <w:autoSpaceDE w:val="0"/>
              <w:autoSpaceDN w:val="0"/>
              <w:adjustRightInd w:val="0"/>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2042" w:type="dxa"/>
            <w:tcBorders>
              <w:top w:val="nil"/>
              <w:left w:val="nil"/>
              <w:bottom w:val="single" w:sz="4" w:space="0" w:color="auto"/>
              <w:right w:val="nil"/>
            </w:tcBorders>
            <w:shd w:val="clear" w:color="auto" w:fill="auto"/>
            <w:noWrap/>
            <w:vAlign w:val="bottom"/>
            <w:hideMark/>
          </w:tcPr>
          <w:p w14:paraId="68931924"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6438" w:type="dxa"/>
            <w:tcBorders>
              <w:top w:val="nil"/>
              <w:left w:val="nil"/>
              <w:bottom w:val="single" w:sz="4" w:space="0" w:color="auto"/>
              <w:right w:val="nil"/>
            </w:tcBorders>
            <w:shd w:val="clear" w:color="auto" w:fill="auto"/>
            <w:vAlign w:val="center"/>
            <w:hideMark/>
          </w:tcPr>
          <w:p w14:paraId="6E3868AB"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Vitamin D supplementation may be recommended to prevent falls i</w:t>
            </w:r>
            <w:r w:rsidR="001952F3">
              <w:rPr>
                <w:rFonts w:ascii="Calibri" w:eastAsia="Times New Roman" w:hAnsi="Calibri" w:cs="Calibri"/>
                <w:sz w:val="16"/>
                <w:szCs w:val="16"/>
                <w:lang w:val="en-GB" w:eastAsia="en-US"/>
              </w:rPr>
              <w:t>n community-dwelling older peo</w:t>
            </w:r>
            <w:r w:rsidRPr="00817A40">
              <w:rPr>
                <w:rFonts w:ascii="Calibri" w:eastAsia="Times New Roman" w:hAnsi="Calibri" w:cs="Calibri"/>
                <w:sz w:val="16"/>
                <w:szCs w:val="16"/>
                <w:lang w:val="en-GB" w:eastAsia="en-US"/>
              </w:rPr>
              <w:t xml:space="preserve">ple who have low vitamin D levels. </w:t>
            </w:r>
          </w:p>
        </w:tc>
        <w:tc>
          <w:tcPr>
            <w:tcW w:w="3119" w:type="dxa"/>
            <w:tcBorders>
              <w:top w:val="nil"/>
              <w:left w:val="nil"/>
              <w:bottom w:val="single" w:sz="4" w:space="0" w:color="auto"/>
              <w:right w:val="nil"/>
            </w:tcBorders>
            <w:shd w:val="clear" w:color="auto" w:fill="auto"/>
            <w:vAlign w:val="center"/>
            <w:hideMark/>
          </w:tcPr>
          <w:p w14:paraId="05146C39" w14:textId="77777777" w:rsidR="00817A40" w:rsidRPr="00817A40" w:rsidRDefault="00CF63C8" w:rsidP="00817A40">
            <w:pPr>
              <w:spacing w:line="240" w:lineRule="auto"/>
              <w:jc w:val="center"/>
              <w:rPr>
                <w:rFonts w:ascii="Calibri" w:eastAsia="Times New Roman" w:hAnsi="Calibri" w:cs="Calibri"/>
                <w:sz w:val="16"/>
                <w:szCs w:val="16"/>
                <w:lang w:val="en-GB" w:eastAsia="en-US"/>
              </w:rPr>
            </w:pPr>
            <w:r>
              <w:rPr>
                <w:rFonts w:ascii="Calibri" w:eastAsia="Times New Roman" w:hAnsi="Calibri" w:cs="Calibri"/>
                <w:sz w:val="16"/>
                <w:szCs w:val="16"/>
                <w:lang w:val="en-GB" w:eastAsia="en-US"/>
              </w:rPr>
              <w:t>Grade of recommendation: 2</w:t>
            </w:r>
            <w:r w:rsidR="00817A40" w:rsidRPr="00817A40">
              <w:rPr>
                <w:rFonts w:ascii="Calibri" w:eastAsia="Times New Roman" w:hAnsi="Calibri" w:cs="Calibri"/>
                <w:sz w:val="16"/>
                <w:szCs w:val="16"/>
                <w:lang w:val="en-GB" w:eastAsia="en-US"/>
              </w:rPr>
              <w:t xml:space="preserve"> Level of evidence: E</w:t>
            </w:r>
          </w:p>
        </w:tc>
        <w:tc>
          <w:tcPr>
            <w:tcW w:w="1276" w:type="dxa"/>
            <w:tcBorders>
              <w:top w:val="nil"/>
              <w:left w:val="nil"/>
              <w:bottom w:val="single" w:sz="4" w:space="0" w:color="auto"/>
              <w:right w:val="nil"/>
            </w:tcBorders>
            <w:shd w:val="clear" w:color="auto" w:fill="auto"/>
            <w:noWrap/>
            <w:vAlign w:val="bottom"/>
            <w:hideMark/>
          </w:tcPr>
          <w:p w14:paraId="7B88832C"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c>
          <w:tcPr>
            <w:tcW w:w="907" w:type="dxa"/>
            <w:tcBorders>
              <w:top w:val="nil"/>
              <w:left w:val="nil"/>
              <w:bottom w:val="single" w:sz="4" w:space="0" w:color="auto"/>
              <w:right w:val="nil"/>
            </w:tcBorders>
            <w:shd w:val="clear" w:color="auto" w:fill="auto"/>
            <w:noWrap/>
            <w:vAlign w:val="bottom"/>
            <w:hideMark/>
          </w:tcPr>
          <w:p w14:paraId="3F1D1F3A" w14:textId="77777777" w:rsidR="00817A40" w:rsidRPr="00817A40" w:rsidRDefault="00817A40" w:rsidP="00817A40">
            <w:pPr>
              <w:spacing w:line="240" w:lineRule="auto"/>
              <w:rPr>
                <w:rFonts w:ascii="Calibri" w:eastAsia="Times New Roman" w:hAnsi="Calibri" w:cs="Calibri"/>
                <w:sz w:val="16"/>
                <w:szCs w:val="16"/>
                <w:lang w:val="en-GB" w:eastAsia="en-US"/>
              </w:rPr>
            </w:pPr>
            <w:r w:rsidRPr="00817A40">
              <w:rPr>
                <w:rFonts w:ascii="Calibri" w:eastAsia="Times New Roman" w:hAnsi="Calibri" w:cs="Calibri"/>
                <w:sz w:val="16"/>
                <w:szCs w:val="16"/>
                <w:lang w:val="en-GB" w:eastAsia="en-US"/>
              </w:rPr>
              <w:t> </w:t>
            </w:r>
          </w:p>
        </w:tc>
      </w:tr>
    </w:tbl>
    <w:p w14:paraId="53D4AE97" w14:textId="77777777" w:rsidR="006742E7" w:rsidRDefault="006742E7" w:rsidP="00953422">
      <w:pPr>
        <w:tabs>
          <w:tab w:val="left" w:pos="7143"/>
        </w:tabs>
        <w:rPr>
          <w:sz w:val="24"/>
          <w:szCs w:val="24"/>
          <w:lang w:val="en-GB"/>
        </w:rPr>
        <w:sectPr w:rsidR="006742E7" w:rsidSect="001737C0">
          <w:headerReference w:type="even" r:id="rId8"/>
          <w:headerReference w:type="default" r:id="rId9"/>
          <w:footerReference w:type="even" r:id="rId10"/>
          <w:footerReference w:type="default" r:id="rId11"/>
          <w:headerReference w:type="first" r:id="rId12"/>
          <w:footerReference w:type="first" r:id="rId13"/>
          <w:pgSz w:w="16840" w:h="11901" w:orient="landscape"/>
          <w:pgMar w:top="720" w:right="720" w:bottom="720" w:left="720" w:header="720" w:footer="720" w:gutter="0"/>
          <w:pgNumType w:start="1"/>
          <w:cols w:space="720"/>
          <w:docGrid w:linePitch="299"/>
        </w:sectPr>
      </w:pPr>
    </w:p>
    <w:p w14:paraId="3FB49529" w14:textId="77777777" w:rsidR="001C4F18" w:rsidRPr="006742E7" w:rsidRDefault="001C4F18">
      <w:pPr>
        <w:widowControl w:val="0"/>
        <w:autoSpaceDE w:val="0"/>
        <w:autoSpaceDN w:val="0"/>
        <w:adjustRightInd w:val="0"/>
        <w:spacing w:line="240" w:lineRule="auto"/>
        <w:rPr>
          <w:sz w:val="24"/>
          <w:szCs w:val="24"/>
          <w:lang w:val="en-GB"/>
        </w:rPr>
      </w:pPr>
      <w:bookmarkStart w:id="0" w:name="_GoBack"/>
      <w:bookmarkEnd w:id="0"/>
    </w:p>
    <w:sectPr w:rsidR="001C4F18" w:rsidRPr="006742E7" w:rsidSect="001C4F18">
      <w:pgSz w:w="16840" w:h="11901" w:orient="landscape"/>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5F8E2" w14:textId="77777777" w:rsidR="00EE6FD8" w:rsidRDefault="00EE6FD8" w:rsidP="006109E7">
      <w:pPr>
        <w:spacing w:line="240" w:lineRule="auto"/>
      </w:pPr>
      <w:r>
        <w:separator/>
      </w:r>
    </w:p>
  </w:endnote>
  <w:endnote w:type="continuationSeparator" w:id="0">
    <w:p w14:paraId="3B2E52F6" w14:textId="77777777" w:rsidR="00EE6FD8" w:rsidRDefault="00EE6FD8" w:rsidP="006109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2EFF" w:usb1="C000785B" w:usb2="00000009" w:usb3="00000000" w:csb0="000001FF" w:csb1="00000000"/>
  </w:font>
  <w:font w:name="System">
    <w:panose1 w:val="020B0604020202020204"/>
    <w:charset w:val="00"/>
    <w:family w:val="swiss"/>
    <w:pitch w:val="variable"/>
    <w:sig w:usb0="00000003" w:usb1="00000000" w:usb2="00000000" w:usb3="00000000" w:csb0="00000001" w:csb1="00000000"/>
  </w:font>
  <w:font w:name="Calibri (Cuerpo)">
    <w:altName w:val="Calibri"/>
    <w:panose1 w:val="020B0604020202020204"/>
    <w:charset w:val="00"/>
    <w:family w:val="roman"/>
    <w:notTrueType/>
    <w:pitch w:val="default"/>
  </w:font>
  <w:font w:name="VerdanaItalic">
    <w:altName w:val="Verdana"/>
    <w:panose1 w:val="020B0604020202020204"/>
    <w:charset w:val="00"/>
    <w:family w:val="roman"/>
    <w:notTrueType/>
    <w:pitch w:val="default"/>
  </w:font>
  <w:font w:name="VerdanaRegular">
    <w:altName w:val="Verdana"/>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AdvTT2acb703b+03">
    <w:altName w:val="Cambria"/>
    <w:panose1 w:val="020B0604020202020204"/>
    <w:charset w:val="00"/>
    <w:family w:val="roman"/>
    <w:notTrueType/>
    <w:pitch w:val="default"/>
  </w:font>
  <w:font w:name="AdvTT2acb703b">
    <w:altName w:val="Cambria"/>
    <w:panose1 w:val="020B0604020202020204"/>
    <w:charset w:val="00"/>
    <w:family w:val="roman"/>
    <w:notTrueType/>
    <w:pitch w:val="default"/>
  </w:font>
  <w:font w:name="AvenirLTStd">
    <w:altName w:val="Cambria"/>
    <w:panose1 w:val="020B0604020202020204"/>
    <w:charset w:val="00"/>
    <w:family w:val="roman"/>
    <w:notTrueType/>
    <w:pitch w:val="default"/>
  </w:font>
  <w:font w:name="Arial,Bold">
    <w:altName w:val="Arial"/>
    <w:panose1 w:val="020B0604020202020204"/>
    <w:charset w:val="00"/>
    <w:family w:val="roman"/>
    <w:notTrueType/>
    <w:pitch w:val="default"/>
  </w:font>
  <w:font w:name="Segoe UI">
    <w:altName w:val="Sylfaen"/>
    <w:panose1 w:val="020B0604020202020204"/>
    <w:charset w:val="00"/>
    <w:family w:val="swiss"/>
    <w:pitch w:val="variable"/>
    <w:sig w:usb0="E4002EFF" w:usb1="C000E47F" w:usb2="00000009" w:usb3="00000000" w:csb0="000001FF" w:csb1="00000000"/>
  </w:font>
  <w:font w:name="TimesNewRomanPSMT">
    <w:altName w:val="Times New Roman"/>
    <w:panose1 w:val="020B0604020202020204"/>
    <w:charset w:val="00"/>
    <w:family w:val="roman"/>
    <w:pitch w:val="variable"/>
    <w:sig w:usb0="E0002AEF" w:usb1="C0007841" w:usb2="00000009" w:usb3="00000000" w:csb0="000001FF" w:csb1="00000000"/>
  </w:font>
  <w:font w:name="FrutigerLT">
    <w:altName w:val="Cambria"/>
    <w:panose1 w:val="020B0604020202020204"/>
    <w:charset w:val="00"/>
    <w:family w:val="roman"/>
    <w:notTrueType/>
    <w:pitch w:val="default"/>
  </w:font>
  <w:font w:name="MyriadPro">
    <w:altName w:val="Cambria"/>
    <w:panose1 w:val="020B0604020202020204"/>
    <w:charset w:val="00"/>
    <w:family w:val="roman"/>
    <w:notTrueType/>
    <w:pitch w:val="default"/>
  </w:font>
  <w:font w:name="AdvOT863180fb+20">
    <w:altName w:val="Cambria"/>
    <w:panose1 w:val="020B0604020202020204"/>
    <w:charset w:val="00"/>
    <w:family w:val="roman"/>
    <w:notTrueType/>
    <w:pitch w:val="default"/>
  </w:font>
  <w:font w:name="AdvOT863180fb">
    <w:altName w:val="Cambria"/>
    <w:panose1 w:val="020B0604020202020204"/>
    <w:charset w:val="00"/>
    <w:family w:val="roman"/>
    <w:notTrueType/>
    <w:pitch w:val="default"/>
  </w:font>
  <w:font w:name="AdvP7DA6">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D6D7A" w14:textId="77777777" w:rsidR="005B42D5" w:rsidRDefault="005B42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2DE53" w14:textId="77777777" w:rsidR="005B42D5" w:rsidRDefault="005B42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0F8B8" w14:textId="77777777" w:rsidR="005B42D5" w:rsidRDefault="005B42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36A25" w14:textId="77777777" w:rsidR="00EE6FD8" w:rsidRDefault="00EE6FD8" w:rsidP="006109E7">
      <w:pPr>
        <w:spacing w:line="240" w:lineRule="auto"/>
      </w:pPr>
      <w:r>
        <w:separator/>
      </w:r>
    </w:p>
  </w:footnote>
  <w:footnote w:type="continuationSeparator" w:id="0">
    <w:p w14:paraId="280BC009" w14:textId="77777777" w:rsidR="00EE6FD8" w:rsidRDefault="00EE6FD8" w:rsidP="006109E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67BF3" w14:textId="77777777" w:rsidR="005B42D5" w:rsidRDefault="005B42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8A803" w14:textId="77777777" w:rsidR="005B42D5" w:rsidRDefault="005B42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676C2" w14:textId="77777777" w:rsidR="005B42D5" w:rsidRDefault="005B42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D14775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F26CE7"/>
    <w:multiLevelType w:val="hybridMultilevel"/>
    <w:tmpl w:val="532AFEF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C611E3"/>
    <w:multiLevelType w:val="multilevel"/>
    <w:tmpl w:val="D4149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C652F3"/>
    <w:multiLevelType w:val="multilevel"/>
    <w:tmpl w:val="FFFFFFFF"/>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367320AB"/>
    <w:multiLevelType w:val="hybridMultilevel"/>
    <w:tmpl w:val="F24007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4273678"/>
    <w:multiLevelType w:val="hybridMultilevel"/>
    <w:tmpl w:val="AF1EA564"/>
    <w:lvl w:ilvl="0" w:tplc="FD4ACBFA">
      <w:numFmt w:val="bullet"/>
      <w:lvlText w:val="-"/>
      <w:lvlJc w:val="left"/>
      <w:pPr>
        <w:tabs>
          <w:tab w:val="num" w:pos="720"/>
        </w:tabs>
        <w:ind w:left="720" w:hanging="360"/>
      </w:pPr>
      <w:rPr>
        <w:rFonts w:ascii="Arial" w:eastAsia="Arial"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4C95B5E"/>
    <w:multiLevelType w:val="hybridMultilevel"/>
    <w:tmpl w:val="E00A78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08D171B"/>
    <w:multiLevelType w:val="multilevel"/>
    <w:tmpl w:val="FFFFFFFF"/>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7"/>
  </w:num>
  <w:num w:numId="3">
    <w:abstractNumId w:val="1"/>
  </w:num>
  <w:num w:numId="4">
    <w:abstractNumId w:val="4"/>
  </w:num>
  <w:num w:numId="5">
    <w:abstractNumId w:val="6"/>
  </w:num>
  <w:num w:numId="6">
    <w:abstractNumId w:val="5"/>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activeWritingStyle w:appName="MSWord" w:lang="en-GB" w:vendorID="64" w:dllVersion="4096" w:nlCheck="1" w:checkStyle="1"/>
  <w:activeWritingStyle w:appName="MSWord" w:lang="en-US" w:vendorID="64" w:dllVersion="4096" w:nlCheck="1" w:checkStyle="0"/>
  <w:activeWritingStyle w:appName="MSWord" w:lang="es-ES" w:vendorID="64" w:dllVersion="4096" w:nlCheck="1" w:checkStyle="0"/>
  <w:activeWritingStyle w:appName="MSWord" w:lang="en-CA" w:vendorID="64" w:dllVersion="4096" w:nlCheck="1" w:checkStyle="0"/>
  <w:activeWritingStyle w:appName="MSWord" w:lang="es-ES" w:vendorID="64" w:dllVersion="6" w:nlCheck="1" w:checkStyle="1"/>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de-DE" w:vendorID="64" w:dllVersion="4096" w:nlCheck="1" w:checkStyle="0"/>
  <w:activeWritingStyle w:appName="MSWord" w:lang="nl-NL" w:vendorID="64" w:dllVersion="0" w:nlCheck="1" w:checkStyle="0"/>
  <w:activeWritingStyle w:appName="MSWord" w:lang="nb-NO" w:vendorID="64" w:dllVersion="0" w:nlCheck="1" w:checkStyle="0"/>
  <w:activeWritingStyle w:appName="MSWord" w:lang="es-ES_tradnl" w:vendorID="64" w:dllVersion="4096" w:nlCheck="1" w:checkStyle="0"/>
  <w:activeWritingStyle w:appName="MSWord" w:lang="es-ES_tradnl" w:vendorID="64" w:dllVersion="6" w:nlCheck="1" w:checkStyle="1"/>
  <w:activeWritingStyle w:appName="MSWord" w:lang="en-GB"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activeWritingStyle w:appName="MSWord" w:lang="fr-FR" w:vendorID="64" w:dllVersion="4096" w:nlCheck="1" w:checkStyle="0"/>
  <w:activeWritingStyle w:appName="MSWord" w:lang="en-GB" w:vendorID="2" w:dllVersion="6" w:checkStyle="1"/>
  <w:activeWritingStyle w:appName="MSWord" w:lang="es-ES_tradnl" w:vendorID="2" w:dllVersion="6" w:checkStyle="1"/>
  <w:defaultTabStop w:val="720"/>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I2tDA0MbQ0NjUwtrBQ0lEKTi0uzszPAykwqgUAsYGTHiwAAAA="/>
  </w:docVars>
  <w:rsids>
    <w:rsidRoot w:val="001E1A7A"/>
    <w:rsid w:val="00000F1B"/>
    <w:rsid w:val="00001A58"/>
    <w:rsid w:val="00001D79"/>
    <w:rsid w:val="00002F13"/>
    <w:rsid w:val="00003C14"/>
    <w:rsid w:val="000046E5"/>
    <w:rsid w:val="000102C0"/>
    <w:rsid w:val="00010D47"/>
    <w:rsid w:val="00010EC4"/>
    <w:rsid w:val="00011EB8"/>
    <w:rsid w:val="000122ED"/>
    <w:rsid w:val="00012466"/>
    <w:rsid w:val="00015B1F"/>
    <w:rsid w:val="00017C4E"/>
    <w:rsid w:val="0002258B"/>
    <w:rsid w:val="00023D5B"/>
    <w:rsid w:val="000248DD"/>
    <w:rsid w:val="00026E4E"/>
    <w:rsid w:val="000271A0"/>
    <w:rsid w:val="000304C2"/>
    <w:rsid w:val="000307CB"/>
    <w:rsid w:val="00033CCB"/>
    <w:rsid w:val="000356E2"/>
    <w:rsid w:val="000361D7"/>
    <w:rsid w:val="00037E64"/>
    <w:rsid w:val="00041D23"/>
    <w:rsid w:val="000420F2"/>
    <w:rsid w:val="00042346"/>
    <w:rsid w:val="00042B1E"/>
    <w:rsid w:val="00043654"/>
    <w:rsid w:val="00043BEE"/>
    <w:rsid w:val="00046C5B"/>
    <w:rsid w:val="000477F6"/>
    <w:rsid w:val="0004796A"/>
    <w:rsid w:val="000513AD"/>
    <w:rsid w:val="00052B06"/>
    <w:rsid w:val="000530F3"/>
    <w:rsid w:val="0005586D"/>
    <w:rsid w:val="0005662F"/>
    <w:rsid w:val="000573BE"/>
    <w:rsid w:val="0005756E"/>
    <w:rsid w:val="000577F7"/>
    <w:rsid w:val="00057EB7"/>
    <w:rsid w:val="000609CD"/>
    <w:rsid w:val="00060E4A"/>
    <w:rsid w:val="00063F15"/>
    <w:rsid w:val="00064093"/>
    <w:rsid w:val="00064361"/>
    <w:rsid w:val="00064F43"/>
    <w:rsid w:val="000701DC"/>
    <w:rsid w:val="00071A08"/>
    <w:rsid w:val="000726D7"/>
    <w:rsid w:val="00072A5D"/>
    <w:rsid w:val="00072CC9"/>
    <w:rsid w:val="00073360"/>
    <w:rsid w:val="000739B9"/>
    <w:rsid w:val="00075078"/>
    <w:rsid w:val="00075667"/>
    <w:rsid w:val="000767B2"/>
    <w:rsid w:val="0007694B"/>
    <w:rsid w:val="0007700D"/>
    <w:rsid w:val="000770A5"/>
    <w:rsid w:val="000771D7"/>
    <w:rsid w:val="00080A21"/>
    <w:rsid w:val="00081299"/>
    <w:rsid w:val="000813CA"/>
    <w:rsid w:val="000815B5"/>
    <w:rsid w:val="0008270A"/>
    <w:rsid w:val="000827A9"/>
    <w:rsid w:val="00083135"/>
    <w:rsid w:val="0008330E"/>
    <w:rsid w:val="00083B7A"/>
    <w:rsid w:val="00085742"/>
    <w:rsid w:val="00086485"/>
    <w:rsid w:val="000868BF"/>
    <w:rsid w:val="00086E97"/>
    <w:rsid w:val="000879FC"/>
    <w:rsid w:val="0009073F"/>
    <w:rsid w:val="00090743"/>
    <w:rsid w:val="00091137"/>
    <w:rsid w:val="0009117E"/>
    <w:rsid w:val="0009154A"/>
    <w:rsid w:val="00091B54"/>
    <w:rsid w:val="00092DE9"/>
    <w:rsid w:val="00095324"/>
    <w:rsid w:val="000960EF"/>
    <w:rsid w:val="0009745C"/>
    <w:rsid w:val="000A0FCE"/>
    <w:rsid w:val="000A1C3C"/>
    <w:rsid w:val="000A5163"/>
    <w:rsid w:val="000A5479"/>
    <w:rsid w:val="000A7005"/>
    <w:rsid w:val="000A79F0"/>
    <w:rsid w:val="000B15C3"/>
    <w:rsid w:val="000B19CA"/>
    <w:rsid w:val="000B25DE"/>
    <w:rsid w:val="000B3CB2"/>
    <w:rsid w:val="000B7AF1"/>
    <w:rsid w:val="000C10F0"/>
    <w:rsid w:val="000C3F7B"/>
    <w:rsid w:val="000C468E"/>
    <w:rsid w:val="000C6A72"/>
    <w:rsid w:val="000C742A"/>
    <w:rsid w:val="000D2121"/>
    <w:rsid w:val="000D6C08"/>
    <w:rsid w:val="000D70DE"/>
    <w:rsid w:val="000D711F"/>
    <w:rsid w:val="000E12D8"/>
    <w:rsid w:val="000E314A"/>
    <w:rsid w:val="000E3153"/>
    <w:rsid w:val="000E4A09"/>
    <w:rsid w:val="000E556C"/>
    <w:rsid w:val="000E74CD"/>
    <w:rsid w:val="000E793B"/>
    <w:rsid w:val="000F2500"/>
    <w:rsid w:val="000F5FB4"/>
    <w:rsid w:val="000F6C6C"/>
    <w:rsid w:val="001022A6"/>
    <w:rsid w:val="001045A5"/>
    <w:rsid w:val="00104E04"/>
    <w:rsid w:val="00104E62"/>
    <w:rsid w:val="00105BAB"/>
    <w:rsid w:val="00112424"/>
    <w:rsid w:val="00112734"/>
    <w:rsid w:val="00113C13"/>
    <w:rsid w:val="00113E77"/>
    <w:rsid w:val="00114979"/>
    <w:rsid w:val="00117CED"/>
    <w:rsid w:val="00120F80"/>
    <w:rsid w:val="00122A2E"/>
    <w:rsid w:val="0013056A"/>
    <w:rsid w:val="001307B0"/>
    <w:rsid w:val="00132C5C"/>
    <w:rsid w:val="00136458"/>
    <w:rsid w:val="001367FD"/>
    <w:rsid w:val="00142269"/>
    <w:rsid w:val="00142316"/>
    <w:rsid w:val="00143360"/>
    <w:rsid w:val="00145DDF"/>
    <w:rsid w:val="00147ABE"/>
    <w:rsid w:val="00151ADD"/>
    <w:rsid w:val="00153FBE"/>
    <w:rsid w:val="00155A5B"/>
    <w:rsid w:val="00155C27"/>
    <w:rsid w:val="00156002"/>
    <w:rsid w:val="001576C3"/>
    <w:rsid w:val="00157DA1"/>
    <w:rsid w:val="00160449"/>
    <w:rsid w:val="00161298"/>
    <w:rsid w:val="00161FA8"/>
    <w:rsid w:val="001621BF"/>
    <w:rsid w:val="00164AA3"/>
    <w:rsid w:val="00164C64"/>
    <w:rsid w:val="00167577"/>
    <w:rsid w:val="00167A5C"/>
    <w:rsid w:val="001707CF"/>
    <w:rsid w:val="00170B8A"/>
    <w:rsid w:val="00172E8B"/>
    <w:rsid w:val="001737C0"/>
    <w:rsid w:val="00175709"/>
    <w:rsid w:val="00176A2F"/>
    <w:rsid w:val="001779D6"/>
    <w:rsid w:val="0018079D"/>
    <w:rsid w:val="00182909"/>
    <w:rsid w:val="00182C88"/>
    <w:rsid w:val="00184CAF"/>
    <w:rsid w:val="0018767E"/>
    <w:rsid w:val="001908A1"/>
    <w:rsid w:val="0019262E"/>
    <w:rsid w:val="00194A5C"/>
    <w:rsid w:val="001952F3"/>
    <w:rsid w:val="00195725"/>
    <w:rsid w:val="00195B7E"/>
    <w:rsid w:val="00196E08"/>
    <w:rsid w:val="00197769"/>
    <w:rsid w:val="001A290B"/>
    <w:rsid w:val="001B0DC9"/>
    <w:rsid w:val="001B2AD8"/>
    <w:rsid w:val="001B599F"/>
    <w:rsid w:val="001B695B"/>
    <w:rsid w:val="001C1555"/>
    <w:rsid w:val="001C1F78"/>
    <w:rsid w:val="001C33D3"/>
    <w:rsid w:val="001C3DEF"/>
    <w:rsid w:val="001C4D9A"/>
    <w:rsid w:val="001C4F18"/>
    <w:rsid w:val="001C5B2A"/>
    <w:rsid w:val="001C6A95"/>
    <w:rsid w:val="001C6C82"/>
    <w:rsid w:val="001D1359"/>
    <w:rsid w:val="001D40B1"/>
    <w:rsid w:val="001D446A"/>
    <w:rsid w:val="001D5D2F"/>
    <w:rsid w:val="001E18CD"/>
    <w:rsid w:val="001E1A7A"/>
    <w:rsid w:val="001E324B"/>
    <w:rsid w:val="001E51D0"/>
    <w:rsid w:val="001E67CB"/>
    <w:rsid w:val="001E6B50"/>
    <w:rsid w:val="001F0011"/>
    <w:rsid w:val="001F0B54"/>
    <w:rsid w:val="001F356C"/>
    <w:rsid w:val="001F3D82"/>
    <w:rsid w:val="001F55DA"/>
    <w:rsid w:val="001F63E5"/>
    <w:rsid w:val="001F6517"/>
    <w:rsid w:val="001F698E"/>
    <w:rsid w:val="00201B8F"/>
    <w:rsid w:val="002034F0"/>
    <w:rsid w:val="00203E41"/>
    <w:rsid w:val="00206DE6"/>
    <w:rsid w:val="00210345"/>
    <w:rsid w:val="00211EC1"/>
    <w:rsid w:val="00215235"/>
    <w:rsid w:val="002152D9"/>
    <w:rsid w:val="002163D9"/>
    <w:rsid w:val="00217311"/>
    <w:rsid w:val="00217EDF"/>
    <w:rsid w:val="0022285F"/>
    <w:rsid w:val="002266C8"/>
    <w:rsid w:val="002308C0"/>
    <w:rsid w:val="002308C1"/>
    <w:rsid w:val="00230DC8"/>
    <w:rsid w:val="00232016"/>
    <w:rsid w:val="00235AE7"/>
    <w:rsid w:val="00236E32"/>
    <w:rsid w:val="00240090"/>
    <w:rsid w:val="0024447C"/>
    <w:rsid w:val="002459A0"/>
    <w:rsid w:val="0024699F"/>
    <w:rsid w:val="002475DE"/>
    <w:rsid w:val="00250BF4"/>
    <w:rsid w:val="00251E6E"/>
    <w:rsid w:val="0025569C"/>
    <w:rsid w:val="00255AD6"/>
    <w:rsid w:val="002662A7"/>
    <w:rsid w:val="00266E9C"/>
    <w:rsid w:val="00267881"/>
    <w:rsid w:val="00270572"/>
    <w:rsid w:val="00270A53"/>
    <w:rsid w:val="0027228F"/>
    <w:rsid w:val="00272EE2"/>
    <w:rsid w:val="002748BC"/>
    <w:rsid w:val="00275E59"/>
    <w:rsid w:val="00275EC6"/>
    <w:rsid w:val="00276005"/>
    <w:rsid w:val="002764C3"/>
    <w:rsid w:val="00276E17"/>
    <w:rsid w:val="00280BF7"/>
    <w:rsid w:val="00284CF5"/>
    <w:rsid w:val="00284DCE"/>
    <w:rsid w:val="002907F2"/>
    <w:rsid w:val="00291F70"/>
    <w:rsid w:val="0029210C"/>
    <w:rsid w:val="002942E2"/>
    <w:rsid w:val="0029529A"/>
    <w:rsid w:val="0029570F"/>
    <w:rsid w:val="00296975"/>
    <w:rsid w:val="002974E5"/>
    <w:rsid w:val="002977BD"/>
    <w:rsid w:val="002A32D8"/>
    <w:rsid w:val="002A4141"/>
    <w:rsid w:val="002A45BF"/>
    <w:rsid w:val="002A488A"/>
    <w:rsid w:val="002A51C3"/>
    <w:rsid w:val="002A653F"/>
    <w:rsid w:val="002B1378"/>
    <w:rsid w:val="002B1B1D"/>
    <w:rsid w:val="002B28A4"/>
    <w:rsid w:val="002B3E5E"/>
    <w:rsid w:val="002B3EDB"/>
    <w:rsid w:val="002B52AD"/>
    <w:rsid w:val="002B59D3"/>
    <w:rsid w:val="002B5ACF"/>
    <w:rsid w:val="002B7E99"/>
    <w:rsid w:val="002C023F"/>
    <w:rsid w:val="002C0D47"/>
    <w:rsid w:val="002C0E63"/>
    <w:rsid w:val="002C147D"/>
    <w:rsid w:val="002C3E41"/>
    <w:rsid w:val="002C54F4"/>
    <w:rsid w:val="002C6365"/>
    <w:rsid w:val="002C662A"/>
    <w:rsid w:val="002C6912"/>
    <w:rsid w:val="002C7580"/>
    <w:rsid w:val="002C7771"/>
    <w:rsid w:val="002C77CA"/>
    <w:rsid w:val="002D3FBA"/>
    <w:rsid w:val="002D4341"/>
    <w:rsid w:val="002D4725"/>
    <w:rsid w:val="002D77AD"/>
    <w:rsid w:val="002D7B9C"/>
    <w:rsid w:val="002E0E72"/>
    <w:rsid w:val="002E1260"/>
    <w:rsid w:val="002E1A12"/>
    <w:rsid w:val="002E27CC"/>
    <w:rsid w:val="002E48D0"/>
    <w:rsid w:val="002E5D26"/>
    <w:rsid w:val="002E5DA1"/>
    <w:rsid w:val="002E72DD"/>
    <w:rsid w:val="002F161B"/>
    <w:rsid w:val="002F26C2"/>
    <w:rsid w:val="002F2B41"/>
    <w:rsid w:val="002F3CE6"/>
    <w:rsid w:val="002F4F90"/>
    <w:rsid w:val="002F6400"/>
    <w:rsid w:val="003004CF"/>
    <w:rsid w:val="00300691"/>
    <w:rsid w:val="003007E9"/>
    <w:rsid w:val="00302AE8"/>
    <w:rsid w:val="00302F23"/>
    <w:rsid w:val="00303F61"/>
    <w:rsid w:val="003044F4"/>
    <w:rsid w:val="00305ED1"/>
    <w:rsid w:val="00306C0A"/>
    <w:rsid w:val="0031190F"/>
    <w:rsid w:val="00313C1D"/>
    <w:rsid w:val="00314C70"/>
    <w:rsid w:val="0031546F"/>
    <w:rsid w:val="00315700"/>
    <w:rsid w:val="00320E10"/>
    <w:rsid w:val="003221E9"/>
    <w:rsid w:val="0032510B"/>
    <w:rsid w:val="00325314"/>
    <w:rsid w:val="00325364"/>
    <w:rsid w:val="00325663"/>
    <w:rsid w:val="00325EBA"/>
    <w:rsid w:val="00326028"/>
    <w:rsid w:val="00330E5F"/>
    <w:rsid w:val="00335495"/>
    <w:rsid w:val="0033583F"/>
    <w:rsid w:val="00337285"/>
    <w:rsid w:val="0034049F"/>
    <w:rsid w:val="00341E73"/>
    <w:rsid w:val="003424F4"/>
    <w:rsid w:val="00346B2A"/>
    <w:rsid w:val="00347621"/>
    <w:rsid w:val="00347F5D"/>
    <w:rsid w:val="00350B0A"/>
    <w:rsid w:val="0035290A"/>
    <w:rsid w:val="0036106C"/>
    <w:rsid w:val="0036228D"/>
    <w:rsid w:val="00363346"/>
    <w:rsid w:val="00363A9A"/>
    <w:rsid w:val="00363B66"/>
    <w:rsid w:val="00363B73"/>
    <w:rsid w:val="003733E6"/>
    <w:rsid w:val="00373F9C"/>
    <w:rsid w:val="00376895"/>
    <w:rsid w:val="00376932"/>
    <w:rsid w:val="00382E77"/>
    <w:rsid w:val="0038626D"/>
    <w:rsid w:val="00386BD8"/>
    <w:rsid w:val="00390546"/>
    <w:rsid w:val="00391303"/>
    <w:rsid w:val="0039205D"/>
    <w:rsid w:val="00393294"/>
    <w:rsid w:val="00393666"/>
    <w:rsid w:val="00394144"/>
    <w:rsid w:val="0039643D"/>
    <w:rsid w:val="0039734C"/>
    <w:rsid w:val="003A583D"/>
    <w:rsid w:val="003A68FE"/>
    <w:rsid w:val="003A70CE"/>
    <w:rsid w:val="003A7E80"/>
    <w:rsid w:val="003B0151"/>
    <w:rsid w:val="003B0978"/>
    <w:rsid w:val="003B1D07"/>
    <w:rsid w:val="003B2193"/>
    <w:rsid w:val="003B22F7"/>
    <w:rsid w:val="003B2488"/>
    <w:rsid w:val="003B3308"/>
    <w:rsid w:val="003B3B47"/>
    <w:rsid w:val="003B6072"/>
    <w:rsid w:val="003B7062"/>
    <w:rsid w:val="003C0CF3"/>
    <w:rsid w:val="003C3237"/>
    <w:rsid w:val="003C40E1"/>
    <w:rsid w:val="003C5BEF"/>
    <w:rsid w:val="003C5CF0"/>
    <w:rsid w:val="003C656F"/>
    <w:rsid w:val="003D00DF"/>
    <w:rsid w:val="003D10D6"/>
    <w:rsid w:val="003D2713"/>
    <w:rsid w:val="003D350A"/>
    <w:rsid w:val="003D3CC4"/>
    <w:rsid w:val="003D52A9"/>
    <w:rsid w:val="003D6461"/>
    <w:rsid w:val="003D6893"/>
    <w:rsid w:val="003D6F53"/>
    <w:rsid w:val="003D74DE"/>
    <w:rsid w:val="003D7A41"/>
    <w:rsid w:val="003E03A5"/>
    <w:rsid w:val="003E4CB0"/>
    <w:rsid w:val="003E56B8"/>
    <w:rsid w:val="003E76FC"/>
    <w:rsid w:val="003E7A38"/>
    <w:rsid w:val="003E7BF8"/>
    <w:rsid w:val="003F0CEB"/>
    <w:rsid w:val="003F1098"/>
    <w:rsid w:val="003F1284"/>
    <w:rsid w:val="003F15D8"/>
    <w:rsid w:val="003F1AD5"/>
    <w:rsid w:val="003F5B1D"/>
    <w:rsid w:val="00403263"/>
    <w:rsid w:val="00403E23"/>
    <w:rsid w:val="00403ED2"/>
    <w:rsid w:val="00405E2D"/>
    <w:rsid w:val="0040626F"/>
    <w:rsid w:val="00406387"/>
    <w:rsid w:val="00407660"/>
    <w:rsid w:val="0041183F"/>
    <w:rsid w:val="00411D5C"/>
    <w:rsid w:val="00412180"/>
    <w:rsid w:val="00412267"/>
    <w:rsid w:val="00413ECA"/>
    <w:rsid w:val="00414B0B"/>
    <w:rsid w:val="00415381"/>
    <w:rsid w:val="004157C6"/>
    <w:rsid w:val="004210F6"/>
    <w:rsid w:val="00423005"/>
    <w:rsid w:val="004233D8"/>
    <w:rsid w:val="00424F8D"/>
    <w:rsid w:val="004259C1"/>
    <w:rsid w:val="00431049"/>
    <w:rsid w:val="00432368"/>
    <w:rsid w:val="0043292B"/>
    <w:rsid w:val="00432F1A"/>
    <w:rsid w:val="00432FD2"/>
    <w:rsid w:val="00434985"/>
    <w:rsid w:val="00434EDD"/>
    <w:rsid w:val="0043601D"/>
    <w:rsid w:val="00436824"/>
    <w:rsid w:val="00436D8A"/>
    <w:rsid w:val="00437362"/>
    <w:rsid w:val="00440226"/>
    <w:rsid w:val="004404B5"/>
    <w:rsid w:val="004421F5"/>
    <w:rsid w:val="00442FC1"/>
    <w:rsid w:val="00443B48"/>
    <w:rsid w:val="00443EC8"/>
    <w:rsid w:val="0044493E"/>
    <w:rsid w:val="00444ECC"/>
    <w:rsid w:val="004461D5"/>
    <w:rsid w:val="00447301"/>
    <w:rsid w:val="004516A2"/>
    <w:rsid w:val="00451F84"/>
    <w:rsid w:val="00453CDB"/>
    <w:rsid w:val="00454FB8"/>
    <w:rsid w:val="004557D7"/>
    <w:rsid w:val="004562DA"/>
    <w:rsid w:val="00457F2E"/>
    <w:rsid w:val="0046221C"/>
    <w:rsid w:val="004625B2"/>
    <w:rsid w:val="00464202"/>
    <w:rsid w:val="004650D8"/>
    <w:rsid w:val="004661D8"/>
    <w:rsid w:val="00467B53"/>
    <w:rsid w:val="004711DD"/>
    <w:rsid w:val="004715A4"/>
    <w:rsid w:val="004742B5"/>
    <w:rsid w:val="00475C3D"/>
    <w:rsid w:val="00476C7A"/>
    <w:rsid w:val="0047744F"/>
    <w:rsid w:val="00480E6A"/>
    <w:rsid w:val="00481709"/>
    <w:rsid w:val="00481EB5"/>
    <w:rsid w:val="004832DF"/>
    <w:rsid w:val="00483F46"/>
    <w:rsid w:val="00484E5F"/>
    <w:rsid w:val="00485B6D"/>
    <w:rsid w:val="00485BEF"/>
    <w:rsid w:val="0048618F"/>
    <w:rsid w:val="00487687"/>
    <w:rsid w:val="00491466"/>
    <w:rsid w:val="004976C6"/>
    <w:rsid w:val="004A0533"/>
    <w:rsid w:val="004A056F"/>
    <w:rsid w:val="004A0A04"/>
    <w:rsid w:val="004A2E7D"/>
    <w:rsid w:val="004A357B"/>
    <w:rsid w:val="004A52F9"/>
    <w:rsid w:val="004A60C5"/>
    <w:rsid w:val="004A74E0"/>
    <w:rsid w:val="004B0B76"/>
    <w:rsid w:val="004B11C4"/>
    <w:rsid w:val="004B367B"/>
    <w:rsid w:val="004B5D00"/>
    <w:rsid w:val="004B6888"/>
    <w:rsid w:val="004C0419"/>
    <w:rsid w:val="004C0A71"/>
    <w:rsid w:val="004C0D04"/>
    <w:rsid w:val="004C1528"/>
    <w:rsid w:val="004C1779"/>
    <w:rsid w:val="004C185F"/>
    <w:rsid w:val="004C1A69"/>
    <w:rsid w:val="004C1A6B"/>
    <w:rsid w:val="004C2885"/>
    <w:rsid w:val="004C3D98"/>
    <w:rsid w:val="004C486C"/>
    <w:rsid w:val="004C5027"/>
    <w:rsid w:val="004D1C67"/>
    <w:rsid w:val="004D3371"/>
    <w:rsid w:val="004D61CE"/>
    <w:rsid w:val="004D686B"/>
    <w:rsid w:val="004D7871"/>
    <w:rsid w:val="004E0C01"/>
    <w:rsid w:val="004E31CC"/>
    <w:rsid w:val="004E73C5"/>
    <w:rsid w:val="004F0251"/>
    <w:rsid w:val="004F0ED5"/>
    <w:rsid w:val="004F13A3"/>
    <w:rsid w:val="004F1803"/>
    <w:rsid w:val="004F2CF9"/>
    <w:rsid w:val="0050097C"/>
    <w:rsid w:val="0050198E"/>
    <w:rsid w:val="00502AD4"/>
    <w:rsid w:val="00503B2D"/>
    <w:rsid w:val="00505739"/>
    <w:rsid w:val="00514D13"/>
    <w:rsid w:val="00514EDC"/>
    <w:rsid w:val="00517F86"/>
    <w:rsid w:val="0052259D"/>
    <w:rsid w:val="00525EEF"/>
    <w:rsid w:val="0052655B"/>
    <w:rsid w:val="00530769"/>
    <w:rsid w:val="00531780"/>
    <w:rsid w:val="0053196A"/>
    <w:rsid w:val="00534832"/>
    <w:rsid w:val="0053773E"/>
    <w:rsid w:val="005419C7"/>
    <w:rsid w:val="00547F02"/>
    <w:rsid w:val="0055021E"/>
    <w:rsid w:val="00550682"/>
    <w:rsid w:val="0055233D"/>
    <w:rsid w:val="0055282C"/>
    <w:rsid w:val="00553280"/>
    <w:rsid w:val="005544BE"/>
    <w:rsid w:val="005544E8"/>
    <w:rsid w:val="005555E4"/>
    <w:rsid w:val="00556254"/>
    <w:rsid w:val="005632E7"/>
    <w:rsid w:val="00565457"/>
    <w:rsid w:val="00565E5C"/>
    <w:rsid w:val="0057356F"/>
    <w:rsid w:val="005751DB"/>
    <w:rsid w:val="0057618E"/>
    <w:rsid w:val="00576529"/>
    <w:rsid w:val="00580D21"/>
    <w:rsid w:val="005816BF"/>
    <w:rsid w:val="00581B67"/>
    <w:rsid w:val="005822FE"/>
    <w:rsid w:val="00583293"/>
    <w:rsid w:val="00585ACA"/>
    <w:rsid w:val="00585BB6"/>
    <w:rsid w:val="00586783"/>
    <w:rsid w:val="00586FC6"/>
    <w:rsid w:val="00590E56"/>
    <w:rsid w:val="00591296"/>
    <w:rsid w:val="005922CD"/>
    <w:rsid w:val="0059383A"/>
    <w:rsid w:val="00593B76"/>
    <w:rsid w:val="00593D1C"/>
    <w:rsid w:val="005944C5"/>
    <w:rsid w:val="005947FC"/>
    <w:rsid w:val="005955E5"/>
    <w:rsid w:val="00595EDD"/>
    <w:rsid w:val="00596B4D"/>
    <w:rsid w:val="005A0B7F"/>
    <w:rsid w:val="005A10BD"/>
    <w:rsid w:val="005A7337"/>
    <w:rsid w:val="005B04C0"/>
    <w:rsid w:val="005B0730"/>
    <w:rsid w:val="005B2BC6"/>
    <w:rsid w:val="005B3AA0"/>
    <w:rsid w:val="005B3E33"/>
    <w:rsid w:val="005B42D5"/>
    <w:rsid w:val="005B6258"/>
    <w:rsid w:val="005B6435"/>
    <w:rsid w:val="005B64BF"/>
    <w:rsid w:val="005B7448"/>
    <w:rsid w:val="005B7D7E"/>
    <w:rsid w:val="005C0111"/>
    <w:rsid w:val="005C04D5"/>
    <w:rsid w:val="005C296F"/>
    <w:rsid w:val="005C3261"/>
    <w:rsid w:val="005C36D5"/>
    <w:rsid w:val="005C48F6"/>
    <w:rsid w:val="005C5868"/>
    <w:rsid w:val="005C5AD8"/>
    <w:rsid w:val="005C659B"/>
    <w:rsid w:val="005C67AB"/>
    <w:rsid w:val="005C6B58"/>
    <w:rsid w:val="005C7D82"/>
    <w:rsid w:val="005D051D"/>
    <w:rsid w:val="005D09A4"/>
    <w:rsid w:val="005D23AE"/>
    <w:rsid w:val="005D4675"/>
    <w:rsid w:val="005D523F"/>
    <w:rsid w:val="005D55D5"/>
    <w:rsid w:val="005D5C49"/>
    <w:rsid w:val="005D68A4"/>
    <w:rsid w:val="005D73E4"/>
    <w:rsid w:val="005E1CEF"/>
    <w:rsid w:val="005E2597"/>
    <w:rsid w:val="005E740B"/>
    <w:rsid w:val="005E7D2B"/>
    <w:rsid w:val="005F08C5"/>
    <w:rsid w:val="005F1C13"/>
    <w:rsid w:val="005F1DD0"/>
    <w:rsid w:val="005F3B78"/>
    <w:rsid w:val="005F477F"/>
    <w:rsid w:val="005F6DB2"/>
    <w:rsid w:val="006011E7"/>
    <w:rsid w:val="00602D6C"/>
    <w:rsid w:val="00604E9B"/>
    <w:rsid w:val="00605A66"/>
    <w:rsid w:val="0060608C"/>
    <w:rsid w:val="006061E1"/>
    <w:rsid w:val="00606337"/>
    <w:rsid w:val="006104BB"/>
    <w:rsid w:val="006108C0"/>
    <w:rsid w:val="006109E7"/>
    <w:rsid w:val="00613D4A"/>
    <w:rsid w:val="00614731"/>
    <w:rsid w:val="0061760B"/>
    <w:rsid w:val="006220E1"/>
    <w:rsid w:val="00623197"/>
    <w:rsid w:val="006306D5"/>
    <w:rsid w:val="006355B9"/>
    <w:rsid w:val="006371FC"/>
    <w:rsid w:val="00637569"/>
    <w:rsid w:val="00637D70"/>
    <w:rsid w:val="00640EA2"/>
    <w:rsid w:val="00640FEF"/>
    <w:rsid w:val="0064161F"/>
    <w:rsid w:val="006419F2"/>
    <w:rsid w:val="00643DC2"/>
    <w:rsid w:val="00645236"/>
    <w:rsid w:val="00646FEF"/>
    <w:rsid w:val="006477B5"/>
    <w:rsid w:val="006501D6"/>
    <w:rsid w:val="00650641"/>
    <w:rsid w:val="00651DC9"/>
    <w:rsid w:val="0065278E"/>
    <w:rsid w:val="006529C0"/>
    <w:rsid w:val="0065353D"/>
    <w:rsid w:val="00653E14"/>
    <w:rsid w:val="0065465D"/>
    <w:rsid w:val="0065536F"/>
    <w:rsid w:val="00656183"/>
    <w:rsid w:val="00657458"/>
    <w:rsid w:val="006600A4"/>
    <w:rsid w:val="00660332"/>
    <w:rsid w:val="00662033"/>
    <w:rsid w:val="006645A0"/>
    <w:rsid w:val="00664A91"/>
    <w:rsid w:val="006656F9"/>
    <w:rsid w:val="00667408"/>
    <w:rsid w:val="00671E26"/>
    <w:rsid w:val="00671E83"/>
    <w:rsid w:val="00673A65"/>
    <w:rsid w:val="006742E7"/>
    <w:rsid w:val="00676102"/>
    <w:rsid w:val="0067646A"/>
    <w:rsid w:val="00677B6B"/>
    <w:rsid w:val="00677C1A"/>
    <w:rsid w:val="00677E65"/>
    <w:rsid w:val="00681B9B"/>
    <w:rsid w:val="00682159"/>
    <w:rsid w:val="0068540A"/>
    <w:rsid w:val="0068572E"/>
    <w:rsid w:val="006870AF"/>
    <w:rsid w:val="00691181"/>
    <w:rsid w:val="00693633"/>
    <w:rsid w:val="006937CD"/>
    <w:rsid w:val="00693806"/>
    <w:rsid w:val="00695441"/>
    <w:rsid w:val="006A056B"/>
    <w:rsid w:val="006A08A6"/>
    <w:rsid w:val="006A0C85"/>
    <w:rsid w:val="006A16DC"/>
    <w:rsid w:val="006A2990"/>
    <w:rsid w:val="006A4C68"/>
    <w:rsid w:val="006A5DDF"/>
    <w:rsid w:val="006A6AFA"/>
    <w:rsid w:val="006A732B"/>
    <w:rsid w:val="006B0901"/>
    <w:rsid w:val="006B1689"/>
    <w:rsid w:val="006B2007"/>
    <w:rsid w:val="006B2317"/>
    <w:rsid w:val="006B2E02"/>
    <w:rsid w:val="006B4424"/>
    <w:rsid w:val="006B6B63"/>
    <w:rsid w:val="006B72EB"/>
    <w:rsid w:val="006B756B"/>
    <w:rsid w:val="006C06C0"/>
    <w:rsid w:val="006C1601"/>
    <w:rsid w:val="006C2DD7"/>
    <w:rsid w:val="006C34CB"/>
    <w:rsid w:val="006D2670"/>
    <w:rsid w:val="006D2CC1"/>
    <w:rsid w:val="006D3C2D"/>
    <w:rsid w:val="006D4261"/>
    <w:rsid w:val="006D475C"/>
    <w:rsid w:val="006D6163"/>
    <w:rsid w:val="006D6594"/>
    <w:rsid w:val="006D7205"/>
    <w:rsid w:val="006E10A5"/>
    <w:rsid w:val="006E18F3"/>
    <w:rsid w:val="006E3BE1"/>
    <w:rsid w:val="006E4B1E"/>
    <w:rsid w:val="006E5948"/>
    <w:rsid w:val="006E5FA5"/>
    <w:rsid w:val="006E72FE"/>
    <w:rsid w:val="006E7360"/>
    <w:rsid w:val="006F3418"/>
    <w:rsid w:val="006F3465"/>
    <w:rsid w:val="006F5360"/>
    <w:rsid w:val="006F5D4E"/>
    <w:rsid w:val="006F64C9"/>
    <w:rsid w:val="007000C8"/>
    <w:rsid w:val="007005EE"/>
    <w:rsid w:val="00700A46"/>
    <w:rsid w:val="007021EE"/>
    <w:rsid w:val="00702D27"/>
    <w:rsid w:val="0070351B"/>
    <w:rsid w:val="007049E3"/>
    <w:rsid w:val="00705510"/>
    <w:rsid w:val="00710141"/>
    <w:rsid w:val="007129B8"/>
    <w:rsid w:val="00716926"/>
    <w:rsid w:val="00717822"/>
    <w:rsid w:val="00720367"/>
    <w:rsid w:val="00725299"/>
    <w:rsid w:val="0072711C"/>
    <w:rsid w:val="00727B60"/>
    <w:rsid w:val="007303B4"/>
    <w:rsid w:val="00730921"/>
    <w:rsid w:val="00731F5A"/>
    <w:rsid w:val="00733574"/>
    <w:rsid w:val="0073662B"/>
    <w:rsid w:val="007404F0"/>
    <w:rsid w:val="007408CD"/>
    <w:rsid w:val="007414F7"/>
    <w:rsid w:val="0074248C"/>
    <w:rsid w:val="007427A1"/>
    <w:rsid w:val="007430BC"/>
    <w:rsid w:val="00744C86"/>
    <w:rsid w:val="00747074"/>
    <w:rsid w:val="007519BB"/>
    <w:rsid w:val="00752518"/>
    <w:rsid w:val="00752C16"/>
    <w:rsid w:val="00752E23"/>
    <w:rsid w:val="007532FC"/>
    <w:rsid w:val="0075735A"/>
    <w:rsid w:val="00762155"/>
    <w:rsid w:val="0076281D"/>
    <w:rsid w:val="007645D4"/>
    <w:rsid w:val="00766543"/>
    <w:rsid w:val="00766D4B"/>
    <w:rsid w:val="00767203"/>
    <w:rsid w:val="00767784"/>
    <w:rsid w:val="00767BAC"/>
    <w:rsid w:val="007729DF"/>
    <w:rsid w:val="007731B9"/>
    <w:rsid w:val="007748B1"/>
    <w:rsid w:val="00776775"/>
    <w:rsid w:val="00780344"/>
    <w:rsid w:val="0078151F"/>
    <w:rsid w:val="007874E5"/>
    <w:rsid w:val="007904B1"/>
    <w:rsid w:val="0079205E"/>
    <w:rsid w:val="00792B44"/>
    <w:rsid w:val="0079527B"/>
    <w:rsid w:val="00795C19"/>
    <w:rsid w:val="00796E0B"/>
    <w:rsid w:val="007A25B5"/>
    <w:rsid w:val="007A25C5"/>
    <w:rsid w:val="007A2CE2"/>
    <w:rsid w:val="007A55F7"/>
    <w:rsid w:val="007A5669"/>
    <w:rsid w:val="007A566D"/>
    <w:rsid w:val="007A58A2"/>
    <w:rsid w:val="007A5B16"/>
    <w:rsid w:val="007A6597"/>
    <w:rsid w:val="007B07F5"/>
    <w:rsid w:val="007B0B4E"/>
    <w:rsid w:val="007B33B8"/>
    <w:rsid w:val="007B3AB8"/>
    <w:rsid w:val="007B58A1"/>
    <w:rsid w:val="007B733F"/>
    <w:rsid w:val="007B7932"/>
    <w:rsid w:val="007C007B"/>
    <w:rsid w:val="007C0F4C"/>
    <w:rsid w:val="007C4121"/>
    <w:rsid w:val="007C6544"/>
    <w:rsid w:val="007C6F0E"/>
    <w:rsid w:val="007D1419"/>
    <w:rsid w:val="007D268E"/>
    <w:rsid w:val="007D32DF"/>
    <w:rsid w:val="007D40AE"/>
    <w:rsid w:val="007D4349"/>
    <w:rsid w:val="007D5647"/>
    <w:rsid w:val="007D694A"/>
    <w:rsid w:val="007D7748"/>
    <w:rsid w:val="007E296A"/>
    <w:rsid w:val="007E4B16"/>
    <w:rsid w:val="007E52FB"/>
    <w:rsid w:val="007E5AA7"/>
    <w:rsid w:val="007E74DF"/>
    <w:rsid w:val="007F07C5"/>
    <w:rsid w:val="007F34F7"/>
    <w:rsid w:val="007F696C"/>
    <w:rsid w:val="00801E5F"/>
    <w:rsid w:val="008029F5"/>
    <w:rsid w:val="00804B06"/>
    <w:rsid w:val="00805CFF"/>
    <w:rsid w:val="00810DEF"/>
    <w:rsid w:val="00811CF2"/>
    <w:rsid w:val="00811E6D"/>
    <w:rsid w:val="00812F42"/>
    <w:rsid w:val="008140C1"/>
    <w:rsid w:val="0081445C"/>
    <w:rsid w:val="00815CE3"/>
    <w:rsid w:val="008160FD"/>
    <w:rsid w:val="008169ED"/>
    <w:rsid w:val="008179B2"/>
    <w:rsid w:val="00817A40"/>
    <w:rsid w:val="00821A59"/>
    <w:rsid w:val="00821CAA"/>
    <w:rsid w:val="00822FF0"/>
    <w:rsid w:val="00824ADF"/>
    <w:rsid w:val="00824C9C"/>
    <w:rsid w:val="00825319"/>
    <w:rsid w:val="00826497"/>
    <w:rsid w:val="008266F4"/>
    <w:rsid w:val="00832183"/>
    <w:rsid w:val="0083227E"/>
    <w:rsid w:val="00832E95"/>
    <w:rsid w:val="00833746"/>
    <w:rsid w:val="00834BBB"/>
    <w:rsid w:val="00835B58"/>
    <w:rsid w:val="00836D2C"/>
    <w:rsid w:val="00837E3C"/>
    <w:rsid w:val="008422A0"/>
    <w:rsid w:val="00844B80"/>
    <w:rsid w:val="00845430"/>
    <w:rsid w:val="00845BA0"/>
    <w:rsid w:val="00850735"/>
    <w:rsid w:val="00851FFA"/>
    <w:rsid w:val="00852CF5"/>
    <w:rsid w:val="0085352A"/>
    <w:rsid w:val="008535D5"/>
    <w:rsid w:val="00854228"/>
    <w:rsid w:val="0085485D"/>
    <w:rsid w:val="00857D23"/>
    <w:rsid w:val="00861F03"/>
    <w:rsid w:val="00862A91"/>
    <w:rsid w:val="00863114"/>
    <w:rsid w:val="00863210"/>
    <w:rsid w:val="0086398F"/>
    <w:rsid w:val="00864467"/>
    <w:rsid w:val="00866B0A"/>
    <w:rsid w:val="0086777E"/>
    <w:rsid w:val="00867AF0"/>
    <w:rsid w:val="00873DE9"/>
    <w:rsid w:val="00876725"/>
    <w:rsid w:val="008803EC"/>
    <w:rsid w:val="00880D7D"/>
    <w:rsid w:val="00882266"/>
    <w:rsid w:val="00882395"/>
    <w:rsid w:val="008830A2"/>
    <w:rsid w:val="0088395A"/>
    <w:rsid w:val="00883DF7"/>
    <w:rsid w:val="0088409E"/>
    <w:rsid w:val="00890CBB"/>
    <w:rsid w:val="008920BA"/>
    <w:rsid w:val="008945D8"/>
    <w:rsid w:val="0089549D"/>
    <w:rsid w:val="0089565D"/>
    <w:rsid w:val="0089624B"/>
    <w:rsid w:val="008A0DB8"/>
    <w:rsid w:val="008A1A07"/>
    <w:rsid w:val="008A4184"/>
    <w:rsid w:val="008A5D56"/>
    <w:rsid w:val="008A5E55"/>
    <w:rsid w:val="008A6EA9"/>
    <w:rsid w:val="008A6F6F"/>
    <w:rsid w:val="008B032B"/>
    <w:rsid w:val="008B197C"/>
    <w:rsid w:val="008B6231"/>
    <w:rsid w:val="008B6A82"/>
    <w:rsid w:val="008B6DF0"/>
    <w:rsid w:val="008C04F2"/>
    <w:rsid w:val="008C07B6"/>
    <w:rsid w:val="008C42C6"/>
    <w:rsid w:val="008C448B"/>
    <w:rsid w:val="008C6106"/>
    <w:rsid w:val="008C7328"/>
    <w:rsid w:val="008C797B"/>
    <w:rsid w:val="008D0B44"/>
    <w:rsid w:val="008D0CDE"/>
    <w:rsid w:val="008D3DA9"/>
    <w:rsid w:val="008D5EBF"/>
    <w:rsid w:val="008D6A2A"/>
    <w:rsid w:val="008D7D42"/>
    <w:rsid w:val="008E13ED"/>
    <w:rsid w:val="008E353B"/>
    <w:rsid w:val="008E3FA1"/>
    <w:rsid w:val="008E42A8"/>
    <w:rsid w:val="008E4392"/>
    <w:rsid w:val="008E444C"/>
    <w:rsid w:val="008E485F"/>
    <w:rsid w:val="008E4865"/>
    <w:rsid w:val="008E493B"/>
    <w:rsid w:val="008E4B85"/>
    <w:rsid w:val="008E4C65"/>
    <w:rsid w:val="008E5079"/>
    <w:rsid w:val="008E5493"/>
    <w:rsid w:val="008E7FB3"/>
    <w:rsid w:val="008F06BB"/>
    <w:rsid w:val="008F191B"/>
    <w:rsid w:val="008F3316"/>
    <w:rsid w:val="008F3DBE"/>
    <w:rsid w:val="008F455B"/>
    <w:rsid w:val="008F611E"/>
    <w:rsid w:val="008F6384"/>
    <w:rsid w:val="008F6398"/>
    <w:rsid w:val="008F6918"/>
    <w:rsid w:val="008F6D06"/>
    <w:rsid w:val="00900FA8"/>
    <w:rsid w:val="009030CF"/>
    <w:rsid w:val="009039B9"/>
    <w:rsid w:val="009043B5"/>
    <w:rsid w:val="00904D19"/>
    <w:rsid w:val="009059F1"/>
    <w:rsid w:val="00905B86"/>
    <w:rsid w:val="009063AA"/>
    <w:rsid w:val="009100DB"/>
    <w:rsid w:val="00910641"/>
    <w:rsid w:val="00910F04"/>
    <w:rsid w:val="0091229F"/>
    <w:rsid w:val="0091234B"/>
    <w:rsid w:val="00912724"/>
    <w:rsid w:val="009129CA"/>
    <w:rsid w:val="00912B8C"/>
    <w:rsid w:val="00914A7A"/>
    <w:rsid w:val="00915BCF"/>
    <w:rsid w:val="00916630"/>
    <w:rsid w:val="00916806"/>
    <w:rsid w:val="00916986"/>
    <w:rsid w:val="009207FA"/>
    <w:rsid w:val="00921B28"/>
    <w:rsid w:val="00922B53"/>
    <w:rsid w:val="00923BB8"/>
    <w:rsid w:val="00923E2E"/>
    <w:rsid w:val="00923E6A"/>
    <w:rsid w:val="00924926"/>
    <w:rsid w:val="00924EE2"/>
    <w:rsid w:val="0092536F"/>
    <w:rsid w:val="00930436"/>
    <w:rsid w:val="009305A2"/>
    <w:rsid w:val="009308CE"/>
    <w:rsid w:val="00930FF4"/>
    <w:rsid w:val="00932308"/>
    <w:rsid w:val="00933BDE"/>
    <w:rsid w:val="0093417C"/>
    <w:rsid w:val="009347A0"/>
    <w:rsid w:val="009357F6"/>
    <w:rsid w:val="0093699B"/>
    <w:rsid w:val="00936C40"/>
    <w:rsid w:val="00937862"/>
    <w:rsid w:val="00940A9B"/>
    <w:rsid w:val="00940C38"/>
    <w:rsid w:val="00943C6A"/>
    <w:rsid w:val="009452F6"/>
    <w:rsid w:val="00945B28"/>
    <w:rsid w:val="00946958"/>
    <w:rsid w:val="00951031"/>
    <w:rsid w:val="009511B5"/>
    <w:rsid w:val="00952D0B"/>
    <w:rsid w:val="00953422"/>
    <w:rsid w:val="00953A87"/>
    <w:rsid w:val="00955183"/>
    <w:rsid w:val="00955F3B"/>
    <w:rsid w:val="009561DB"/>
    <w:rsid w:val="00956723"/>
    <w:rsid w:val="009568D4"/>
    <w:rsid w:val="00960E91"/>
    <w:rsid w:val="00962C57"/>
    <w:rsid w:val="00963450"/>
    <w:rsid w:val="009637B5"/>
    <w:rsid w:val="00966E1B"/>
    <w:rsid w:val="00967658"/>
    <w:rsid w:val="00970051"/>
    <w:rsid w:val="009703C5"/>
    <w:rsid w:val="00971382"/>
    <w:rsid w:val="009713B0"/>
    <w:rsid w:val="009716FF"/>
    <w:rsid w:val="0097546B"/>
    <w:rsid w:val="009764DC"/>
    <w:rsid w:val="00977CB7"/>
    <w:rsid w:val="00977F83"/>
    <w:rsid w:val="009821FC"/>
    <w:rsid w:val="00985804"/>
    <w:rsid w:val="00987A1C"/>
    <w:rsid w:val="0099028D"/>
    <w:rsid w:val="009917B9"/>
    <w:rsid w:val="00992F1F"/>
    <w:rsid w:val="00997684"/>
    <w:rsid w:val="009A139B"/>
    <w:rsid w:val="009A2453"/>
    <w:rsid w:val="009A5D40"/>
    <w:rsid w:val="009A6B06"/>
    <w:rsid w:val="009B10BA"/>
    <w:rsid w:val="009B129E"/>
    <w:rsid w:val="009B1E29"/>
    <w:rsid w:val="009B454A"/>
    <w:rsid w:val="009B5127"/>
    <w:rsid w:val="009B5B31"/>
    <w:rsid w:val="009B76B8"/>
    <w:rsid w:val="009B7C32"/>
    <w:rsid w:val="009C0848"/>
    <w:rsid w:val="009C19A8"/>
    <w:rsid w:val="009C1ADA"/>
    <w:rsid w:val="009C2904"/>
    <w:rsid w:val="009C2C9F"/>
    <w:rsid w:val="009C2D2E"/>
    <w:rsid w:val="009C3320"/>
    <w:rsid w:val="009C4942"/>
    <w:rsid w:val="009C50CC"/>
    <w:rsid w:val="009C7D7C"/>
    <w:rsid w:val="009D0CB4"/>
    <w:rsid w:val="009D38F3"/>
    <w:rsid w:val="009D39FD"/>
    <w:rsid w:val="009D3C58"/>
    <w:rsid w:val="009D40E2"/>
    <w:rsid w:val="009D67B3"/>
    <w:rsid w:val="009D7027"/>
    <w:rsid w:val="009E03BE"/>
    <w:rsid w:val="009E0407"/>
    <w:rsid w:val="009E27A6"/>
    <w:rsid w:val="009E2BBD"/>
    <w:rsid w:val="009E2C8E"/>
    <w:rsid w:val="009E2D13"/>
    <w:rsid w:val="009E2F63"/>
    <w:rsid w:val="009E640C"/>
    <w:rsid w:val="009E69EE"/>
    <w:rsid w:val="009E70CB"/>
    <w:rsid w:val="009F0603"/>
    <w:rsid w:val="009F089F"/>
    <w:rsid w:val="009F35B7"/>
    <w:rsid w:val="009F3F05"/>
    <w:rsid w:val="009F4055"/>
    <w:rsid w:val="009F4BF9"/>
    <w:rsid w:val="009F5162"/>
    <w:rsid w:val="009F5470"/>
    <w:rsid w:val="009F5D1A"/>
    <w:rsid w:val="009F6F26"/>
    <w:rsid w:val="00A030F8"/>
    <w:rsid w:val="00A04017"/>
    <w:rsid w:val="00A04B75"/>
    <w:rsid w:val="00A04EBA"/>
    <w:rsid w:val="00A05A10"/>
    <w:rsid w:val="00A05E59"/>
    <w:rsid w:val="00A06EA7"/>
    <w:rsid w:val="00A07440"/>
    <w:rsid w:val="00A12EE4"/>
    <w:rsid w:val="00A12F20"/>
    <w:rsid w:val="00A14802"/>
    <w:rsid w:val="00A16D21"/>
    <w:rsid w:val="00A171B6"/>
    <w:rsid w:val="00A202AB"/>
    <w:rsid w:val="00A209CC"/>
    <w:rsid w:val="00A2124E"/>
    <w:rsid w:val="00A245BC"/>
    <w:rsid w:val="00A2483B"/>
    <w:rsid w:val="00A251B8"/>
    <w:rsid w:val="00A25B41"/>
    <w:rsid w:val="00A278FC"/>
    <w:rsid w:val="00A27A78"/>
    <w:rsid w:val="00A36416"/>
    <w:rsid w:val="00A368E6"/>
    <w:rsid w:val="00A37620"/>
    <w:rsid w:val="00A37F1E"/>
    <w:rsid w:val="00A42545"/>
    <w:rsid w:val="00A42629"/>
    <w:rsid w:val="00A434EC"/>
    <w:rsid w:val="00A43C02"/>
    <w:rsid w:val="00A44348"/>
    <w:rsid w:val="00A446D4"/>
    <w:rsid w:val="00A45155"/>
    <w:rsid w:val="00A501BE"/>
    <w:rsid w:val="00A50C56"/>
    <w:rsid w:val="00A51362"/>
    <w:rsid w:val="00A51AC6"/>
    <w:rsid w:val="00A56650"/>
    <w:rsid w:val="00A56D00"/>
    <w:rsid w:val="00A56D59"/>
    <w:rsid w:val="00A57D59"/>
    <w:rsid w:val="00A604E0"/>
    <w:rsid w:val="00A62024"/>
    <w:rsid w:val="00A62984"/>
    <w:rsid w:val="00A631EE"/>
    <w:rsid w:val="00A63774"/>
    <w:rsid w:val="00A64982"/>
    <w:rsid w:val="00A64B41"/>
    <w:rsid w:val="00A66FB5"/>
    <w:rsid w:val="00A706C0"/>
    <w:rsid w:val="00A71199"/>
    <w:rsid w:val="00A722EB"/>
    <w:rsid w:val="00A77343"/>
    <w:rsid w:val="00A77B53"/>
    <w:rsid w:val="00A81766"/>
    <w:rsid w:val="00A827EF"/>
    <w:rsid w:val="00A82B37"/>
    <w:rsid w:val="00A82EEF"/>
    <w:rsid w:val="00A83273"/>
    <w:rsid w:val="00A84B56"/>
    <w:rsid w:val="00A84C61"/>
    <w:rsid w:val="00A84F44"/>
    <w:rsid w:val="00A85A12"/>
    <w:rsid w:val="00A91198"/>
    <w:rsid w:val="00A92994"/>
    <w:rsid w:val="00A93ED3"/>
    <w:rsid w:val="00A94144"/>
    <w:rsid w:val="00A965B1"/>
    <w:rsid w:val="00A96883"/>
    <w:rsid w:val="00A973C3"/>
    <w:rsid w:val="00AA1153"/>
    <w:rsid w:val="00AA3354"/>
    <w:rsid w:val="00AA44A4"/>
    <w:rsid w:val="00AA7CEF"/>
    <w:rsid w:val="00AB0E58"/>
    <w:rsid w:val="00AB18D0"/>
    <w:rsid w:val="00AB217D"/>
    <w:rsid w:val="00AB37A2"/>
    <w:rsid w:val="00AB450F"/>
    <w:rsid w:val="00AB5D9F"/>
    <w:rsid w:val="00AC14E8"/>
    <w:rsid w:val="00AC156E"/>
    <w:rsid w:val="00AC1C1D"/>
    <w:rsid w:val="00AC3691"/>
    <w:rsid w:val="00AC43A3"/>
    <w:rsid w:val="00AC4F48"/>
    <w:rsid w:val="00AC5B8F"/>
    <w:rsid w:val="00AC64D4"/>
    <w:rsid w:val="00AC684B"/>
    <w:rsid w:val="00AC6FF0"/>
    <w:rsid w:val="00AD1551"/>
    <w:rsid w:val="00AD2CFC"/>
    <w:rsid w:val="00AD4611"/>
    <w:rsid w:val="00AD6348"/>
    <w:rsid w:val="00AE0255"/>
    <w:rsid w:val="00AE0912"/>
    <w:rsid w:val="00AE0D6D"/>
    <w:rsid w:val="00AE18B8"/>
    <w:rsid w:val="00AE39E5"/>
    <w:rsid w:val="00AE4405"/>
    <w:rsid w:val="00AE506E"/>
    <w:rsid w:val="00AE7BE7"/>
    <w:rsid w:val="00AF14ED"/>
    <w:rsid w:val="00AF3375"/>
    <w:rsid w:val="00AF5F4F"/>
    <w:rsid w:val="00AF60FD"/>
    <w:rsid w:val="00AF64C9"/>
    <w:rsid w:val="00AF6C6F"/>
    <w:rsid w:val="00B0185E"/>
    <w:rsid w:val="00B02841"/>
    <w:rsid w:val="00B06527"/>
    <w:rsid w:val="00B075B9"/>
    <w:rsid w:val="00B07740"/>
    <w:rsid w:val="00B107F9"/>
    <w:rsid w:val="00B10BE3"/>
    <w:rsid w:val="00B11C08"/>
    <w:rsid w:val="00B15BDF"/>
    <w:rsid w:val="00B16951"/>
    <w:rsid w:val="00B16961"/>
    <w:rsid w:val="00B209DA"/>
    <w:rsid w:val="00B20B20"/>
    <w:rsid w:val="00B21730"/>
    <w:rsid w:val="00B22D5E"/>
    <w:rsid w:val="00B2371C"/>
    <w:rsid w:val="00B2386D"/>
    <w:rsid w:val="00B24BD6"/>
    <w:rsid w:val="00B32468"/>
    <w:rsid w:val="00B32632"/>
    <w:rsid w:val="00B3346F"/>
    <w:rsid w:val="00B34C3E"/>
    <w:rsid w:val="00B34EAD"/>
    <w:rsid w:val="00B40E05"/>
    <w:rsid w:val="00B41C6B"/>
    <w:rsid w:val="00B439B6"/>
    <w:rsid w:val="00B4711D"/>
    <w:rsid w:val="00B47AB3"/>
    <w:rsid w:val="00B518CF"/>
    <w:rsid w:val="00B52804"/>
    <w:rsid w:val="00B53B93"/>
    <w:rsid w:val="00B55376"/>
    <w:rsid w:val="00B55462"/>
    <w:rsid w:val="00B60CD5"/>
    <w:rsid w:val="00B62333"/>
    <w:rsid w:val="00B63F4D"/>
    <w:rsid w:val="00B6536A"/>
    <w:rsid w:val="00B6584C"/>
    <w:rsid w:val="00B65EC5"/>
    <w:rsid w:val="00B66D6E"/>
    <w:rsid w:val="00B67400"/>
    <w:rsid w:val="00B71E75"/>
    <w:rsid w:val="00B72F60"/>
    <w:rsid w:val="00B7335E"/>
    <w:rsid w:val="00B74B8F"/>
    <w:rsid w:val="00B7515F"/>
    <w:rsid w:val="00B75F79"/>
    <w:rsid w:val="00B81968"/>
    <w:rsid w:val="00B839E5"/>
    <w:rsid w:val="00B845B9"/>
    <w:rsid w:val="00B861D9"/>
    <w:rsid w:val="00B8643F"/>
    <w:rsid w:val="00B87467"/>
    <w:rsid w:val="00B8779F"/>
    <w:rsid w:val="00B90367"/>
    <w:rsid w:val="00B910BB"/>
    <w:rsid w:val="00B9298B"/>
    <w:rsid w:val="00B94940"/>
    <w:rsid w:val="00B954DA"/>
    <w:rsid w:val="00B95508"/>
    <w:rsid w:val="00B955AC"/>
    <w:rsid w:val="00B9692B"/>
    <w:rsid w:val="00B96F16"/>
    <w:rsid w:val="00B97EC4"/>
    <w:rsid w:val="00BA1F4B"/>
    <w:rsid w:val="00BA34E6"/>
    <w:rsid w:val="00BA3E69"/>
    <w:rsid w:val="00BA427D"/>
    <w:rsid w:val="00BA5035"/>
    <w:rsid w:val="00BB180C"/>
    <w:rsid w:val="00BB1E87"/>
    <w:rsid w:val="00BB2D1C"/>
    <w:rsid w:val="00BB616E"/>
    <w:rsid w:val="00BB6F09"/>
    <w:rsid w:val="00BB7B66"/>
    <w:rsid w:val="00BC450F"/>
    <w:rsid w:val="00BC458C"/>
    <w:rsid w:val="00BC4B55"/>
    <w:rsid w:val="00BC6EF2"/>
    <w:rsid w:val="00BD09B5"/>
    <w:rsid w:val="00BD15A0"/>
    <w:rsid w:val="00BD180C"/>
    <w:rsid w:val="00BD1E7F"/>
    <w:rsid w:val="00BD1EA0"/>
    <w:rsid w:val="00BD266F"/>
    <w:rsid w:val="00BD329B"/>
    <w:rsid w:val="00BD7427"/>
    <w:rsid w:val="00BD7804"/>
    <w:rsid w:val="00BE1ACD"/>
    <w:rsid w:val="00BE3274"/>
    <w:rsid w:val="00BE3AB8"/>
    <w:rsid w:val="00BE562C"/>
    <w:rsid w:val="00BE5E7B"/>
    <w:rsid w:val="00BE6482"/>
    <w:rsid w:val="00BE6B37"/>
    <w:rsid w:val="00BE6B5A"/>
    <w:rsid w:val="00BE7253"/>
    <w:rsid w:val="00BF010B"/>
    <w:rsid w:val="00BF0413"/>
    <w:rsid w:val="00BF147D"/>
    <w:rsid w:val="00BF1C6E"/>
    <w:rsid w:val="00BF699B"/>
    <w:rsid w:val="00BF6A06"/>
    <w:rsid w:val="00BF72BA"/>
    <w:rsid w:val="00BF7B04"/>
    <w:rsid w:val="00C019BB"/>
    <w:rsid w:val="00C019D6"/>
    <w:rsid w:val="00C0313D"/>
    <w:rsid w:val="00C04A55"/>
    <w:rsid w:val="00C055CC"/>
    <w:rsid w:val="00C06EFC"/>
    <w:rsid w:val="00C07D99"/>
    <w:rsid w:val="00C122B5"/>
    <w:rsid w:val="00C151F6"/>
    <w:rsid w:val="00C20583"/>
    <w:rsid w:val="00C20E5B"/>
    <w:rsid w:val="00C20E60"/>
    <w:rsid w:val="00C215FD"/>
    <w:rsid w:val="00C2220A"/>
    <w:rsid w:val="00C22306"/>
    <w:rsid w:val="00C22523"/>
    <w:rsid w:val="00C2276C"/>
    <w:rsid w:val="00C22872"/>
    <w:rsid w:val="00C22916"/>
    <w:rsid w:val="00C24008"/>
    <w:rsid w:val="00C24651"/>
    <w:rsid w:val="00C26492"/>
    <w:rsid w:val="00C3072B"/>
    <w:rsid w:val="00C311BD"/>
    <w:rsid w:val="00C35C8D"/>
    <w:rsid w:val="00C37A38"/>
    <w:rsid w:val="00C4074B"/>
    <w:rsid w:val="00C41284"/>
    <w:rsid w:val="00C44993"/>
    <w:rsid w:val="00C45C74"/>
    <w:rsid w:val="00C46099"/>
    <w:rsid w:val="00C47D3C"/>
    <w:rsid w:val="00C50956"/>
    <w:rsid w:val="00C50FF6"/>
    <w:rsid w:val="00C53D3C"/>
    <w:rsid w:val="00C54930"/>
    <w:rsid w:val="00C6007E"/>
    <w:rsid w:val="00C60086"/>
    <w:rsid w:val="00C604DE"/>
    <w:rsid w:val="00C6078E"/>
    <w:rsid w:val="00C64298"/>
    <w:rsid w:val="00C64F7F"/>
    <w:rsid w:val="00C674A6"/>
    <w:rsid w:val="00C71761"/>
    <w:rsid w:val="00C735EF"/>
    <w:rsid w:val="00C76347"/>
    <w:rsid w:val="00C774AA"/>
    <w:rsid w:val="00C80EFD"/>
    <w:rsid w:val="00C83770"/>
    <w:rsid w:val="00C87BD8"/>
    <w:rsid w:val="00C90C77"/>
    <w:rsid w:val="00C90EF3"/>
    <w:rsid w:val="00C9204B"/>
    <w:rsid w:val="00C92B8F"/>
    <w:rsid w:val="00C934EE"/>
    <w:rsid w:val="00C9389B"/>
    <w:rsid w:val="00C96D6F"/>
    <w:rsid w:val="00C973DF"/>
    <w:rsid w:val="00CA0DD5"/>
    <w:rsid w:val="00CA14D1"/>
    <w:rsid w:val="00CA231D"/>
    <w:rsid w:val="00CA25F3"/>
    <w:rsid w:val="00CA29CA"/>
    <w:rsid w:val="00CA59C7"/>
    <w:rsid w:val="00CB066C"/>
    <w:rsid w:val="00CB64BA"/>
    <w:rsid w:val="00CB665C"/>
    <w:rsid w:val="00CB766F"/>
    <w:rsid w:val="00CC20EC"/>
    <w:rsid w:val="00CC2701"/>
    <w:rsid w:val="00CC2F27"/>
    <w:rsid w:val="00CC30A8"/>
    <w:rsid w:val="00CC5A1D"/>
    <w:rsid w:val="00CC668A"/>
    <w:rsid w:val="00CD2689"/>
    <w:rsid w:val="00CD3517"/>
    <w:rsid w:val="00CD3EDB"/>
    <w:rsid w:val="00CD4D76"/>
    <w:rsid w:val="00CE0B34"/>
    <w:rsid w:val="00CE1D1A"/>
    <w:rsid w:val="00CE21AD"/>
    <w:rsid w:val="00CE3253"/>
    <w:rsid w:val="00CE5871"/>
    <w:rsid w:val="00CE62DC"/>
    <w:rsid w:val="00CE766F"/>
    <w:rsid w:val="00CF062D"/>
    <w:rsid w:val="00CF07FC"/>
    <w:rsid w:val="00CF292A"/>
    <w:rsid w:val="00CF2EC3"/>
    <w:rsid w:val="00CF42F9"/>
    <w:rsid w:val="00CF44B6"/>
    <w:rsid w:val="00CF50EC"/>
    <w:rsid w:val="00CF5602"/>
    <w:rsid w:val="00CF63C8"/>
    <w:rsid w:val="00CF645F"/>
    <w:rsid w:val="00CF6EF2"/>
    <w:rsid w:val="00D00C3A"/>
    <w:rsid w:val="00D025A9"/>
    <w:rsid w:val="00D02CF3"/>
    <w:rsid w:val="00D03B89"/>
    <w:rsid w:val="00D0611D"/>
    <w:rsid w:val="00D0739E"/>
    <w:rsid w:val="00D07CA7"/>
    <w:rsid w:val="00D07F85"/>
    <w:rsid w:val="00D10313"/>
    <w:rsid w:val="00D120D9"/>
    <w:rsid w:val="00D13A1D"/>
    <w:rsid w:val="00D16918"/>
    <w:rsid w:val="00D17A11"/>
    <w:rsid w:val="00D17A59"/>
    <w:rsid w:val="00D17D16"/>
    <w:rsid w:val="00D17D23"/>
    <w:rsid w:val="00D21908"/>
    <w:rsid w:val="00D2305C"/>
    <w:rsid w:val="00D23403"/>
    <w:rsid w:val="00D23FF8"/>
    <w:rsid w:val="00D2417A"/>
    <w:rsid w:val="00D247C5"/>
    <w:rsid w:val="00D255E6"/>
    <w:rsid w:val="00D258F9"/>
    <w:rsid w:val="00D27620"/>
    <w:rsid w:val="00D3135C"/>
    <w:rsid w:val="00D32919"/>
    <w:rsid w:val="00D32B0D"/>
    <w:rsid w:val="00D33897"/>
    <w:rsid w:val="00D357A8"/>
    <w:rsid w:val="00D378C1"/>
    <w:rsid w:val="00D41F64"/>
    <w:rsid w:val="00D45ADF"/>
    <w:rsid w:val="00D4729E"/>
    <w:rsid w:val="00D47B61"/>
    <w:rsid w:val="00D50950"/>
    <w:rsid w:val="00D50D1D"/>
    <w:rsid w:val="00D51C03"/>
    <w:rsid w:val="00D52143"/>
    <w:rsid w:val="00D5294B"/>
    <w:rsid w:val="00D537D1"/>
    <w:rsid w:val="00D558CA"/>
    <w:rsid w:val="00D566A6"/>
    <w:rsid w:val="00D567D1"/>
    <w:rsid w:val="00D57122"/>
    <w:rsid w:val="00D57579"/>
    <w:rsid w:val="00D60E60"/>
    <w:rsid w:val="00D63896"/>
    <w:rsid w:val="00D646A0"/>
    <w:rsid w:val="00D64DB5"/>
    <w:rsid w:val="00D6510C"/>
    <w:rsid w:val="00D673DB"/>
    <w:rsid w:val="00D675AE"/>
    <w:rsid w:val="00D679F9"/>
    <w:rsid w:val="00D72CD0"/>
    <w:rsid w:val="00D750DF"/>
    <w:rsid w:val="00D756CA"/>
    <w:rsid w:val="00D75A50"/>
    <w:rsid w:val="00D7698F"/>
    <w:rsid w:val="00D81062"/>
    <w:rsid w:val="00D84527"/>
    <w:rsid w:val="00D846DE"/>
    <w:rsid w:val="00D84DD6"/>
    <w:rsid w:val="00D86CF8"/>
    <w:rsid w:val="00D876CB"/>
    <w:rsid w:val="00D90015"/>
    <w:rsid w:val="00D9027D"/>
    <w:rsid w:val="00D90915"/>
    <w:rsid w:val="00D92484"/>
    <w:rsid w:val="00D9273A"/>
    <w:rsid w:val="00D92788"/>
    <w:rsid w:val="00D92CF0"/>
    <w:rsid w:val="00D933AD"/>
    <w:rsid w:val="00D95839"/>
    <w:rsid w:val="00D962BB"/>
    <w:rsid w:val="00D971ED"/>
    <w:rsid w:val="00D972F3"/>
    <w:rsid w:val="00DA27F8"/>
    <w:rsid w:val="00DB0A2D"/>
    <w:rsid w:val="00DB268E"/>
    <w:rsid w:val="00DB2CD4"/>
    <w:rsid w:val="00DB50FA"/>
    <w:rsid w:val="00DC004F"/>
    <w:rsid w:val="00DC13B0"/>
    <w:rsid w:val="00DC38AD"/>
    <w:rsid w:val="00DC45B8"/>
    <w:rsid w:val="00DC52A0"/>
    <w:rsid w:val="00DC5B3E"/>
    <w:rsid w:val="00DD2037"/>
    <w:rsid w:val="00DD25F1"/>
    <w:rsid w:val="00DD3170"/>
    <w:rsid w:val="00DD65D5"/>
    <w:rsid w:val="00DD7E8F"/>
    <w:rsid w:val="00DE1066"/>
    <w:rsid w:val="00DE1CBD"/>
    <w:rsid w:val="00DE265C"/>
    <w:rsid w:val="00DE2AAB"/>
    <w:rsid w:val="00DE382F"/>
    <w:rsid w:val="00DE4979"/>
    <w:rsid w:val="00DE66EF"/>
    <w:rsid w:val="00DE755C"/>
    <w:rsid w:val="00DF0F3C"/>
    <w:rsid w:val="00DF2A56"/>
    <w:rsid w:val="00DF2B4D"/>
    <w:rsid w:val="00DF2F2C"/>
    <w:rsid w:val="00DF349C"/>
    <w:rsid w:val="00DF7650"/>
    <w:rsid w:val="00DF77DB"/>
    <w:rsid w:val="00DF7899"/>
    <w:rsid w:val="00E014E7"/>
    <w:rsid w:val="00E0201E"/>
    <w:rsid w:val="00E053AF"/>
    <w:rsid w:val="00E067A9"/>
    <w:rsid w:val="00E074E7"/>
    <w:rsid w:val="00E10055"/>
    <w:rsid w:val="00E1065C"/>
    <w:rsid w:val="00E10741"/>
    <w:rsid w:val="00E11760"/>
    <w:rsid w:val="00E11CDE"/>
    <w:rsid w:val="00E11E5D"/>
    <w:rsid w:val="00E141AA"/>
    <w:rsid w:val="00E14AF4"/>
    <w:rsid w:val="00E1799F"/>
    <w:rsid w:val="00E205A1"/>
    <w:rsid w:val="00E214B8"/>
    <w:rsid w:val="00E21EA5"/>
    <w:rsid w:val="00E2331A"/>
    <w:rsid w:val="00E25EDB"/>
    <w:rsid w:val="00E2629E"/>
    <w:rsid w:val="00E27AD2"/>
    <w:rsid w:val="00E303C5"/>
    <w:rsid w:val="00E306E7"/>
    <w:rsid w:val="00E30A16"/>
    <w:rsid w:val="00E30EDC"/>
    <w:rsid w:val="00E32F09"/>
    <w:rsid w:val="00E3619A"/>
    <w:rsid w:val="00E40FFA"/>
    <w:rsid w:val="00E41E4D"/>
    <w:rsid w:val="00E46D6D"/>
    <w:rsid w:val="00E51A3E"/>
    <w:rsid w:val="00E528EA"/>
    <w:rsid w:val="00E52FBB"/>
    <w:rsid w:val="00E53419"/>
    <w:rsid w:val="00E53FA6"/>
    <w:rsid w:val="00E568B1"/>
    <w:rsid w:val="00E56DD1"/>
    <w:rsid w:val="00E56EFB"/>
    <w:rsid w:val="00E57623"/>
    <w:rsid w:val="00E578B7"/>
    <w:rsid w:val="00E61275"/>
    <w:rsid w:val="00E61486"/>
    <w:rsid w:val="00E615FC"/>
    <w:rsid w:val="00E62C76"/>
    <w:rsid w:val="00E66377"/>
    <w:rsid w:val="00E668C5"/>
    <w:rsid w:val="00E71EC4"/>
    <w:rsid w:val="00E72CA6"/>
    <w:rsid w:val="00E7459B"/>
    <w:rsid w:val="00E74C0E"/>
    <w:rsid w:val="00E7663D"/>
    <w:rsid w:val="00E84934"/>
    <w:rsid w:val="00E85627"/>
    <w:rsid w:val="00E91179"/>
    <w:rsid w:val="00E91D69"/>
    <w:rsid w:val="00E93857"/>
    <w:rsid w:val="00E941CE"/>
    <w:rsid w:val="00E96E8F"/>
    <w:rsid w:val="00E97F10"/>
    <w:rsid w:val="00EA085A"/>
    <w:rsid w:val="00EA1DFF"/>
    <w:rsid w:val="00EA24AB"/>
    <w:rsid w:val="00EA3C4B"/>
    <w:rsid w:val="00EA67F4"/>
    <w:rsid w:val="00EA7839"/>
    <w:rsid w:val="00EA7912"/>
    <w:rsid w:val="00EB36BC"/>
    <w:rsid w:val="00EC0CBF"/>
    <w:rsid w:val="00EC0F7C"/>
    <w:rsid w:val="00EC2239"/>
    <w:rsid w:val="00EC264B"/>
    <w:rsid w:val="00ED01FB"/>
    <w:rsid w:val="00ED21C1"/>
    <w:rsid w:val="00ED5924"/>
    <w:rsid w:val="00ED5BB2"/>
    <w:rsid w:val="00ED6758"/>
    <w:rsid w:val="00ED6E78"/>
    <w:rsid w:val="00ED7104"/>
    <w:rsid w:val="00EE1810"/>
    <w:rsid w:val="00EE1EEC"/>
    <w:rsid w:val="00EE2A27"/>
    <w:rsid w:val="00EE4190"/>
    <w:rsid w:val="00EE59A4"/>
    <w:rsid w:val="00EE5AA7"/>
    <w:rsid w:val="00EE6FD8"/>
    <w:rsid w:val="00EE7578"/>
    <w:rsid w:val="00EE783D"/>
    <w:rsid w:val="00EE7840"/>
    <w:rsid w:val="00EE79CF"/>
    <w:rsid w:val="00EF066D"/>
    <w:rsid w:val="00EF0F40"/>
    <w:rsid w:val="00EF12A6"/>
    <w:rsid w:val="00EF18FE"/>
    <w:rsid w:val="00EF2FD1"/>
    <w:rsid w:val="00EF31F4"/>
    <w:rsid w:val="00EF3FC7"/>
    <w:rsid w:val="00EF43C9"/>
    <w:rsid w:val="00EF4EFC"/>
    <w:rsid w:val="00EF5F69"/>
    <w:rsid w:val="00EF6B0A"/>
    <w:rsid w:val="00EF75CB"/>
    <w:rsid w:val="00F01210"/>
    <w:rsid w:val="00F02095"/>
    <w:rsid w:val="00F03E81"/>
    <w:rsid w:val="00F03F96"/>
    <w:rsid w:val="00F044CA"/>
    <w:rsid w:val="00F05174"/>
    <w:rsid w:val="00F051A5"/>
    <w:rsid w:val="00F05449"/>
    <w:rsid w:val="00F06231"/>
    <w:rsid w:val="00F0760D"/>
    <w:rsid w:val="00F07A92"/>
    <w:rsid w:val="00F117A4"/>
    <w:rsid w:val="00F11DE7"/>
    <w:rsid w:val="00F127C0"/>
    <w:rsid w:val="00F13F4F"/>
    <w:rsid w:val="00F14160"/>
    <w:rsid w:val="00F14473"/>
    <w:rsid w:val="00F16AFB"/>
    <w:rsid w:val="00F16B77"/>
    <w:rsid w:val="00F17CD9"/>
    <w:rsid w:val="00F20571"/>
    <w:rsid w:val="00F20B88"/>
    <w:rsid w:val="00F2158B"/>
    <w:rsid w:val="00F21996"/>
    <w:rsid w:val="00F22BAC"/>
    <w:rsid w:val="00F23943"/>
    <w:rsid w:val="00F2422F"/>
    <w:rsid w:val="00F24723"/>
    <w:rsid w:val="00F31B5D"/>
    <w:rsid w:val="00F338D3"/>
    <w:rsid w:val="00F34075"/>
    <w:rsid w:val="00F345FF"/>
    <w:rsid w:val="00F35834"/>
    <w:rsid w:val="00F36887"/>
    <w:rsid w:val="00F37DC0"/>
    <w:rsid w:val="00F41A5A"/>
    <w:rsid w:val="00F42219"/>
    <w:rsid w:val="00F42C20"/>
    <w:rsid w:val="00F4336B"/>
    <w:rsid w:val="00F441CD"/>
    <w:rsid w:val="00F4487C"/>
    <w:rsid w:val="00F457FD"/>
    <w:rsid w:val="00F46513"/>
    <w:rsid w:val="00F503CE"/>
    <w:rsid w:val="00F50804"/>
    <w:rsid w:val="00F5108F"/>
    <w:rsid w:val="00F52569"/>
    <w:rsid w:val="00F529FA"/>
    <w:rsid w:val="00F52E4D"/>
    <w:rsid w:val="00F52FC9"/>
    <w:rsid w:val="00F7070D"/>
    <w:rsid w:val="00F76EF1"/>
    <w:rsid w:val="00F77483"/>
    <w:rsid w:val="00F830E1"/>
    <w:rsid w:val="00F84812"/>
    <w:rsid w:val="00F867D2"/>
    <w:rsid w:val="00F914EE"/>
    <w:rsid w:val="00F91BFD"/>
    <w:rsid w:val="00F92B4B"/>
    <w:rsid w:val="00F93045"/>
    <w:rsid w:val="00F94068"/>
    <w:rsid w:val="00F947B9"/>
    <w:rsid w:val="00F95548"/>
    <w:rsid w:val="00F9597C"/>
    <w:rsid w:val="00F96145"/>
    <w:rsid w:val="00FA1F61"/>
    <w:rsid w:val="00FA35A2"/>
    <w:rsid w:val="00FA3645"/>
    <w:rsid w:val="00FA49AF"/>
    <w:rsid w:val="00FA5CBF"/>
    <w:rsid w:val="00FA6246"/>
    <w:rsid w:val="00FB01D4"/>
    <w:rsid w:val="00FB0367"/>
    <w:rsid w:val="00FB0CD4"/>
    <w:rsid w:val="00FB223A"/>
    <w:rsid w:val="00FB22DD"/>
    <w:rsid w:val="00FB44C5"/>
    <w:rsid w:val="00FB4811"/>
    <w:rsid w:val="00FB59CA"/>
    <w:rsid w:val="00FC660E"/>
    <w:rsid w:val="00FC7472"/>
    <w:rsid w:val="00FC7F1F"/>
    <w:rsid w:val="00FD1D09"/>
    <w:rsid w:val="00FD2824"/>
    <w:rsid w:val="00FD430C"/>
    <w:rsid w:val="00FD4519"/>
    <w:rsid w:val="00FD59E8"/>
    <w:rsid w:val="00FD5B40"/>
    <w:rsid w:val="00FD664F"/>
    <w:rsid w:val="00FD66AA"/>
    <w:rsid w:val="00FD6BA1"/>
    <w:rsid w:val="00FD7B0A"/>
    <w:rsid w:val="00FE0028"/>
    <w:rsid w:val="00FE0609"/>
    <w:rsid w:val="00FE1BDE"/>
    <w:rsid w:val="00FE1F2C"/>
    <w:rsid w:val="00FE50E0"/>
    <w:rsid w:val="00FF2EF5"/>
    <w:rsid w:val="00FF2FBE"/>
    <w:rsid w:val="00FF3CA9"/>
    <w:rsid w:val="00FF3D6F"/>
    <w:rsid w:val="00FF40C6"/>
    <w:rsid w:val="00FF43EC"/>
    <w:rsid w:val="00FF79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399A35"/>
  <w14:defaultImageDpi w14:val="32767"/>
  <w15:chartTrackingRefBased/>
  <w15:docId w15:val="{81BCD168-4A19-4201-BD10-82D73E75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en-GB"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314C70"/>
    <w:pPr>
      <w:spacing w:line="276" w:lineRule="auto"/>
    </w:pPr>
    <w:rPr>
      <w:color w:val="000000"/>
      <w:sz w:val="22"/>
      <w:szCs w:val="22"/>
      <w:lang w:val="es-ES" w:eastAsia="es-ES"/>
    </w:rPr>
  </w:style>
  <w:style w:type="paragraph" w:styleId="Heading1">
    <w:name w:val="heading 1"/>
    <w:basedOn w:val="Normal1"/>
    <w:next w:val="Normal1"/>
    <w:link w:val="Heading1Char"/>
    <w:uiPriority w:val="99"/>
    <w:qFormat/>
    <w:rsid w:val="001E1A7A"/>
    <w:pPr>
      <w:keepNext/>
      <w:keepLines/>
      <w:spacing w:before="400" w:after="120"/>
      <w:contextualSpacing/>
      <w:outlineLvl w:val="0"/>
    </w:pPr>
    <w:rPr>
      <w:rFonts w:ascii="Cambria" w:hAnsi="Cambria" w:cs="Times New Roman"/>
      <w:b/>
      <w:kern w:val="32"/>
      <w:sz w:val="32"/>
      <w:szCs w:val="20"/>
      <w:lang w:val="x-none" w:eastAsia="x-none"/>
    </w:rPr>
  </w:style>
  <w:style w:type="paragraph" w:styleId="Heading2">
    <w:name w:val="heading 2"/>
    <w:basedOn w:val="Normal1"/>
    <w:next w:val="Normal1"/>
    <w:link w:val="Heading2Char"/>
    <w:uiPriority w:val="99"/>
    <w:qFormat/>
    <w:rsid w:val="001E1A7A"/>
    <w:pPr>
      <w:keepNext/>
      <w:keepLines/>
      <w:spacing w:before="360" w:after="120"/>
      <w:contextualSpacing/>
      <w:outlineLvl w:val="1"/>
    </w:pPr>
    <w:rPr>
      <w:rFonts w:ascii="Cambria" w:hAnsi="Cambria" w:cs="Times New Roman"/>
      <w:b/>
      <w:i/>
      <w:sz w:val="28"/>
      <w:szCs w:val="20"/>
      <w:lang w:val="x-none" w:eastAsia="x-none"/>
    </w:rPr>
  </w:style>
  <w:style w:type="paragraph" w:styleId="Heading3">
    <w:name w:val="heading 3"/>
    <w:basedOn w:val="Normal1"/>
    <w:next w:val="Normal1"/>
    <w:link w:val="Heading3Char"/>
    <w:uiPriority w:val="99"/>
    <w:qFormat/>
    <w:rsid w:val="001E1A7A"/>
    <w:pPr>
      <w:keepNext/>
      <w:keepLines/>
      <w:spacing w:before="320" w:after="80"/>
      <w:contextualSpacing/>
      <w:outlineLvl w:val="2"/>
    </w:pPr>
    <w:rPr>
      <w:rFonts w:ascii="Cambria" w:hAnsi="Cambria" w:cs="Times New Roman"/>
      <w:b/>
      <w:sz w:val="26"/>
      <w:szCs w:val="20"/>
      <w:lang w:val="x-none" w:eastAsia="x-none"/>
    </w:rPr>
  </w:style>
  <w:style w:type="paragraph" w:styleId="Heading4">
    <w:name w:val="heading 4"/>
    <w:basedOn w:val="Normal1"/>
    <w:next w:val="Normal1"/>
    <w:link w:val="Heading4Char"/>
    <w:uiPriority w:val="99"/>
    <w:qFormat/>
    <w:rsid w:val="001E1A7A"/>
    <w:pPr>
      <w:keepNext/>
      <w:keepLines/>
      <w:spacing w:before="280" w:after="80"/>
      <w:contextualSpacing/>
      <w:outlineLvl w:val="3"/>
    </w:pPr>
    <w:rPr>
      <w:rFonts w:ascii="Calibri" w:hAnsi="Calibri" w:cs="Times New Roman"/>
      <w:b/>
      <w:sz w:val="28"/>
      <w:szCs w:val="20"/>
      <w:lang w:val="x-none" w:eastAsia="x-none"/>
    </w:rPr>
  </w:style>
  <w:style w:type="paragraph" w:styleId="Heading5">
    <w:name w:val="heading 5"/>
    <w:basedOn w:val="Normal1"/>
    <w:next w:val="Normal1"/>
    <w:link w:val="Heading5Char"/>
    <w:uiPriority w:val="99"/>
    <w:qFormat/>
    <w:rsid w:val="001E1A7A"/>
    <w:pPr>
      <w:keepNext/>
      <w:keepLines/>
      <w:spacing w:before="240" w:after="80"/>
      <w:contextualSpacing/>
      <w:outlineLvl w:val="4"/>
    </w:pPr>
    <w:rPr>
      <w:rFonts w:ascii="Calibri" w:hAnsi="Calibri" w:cs="Times New Roman"/>
      <w:b/>
      <w:i/>
      <w:sz w:val="26"/>
      <w:szCs w:val="20"/>
      <w:lang w:val="x-none" w:eastAsia="x-none"/>
    </w:rPr>
  </w:style>
  <w:style w:type="paragraph" w:styleId="Heading6">
    <w:name w:val="heading 6"/>
    <w:basedOn w:val="Normal1"/>
    <w:next w:val="Normal1"/>
    <w:link w:val="Heading6Char"/>
    <w:uiPriority w:val="99"/>
    <w:qFormat/>
    <w:rsid w:val="001E1A7A"/>
    <w:pPr>
      <w:keepNext/>
      <w:keepLines/>
      <w:spacing w:before="240" w:after="80"/>
      <w:contextualSpacing/>
      <w:outlineLvl w:val="5"/>
    </w:pPr>
    <w:rPr>
      <w:rFonts w:ascii="Calibri" w:hAnsi="Calibri" w:cs="Times New Roman"/>
      <w:b/>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AC14E8"/>
    <w:rPr>
      <w:rFonts w:ascii="Cambria" w:hAnsi="Cambria"/>
      <w:b/>
      <w:color w:val="000000"/>
      <w:kern w:val="32"/>
      <w:sz w:val="32"/>
    </w:rPr>
  </w:style>
  <w:style w:type="character" w:customStyle="1" w:styleId="Heading2Char">
    <w:name w:val="Heading 2 Char"/>
    <w:link w:val="Heading2"/>
    <w:uiPriority w:val="99"/>
    <w:semiHidden/>
    <w:locked/>
    <w:rsid w:val="00AC14E8"/>
    <w:rPr>
      <w:rFonts w:ascii="Cambria" w:hAnsi="Cambria"/>
      <w:b/>
      <w:i/>
      <w:color w:val="000000"/>
      <w:sz w:val="28"/>
    </w:rPr>
  </w:style>
  <w:style w:type="character" w:customStyle="1" w:styleId="Heading3Char">
    <w:name w:val="Heading 3 Char"/>
    <w:link w:val="Heading3"/>
    <w:uiPriority w:val="99"/>
    <w:semiHidden/>
    <w:locked/>
    <w:rsid w:val="00AC14E8"/>
    <w:rPr>
      <w:rFonts w:ascii="Cambria" w:hAnsi="Cambria"/>
      <w:b/>
      <w:color w:val="000000"/>
      <w:sz w:val="26"/>
    </w:rPr>
  </w:style>
  <w:style w:type="character" w:customStyle="1" w:styleId="Heading4Char">
    <w:name w:val="Heading 4 Char"/>
    <w:link w:val="Heading4"/>
    <w:uiPriority w:val="99"/>
    <w:semiHidden/>
    <w:locked/>
    <w:rsid w:val="00AC14E8"/>
    <w:rPr>
      <w:rFonts w:ascii="Calibri" w:hAnsi="Calibri"/>
      <w:b/>
      <w:color w:val="000000"/>
      <w:sz w:val="28"/>
    </w:rPr>
  </w:style>
  <w:style w:type="character" w:customStyle="1" w:styleId="Heading5Char">
    <w:name w:val="Heading 5 Char"/>
    <w:link w:val="Heading5"/>
    <w:uiPriority w:val="99"/>
    <w:semiHidden/>
    <w:locked/>
    <w:rsid w:val="00AC14E8"/>
    <w:rPr>
      <w:rFonts w:ascii="Calibri" w:hAnsi="Calibri"/>
      <w:b/>
      <w:i/>
      <w:color w:val="000000"/>
      <w:sz w:val="26"/>
    </w:rPr>
  </w:style>
  <w:style w:type="character" w:customStyle="1" w:styleId="Heading6Char">
    <w:name w:val="Heading 6 Char"/>
    <w:link w:val="Heading6"/>
    <w:uiPriority w:val="99"/>
    <w:semiHidden/>
    <w:locked/>
    <w:rsid w:val="00AC14E8"/>
    <w:rPr>
      <w:rFonts w:ascii="Calibri" w:hAnsi="Calibri"/>
      <w:b/>
      <w:color w:val="000000"/>
    </w:rPr>
  </w:style>
  <w:style w:type="paragraph" w:customStyle="1" w:styleId="Normal1">
    <w:name w:val="Normal1"/>
    <w:uiPriority w:val="99"/>
    <w:rsid w:val="001E1A7A"/>
    <w:pPr>
      <w:spacing w:line="276" w:lineRule="auto"/>
    </w:pPr>
    <w:rPr>
      <w:color w:val="000000"/>
      <w:sz w:val="22"/>
      <w:szCs w:val="22"/>
      <w:lang w:val="es-ES" w:eastAsia="es-ES"/>
    </w:rPr>
  </w:style>
  <w:style w:type="paragraph" w:styleId="Title">
    <w:name w:val="Title"/>
    <w:basedOn w:val="Normal1"/>
    <w:next w:val="Normal1"/>
    <w:link w:val="TitleChar"/>
    <w:uiPriority w:val="99"/>
    <w:qFormat/>
    <w:rsid w:val="001E1A7A"/>
    <w:pPr>
      <w:keepNext/>
      <w:keepLines/>
      <w:spacing w:after="60"/>
      <w:contextualSpacing/>
    </w:pPr>
    <w:rPr>
      <w:rFonts w:ascii="Cambria" w:hAnsi="Cambria" w:cs="Times New Roman"/>
      <w:b/>
      <w:kern w:val="28"/>
      <w:sz w:val="32"/>
      <w:szCs w:val="20"/>
      <w:lang w:val="x-none" w:eastAsia="x-none"/>
    </w:rPr>
  </w:style>
  <w:style w:type="character" w:customStyle="1" w:styleId="TitleChar">
    <w:name w:val="Title Char"/>
    <w:link w:val="Title"/>
    <w:uiPriority w:val="99"/>
    <w:locked/>
    <w:rsid w:val="00AC14E8"/>
    <w:rPr>
      <w:rFonts w:ascii="Cambria" w:hAnsi="Cambria"/>
      <w:b/>
      <w:color w:val="000000"/>
      <w:kern w:val="28"/>
      <w:sz w:val="32"/>
    </w:rPr>
  </w:style>
  <w:style w:type="paragraph" w:styleId="Subtitle">
    <w:name w:val="Subtitle"/>
    <w:basedOn w:val="Normal1"/>
    <w:next w:val="Normal1"/>
    <w:link w:val="SubtitleChar"/>
    <w:uiPriority w:val="99"/>
    <w:qFormat/>
    <w:rsid w:val="001E1A7A"/>
    <w:pPr>
      <w:keepNext/>
      <w:keepLines/>
      <w:spacing w:after="320"/>
      <w:contextualSpacing/>
    </w:pPr>
    <w:rPr>
      <w:rFonts w:ascii="Cambria" w:hAnsi="Cambria" w:cs="Times New Roman"/>
      <w:sz w:val="24"/>
      <w:szCs w:val="20"/>
      <w:lang w:val="x-none" w:eastAsia="x-none"/>
    </w:rPr>
  </w:style>
  <w:style w:type="character" w:customStyle="1" w:styleId="SubtitleChar">
    <w:name w:val="Subtitle Char"/>
    <w:link w:val="Subtitle"/>
    <w:uiPriority w:val="99"/>
    <w:locked/>
    <w:rsid w:val="00AC14E8"/>
    <w:rPr>
      <w:rFonts w:ascii="Cambria" w:hAnsi="Cambria"/>
      <w:color w:val="000000"/>
      <w:sz w:val="24"/>
    </w:rPr>
  </w:style>
  <w:style w:type="table" w:customStyle="1" w:styleId="Estil">
    <w:name w:val="Estil"/>
    <w:uiPriority w:val="99"/>
    <w:rsid w:val="001E1A7A"/>
    <w:rPr>
      <w:lang w:val="es-ES" w:eastAsia="es-ES"/>
    </w:rPr>
    <w:tblPr>
      <w:tblStyleRowBandSize w:val="1"/>
      <w:tblStyleColBandSize w:val="1"/>
      <w:tblInd w:w="0" w:type="dxa"/>
      <w:tblCellMar>
        <w:top w:w="0" w:type="dxa"/>
        <w:left w:w="108" w:type="dxa"/>
        <w:bottom w:w="0" w:type="dxa"/>
        <w:right w:w="108" w:type="dxa"/>
      </w:tblCellMar>
    </w:tblPr>
  </w:style>
  <w:style w:type="character" w:styleId="CommentReference">
    <w:name w:val="annotation reference"/>
    <w:uiPriority w:val="99"/>
    <w:semiHidden/>
    <w:rsid w:val="0005662F"/>
    <w:rPr>
      <w:rFonts w:cs="Times New Roman"/>
      <w:sz w:val="16"/>
    </w:rPr>
  </w:style>
  <w:style w:type="paragraph" w:styleId="CommentText">
    <w:name w:val="annotation text"/>
    <w:basedOn w:val="Normal"/>
    <w:link w:val="CommentTextChar"/>
    <w:uiPriority w:val="99"/>
    <w:semiHidden/>
    <w:rsid w:val="00C6007E"/>
    <w:rPr>
      <w:rFonts w:cs="Times New Roman"/>
      <w:sz w:val="20"/>
      <w:szCs w:val="20"/>
      <w:lang w:val="x-none" w:eastAsia="x-none"/>
    </w:rPr>
  </w:style>
  <w:style w:type="character" w:customStyle="1" w:styleId="CommentTextChar">
    <w:name w:val="Comment Text Char"/>
    <w:link w:val="CommentText"/>
    <w:uiPriority w:val="99"/>
    <w:semiHidden/>
    <w:locked/>
    <w:rsid w:val="00C6007E"/>
    <w:rPr>
      <w:color w:val="000000"/>
    </w:rPr>
  </w:style>
  <w:style w:type="paragraph" w:styleId="CommentSubject">
    <w:name w:val="annotation subject"/>
    <w:basedOn w:val="CommentText"/>
    <w:next w:val="CommentText"/>
    <w:link w:val="CommentSubjectChar"/>
    <w:uiPriority w:val="99"/>
    <w:semiHidden/>
    <w:rsid w:val="0005662F"/>
    <w:rPr>
      <w:b/>
    </w:rPr>
  </w:style>
  <w:style w:type="character" w:customStyle="1" w:styleId="CommentSubjectChar">
    <w:name w:val="Comment Subject Char"/>
    <w:link w:val="CommentSubject"/>
    <w:uiPriority w:val="99"/>
    <w:semiHidden/>
    <w:locked/>
    <w:rsid w:val="00AC14E8"/>
    <w:rPr>
      <w:b/>
      <w:color w:val="000000"/>
      <w:sz w:val="20"/>
    </w:rPr>
  </w:style>
  <w:style w:type="paragraph" w:styleId="BalloonText">
    <w:name w:val="Balloon Text"/>
    <w:basedOn w:val="Normal"/>
    <w:link w:val="BalloonTextChar"/>
    <w:uiPriority w:val="99"/>
    <w:semiHidden/>
    <w:rsid w:val="00314C70"/>
    <w:rPr>
      <w:rFonts w:cs="Times New Roman"/>
      <w:sz w:val="20"/>
      <w:szCs w:val="20"/>
      <w:lang w:val="x-none" w:eastAsia="x-none"/>
    </w:rPr>
  </w:style>
  <w:style w:type="character" w:customStyle="1" w:styleId="BalloonTextChar">
    <w:name w:val="Balloon Text Char"/>
    <w:link w:val="BalloonText"/>
    <w:uiPriority w:val="99"/>
    <w:semiHidden/>
    <w:locked/>
    <w:rsid w:val="00314C70"/>
    <w:rPr>
      <w:color w:val="000000"/>
    </w:rPr>
  </w:style>
  <w:style w:type="character" w:customStyle="1" w:styleId="apple-converted-space">
    <w:name w:val="apple-converted-space"/>
    <w:uiPriority w:val="99"/>
    <w:rsid w:val="00F36887"/>
  </w:style>
  <w:style w:type="paragraph" w:styleId="NormalWeb">
    <w:name w:val="Normal (Web)"/>
    <w:basedOn w:val="Normal"/>
    <w:uiPriority w:val="99"/>
    <w:semiHidden/>
    <w:rsid w:val="00D7698F"/>
    <w:pPr>
      <w:spacing w:before="100" w:beforeAutospacing="1" w:after="100" w:afterAutospacing="1" w:line="240" w:lineRule="auto"/>
    </w:pPr>
    <w:rPr>
      <w:rFonts w:ascii="Times New Roman" w:eastAsia="Times New Roman" w:hAnsi="Times New Roman" w:cs="Times New Roman"/>
      <w:color w:val="auto"/>
      <w:sz w:val="24"/>
      <w:szCs w:val="24"/>
      <w:lang w:val="ca-ES" w:eastAsia="ca-ES"/>
    </w:rPr>
  </w:style>
  <w:style w:type="paragraph" w:customStyle="1" w:styleId="Revisin1">
    <w:name w:val="Revisión1"/>
    <w:hidden/>
    <w:uiPriority w:val="99"/>
    <w:semiHidden/>
    <w:rsid w:val="00B96F16"/>
    <w:rPr>
      <w:color w:val="000000"/>
      <w:sz w:val="22"/>
      <w:szCs w:val="22"/>
      <w:lang w:val="es-ES" w:eastAsia="es-ES"/>
    </w:rPr>
  </w:style>
  <w:style w:type="paragraph" w:styleId="EndnoteText">
    <w:name w:val="endnote text"/>
    <w:basedOn w:val="Normal"/>
    <w:link w:val="EndnoteTextChar"/>
    <w:uiPriority w:val="99"/>
    <w:semiHidden/>
    <w:rsid w:val="003B7062"/>
    <w:pPr>
      <w:widowControl w:val="0"/>
      <w:spacing w:line="240" w:lineRule="auto"/>
    </w:pPr>
    <w:rPr>
      <w:rFonts w:ascii="Courier New" w:hAnsi="Courier New" w:cs="Times New Roman"/>
      <w:color w:val="auto"/>
      <w:sz w:val="20"/>
      <w:szCs w:val="20"/>
      <w:lang w:val="x-none" w:eastAsia="x-none"/>
    </w:rPr>
  </w:style>
  <w:style w:type="character" w:customStyle="1" w:styleId="EndnoteTextChar">
    <w:name w:val="Endnote Text Char"/>
    <w:link w:val="EndnoteText"/>
    <w:uiPriority w:val="99"/>
    <w:semiHidden/>
    <w:locked/>
    <w:rsid w:val="003B7062"/>
    <w:rPr>
      <w:rFonts w:ascii="Courier New" w:hAnsi="Courier New"/>
    </w:rPr>
  </w:style>
  <w:style w:type="table" w:customStyle="1" w:styleId="Tablanormal41">
    <w:name w:val="Tabla normal 41"/>
    <w:uiPriority w:val="99"/>
    <w:rsid w:val="00F127C0"/>
    <w:rPr>
      <w:lang w:val="es-ES_tradnl" w:eastAsia="en-GB"/>
    </w:rPr>
    <w:tblPr>
      <w:tblStyleRowBandSize w:val="1"/>
      <w:tblStyleColBandSize w:val="1"/>
      <w:tblInd w:w="0" w:type="dxa"/>
      <w:tblCellMar>
        <w:top w:w="0" w:type="dxa"/>
        <w:left w:w="108" w:type="dxa"/>
        <w:bottom w:w="0" w:type="dxa"/>
        <w:right w:w="108" w:type="dxa"/>
      </w:tblCellMar>
    </w:tblPr>
  </w:style>
  <w:style w:type="table" w:customStyle="1" w:styleId="Tablanormal31">
    <w:name w:val="Tabla normal 31"/>
    <w:uiPriority w:val="99"/>
    <w:rsid w:val="00F127C0"/>
    <w:rPr>
      <w:rFonts w:ascii="Calibri" w:hAnsi="Calibri" w:cs="Times New Roman"/>
      <w:lang w:val="es-ES_tradnl"/>
    </w:rPr>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99"/>
    <w:locked/>
    <w:rsid w:val="000D21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rsid w:val="00C54930"/>
    <w:rPr>
      <w:rFonts w:ascii="Tahoma" w:hAnsi="Tahoma" w:cs="Times New Roman"/>
      <w:sz w:val="16"/>
      <w:szCs w:val="20"/>
      <w:lang w:val="x-none" w:eastAsia="x-none"/>
    </w:rPr>
  </w:style>
  <w:style w:type="character" w:customStyle="1" w:styleId="DocumentMapChar">
    <w:name w:val="Document Map Char"/>
    <w:link w:val="DocumentMap"/>
    <w:uiPriority w:val="99"/>
    <w:semiHidden/>
    <w:locked/>
    <w:rsid w:val="00C54930"/>
    <w:rPr>
      <w:rFonts w:ascii="Tahoma" w:hAnsi="Tahoma"/>
      <w:color w:val="000000"/>
      <w:sz w:val="16"/>
    </w:rPr>
  </w:style>
  <w:style w:type="paragraph" w:styleId="Header">
    <w:name w:val="header"/>
    <w:basedOn w:val="Normal"/>
    <w:link w:val="HeaderChar"/>
    <w:uiPriority w:val="99"/>
    <w:unhideWhenUsed/>
    <w:rsid w:val="00D07CA7"/>
    <w:pPr>
      <w:tabs>
        <w:tab w:val="center" w:pos="4252"/>
        <w:tab w:val="right" w:pos="8504"/>
      </w:tabs>
      <w:spacing w:line="240" w:lineRule="auto"/>
    </w:pPr>
    <w:rPr>
      <w:rFonts w:cs="Times New Roman"/>
      <w:sz w:val="20"/>
      <w:szCs w:val="20"/>
      <w:lang w:val="x-none" w:eastAsia="x-none"/>
    </w:rPr>
  </w:style>
  <w:style w:type="character" w:customStyle="1" w:styleId="HeaderChar">
    <w:name w:val="Header Char"/>
    <w:link w:val="Header"/>
    <w:uiPriority w:val="99"/>
    <w:rsid w:val="00D07CA7"/>
    <w:rPr>
      <w:color w:val="000000"/>
    </w:rPr>
  </w:style>
  <w:style w:type="paragraph" w:styleId="Footer">
    <w:name w:val="footer"/>
    <w:basedOn w:val="Normal"/>
    <w:link w:val="FooterChar"/>
    <w:uiPriority w:val="99"/>
    <w:unhideWhenUsed/>
    <w:rsid w:val="00D07CA7"/>
    <w:pPr>
      <w:tabs>
        <w:tab w:val="center" w:pos="4252"/>
        <w:tab w:val="right" w:pos="8504"/>
      </w:tabs>
      <w:spacing w:line="240" w:lineRule="auto"/>
    </w:pPr>
    <w:rPr>
      <w:rFonts w:cs="Times New Roman"/>
      <w:sz w:val="20"/>
      <w:szCs w:val="20"/>
      <w:lang w:val="x-none" w:eastAsia="x-none"/>
    </w:rPr>
  </w:style>
  <w:style w:type="character" w:customStyle="1" w:styleId="FooterChar">
    <w:name w:val="Footer Char"/>
    <w:link w:val="Footer"/>
    <w:uiPriority w:val="99"/>
    <w:rsid w:val="00D07CA7"/>
    <w:rPr>
      <w:color w:val="000000"/>
    </w:rPr>
  </w:style>
  <w:style w:type="character" w:styleId="Hyperlink">
    <w:name w:val="Hyperlink"/>
    <w:uiPriority w:val="99"/>
    <w:unhideWhenUsed/>
    <w:rsid w:val="00393294"/>
    <w:rPr>
      <w:color w:val="0000FF"/>
      <w:u w:val="single"/>
    </w:rPr>
  </w:style>
  <w:style w:type="character" w:customStyle="1" w:styleId="Mencionar1">
    <w:name w:val="Mencionar1"/>
    <w:uiPriority w:val="99"/>
    <w:semiHidden/>
    <w:unhideWhenUsed/>
    <w:rsid w:val="00393294"/>
    <w:rPr>
      <w:color w:val="2B579A"/>
      <w:shd w:val="clear" w:color="auto" w:fill="E6E6E6"/>
    </w:rPr>
  </w:style>
  <w:style w:type="character" w:styleId="FollowedHyperlink">
    <w:name w:val="FollowedHyperlink"/>
    <w:uiPriority w:val="99"/>
    <w:semiHidden/>
    <w:unhideWhenUsed/>
    <w:rsid w:val="005B6435"/>
    <w:rPr>
      <w:color w:val="800080"/>
      <w:u w:val="single"/>
    </w:rPr>
  </w:style>
  <w:style w:type="paragraph" w:customStyle="1" w:styleId="Prrafodelista1">
    <w:name w:val="Párrafo de lista1"/>
    <w:basedOn w:val="Normal"/>
    <w:uiPriority w:val="34"/>
    <w:qFormat/>
    <w:rsid w:val="00EA67F4"/>
    <w:pPr>
      <w:ind w:left="720"/>
      <w:contextualSpacing/>
    </w:pPr>
  </w:style>
  <w:style w:type="paragraph" w:customStyle="1" w:styleId="Listaclara-nfasis31">
    <w:name w:val="Lista clara - Énfasis 31"/>
    <w:hidden/>
    <w:uiPriority w:val="99"/>
    <w:semiHidden/>
    <w:rsid w:val="00151ADD"/>
    <w:rPr>
      <w:color w:val="000000"/>
      <w:sz w:val="22"/>
      <w:szCs w:val="22"/>
      <w:lang w:val="es-ES" w:eastAsia="es-ES"/>
    </w:rPr>
  </w:style>
  <w:style w:type="paragraph" w:customStyle="1" w:styleId="Sombreadomulticolor-nfasis11">
    <w:name w:val="Sombreado multicolor - Énfasis 11"/>
    <w:hidden/>
    <w:uiPriority w:val="62"/>
    <w:unhideWhenUsed/>
    <w:rsid w:val="00A25B41"/>
    <w:rPr>
      <w:color w:val="000000"/>
      <w:sz w:val="22"/>
      <w:szCs w:val="22"/>
      <w:lang w:val="es-ES" w:eastAsia="es-ES"/>
    </w:rPr>
  </w:style>
  <w:style w:type="paragraph" w:customStyle="1" w:styleId="Revision1">
    <w:name w:val="Revision1"/>
    <w:hidden/>
    <w:uiPriority w:val="99"/>
    <w:semiHidden/>
    <w:rsid w:val="009A5D40"/>
    <w:rPr>
      <w:color w:val="000000"/>
      <w:sz w:val="22"/>
      <w:szCs w:val="22"/>
      <w:lang w:val="es-ES" w:eastAsia="es-ES"/>
    </w:rPr>
  </w:style>
  <w:style w:type="paragraph" w:customStyle="1" w:styleId="p1">
    <w:name w:val="p1"/>
    <w:basedOn w:val="Normal"/>
    <w:rsid w:val="005632E7"/>
    <w:pPr>
      <w:spacing w:line="240" w:lineRule="auto"/>
    </w:pPr>
    <w:rPr>
      <w:rFonts w:ascii="Helvetica" w:hAnsi="Helvetica" w:cs="Times New Roman"/>
      <w:color w:val="auto"/>
      <w:sz w:val="18"/>
      <w:szCs w:val="18"/>
      <w:lang w:val="en-US" w:eastAsia="en-US"/>
    </w:rPr>
  </w:style>
  <w:style w:type="paragraph" w:customStyle="1" w:styleId="Sombreadovistoso-nfasis11">
    <w:name w:val="Sombreado vistoso - Énfasis 11"/>
    <w:hidden/>
    <w:uiPriority w:val="99"/>
    <w:semiHidden/>
    <w:rsid w:val="001F0B54"/>
    <w:rPr>
      <w:color w:val="000000"/>
      <w:sz w:val="22"/>
      <w:szCs w:val="22"/>
      <w:lang w:val="es-ES" w:eastAsia="es-ES"/>
    </w:rPr>
  </w:style>
  <w:style w:type="table" w:styleId="GridTable1Light-Accent2">
    <w:name w:val="Grid Table 1 Light Accent 2"/>
    <w:basedOn w:val="TableNormal"/>
    <w:uiPriority w:val="43"/>
    <w:rsid w:val="00861F0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GridTable3-Accent2">
    <w:name w:val="Grid Table 3 Accent 2"/>
    <w:basedOn w:val="TableNormal"/>
    <w:uiPriority w:val="45"/>
    <w:rsid w:val="002034F0"/>
    <w:tblPr>
      <w:tblStyleRowBandSize w:val="1"/>
      <w:tblStyleColBandSize w:val="1"/>
    </w:tblPr>
    <w:tblStylePr w:type="firstRow">
      <w:rPr>
        <w:rFonts w:ascii="System" w:eastAsia="Times New Roman" w:hAnsi="System" w:cs="Times New Roman"/>
        <w:i/>
        <w:iCs/>
        <w:sz w:val="26"/>
      </w:rPr>
      <w:tblPr/>
      <w:tcPr>
        <w:tcBorders>
          <w:bottom w:val="single" w:sz="4" w:space="0" w:color="7F7F7F"/>
        </w:tcBorders>
        <w:shd w:val="clear" w:color="auto" w:fill="FFFFFF"/>
      </w:tcPr>
    </w:tblStylePr>
    <w:tblStylePr w:type="lastRow">
      <w:rPr>
        <w:rFonts w:ascii="System" w:eastAsia="Times New Roman" w:hAnsi="System" w:cs="Times New Roman"/>
        <w:i/>
        <w:iCs/>
        <w:sz w:val="26"/>
      </w:rPr>
      <w:tblPr/>
      <w:tcPr>
        <w:tcBorders>
          <w:top w:val="single" w:sz="4" w:space="0" w:color="7F7F7F"/>
        </w:tcBorders>
        <w:shd w:val="clear" w:color="auto" w:fill="FFFFFF"/>
      </w:tcPr>
    </w:tblStylePr>
    <w:tblStylePr w:type="firstCol">
      <w:pPr>
        <w:jc w:val="right"/>
      </w:pPr>
      <w:rPr>
        <w:rFonts w:ascii="System" w:eastAsia="Times New Roman" w:hAnsi="System" w:cs="Times New Roman"/>
        <w:i/>
        <w:iCs/>
        <w:sz w:val="26"/>
      </w:rPr>
      <w:tblPr/>
      <w:tcPr>
        <w:tcBorders>
          <w:right w:val="single" w:sz="4" w:space="0" w:color="7F7F7F"/>
        </w:tcBorders>
        <w:shd w:val="clear" w:color="auto" w:fill="FFFFFF"/>
      </w:tcPr>
    </w:tblStylePr>
    <w:tblStylePr w:type="lastCol">
      <w:rPr>
        <w:rFonts w:ascii="System" w:eastAsia="Times New Roman" w:hAnsi="System"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19"/>
    <w:qFormat/>
    <w:rsid w:val="00E10741"/>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12147">
      <w:bodyDiv w:val="1"/>
      <w:marLeft w:val="0"/>
      <w:marRight w:val="0"/>
      <w:marTop w:val="0"/>
      <w:marBottom w:val="0"/>
      <w:divBdr>
        <w:top w:val="none" w:sz="0" w:space="0" w:color="auto"/>
        <w:left w:val="none" w:sz="0" w:space="0" w:color="auto"/>
        <w:bottom w:val="none" w:sz="0" w:space="0" w:color="auto"/>
        <w:right w:val="none" w:sz="0" w:space="0" w:color="auto"/>
      </w:divBdr>
    </w:div>
    <w:div w:id="149055495">
      <w:bodyDiv w:val="1"/>
      <w:marLeft w:val="0"/>
      <w:marRight w:val="0"/>
      <w:marTop w:val="0"/>
      <w:marBottom w:val="0"/>
      <w:divBdr>
        <w:top w:val="none" w:sz="0" w:space="0" w:color="auto"/>
        <w:left w:val="none" w:sz="0" w:space="0" w:color="auto"/>
        <w:bottom w:val="none" w:sz="0" w:space="0" w:color="auto"/>
        <w:right w:val="none" w:sz="0" w:space="0" w:color="auto"/>
      </w:divBdr>
    </w:div>
    <w:div w:id="362445820">
      <w:bodyDiv w:val="1"/>
      <w:marLeft w:val="0"/>
      <w:marRight w:val="0"/>
      <w:marTop w:val="0"/>
      <w:marBottom w:val="0"/>
      <w:divBdr>
        <w:top w:val="none" w:sz="0" w:space="0" w:color="auto"/>
        <w:left w:val="none" w:sz="0" w:space="0" w:color="auto"/>
        <w:bottom w:val="none" w:sz="0" w:space="0" w:color="auto"/>
        <w:right w:val="none" w:sz="0" w:space="0" w:color="auto"/>
      </w:divBdr>
    </w:div>
    <w:div w:id="390157528">
      <w:bodyDiv w:val="1"/>
      <w:marLeft w:val="0"/>
      <w:marRight w:val="0"/>
      <w:marTop w:val="0"/>
      <w:marBottom w:val="0"/>
      <w:divBdr>
        <w:top w:val="none" w:sz="0" w:space="0" w:color="auto"/>
        <w:left w:val="none" w:sz="0" w:space="0" w:color="auto"/>
        <w:bottom w:val="none" w:sz="0" w:space="0" w:color="auto"/>
        <w:right w:val="none" w:sz="0" w:space="0" w:color="auto"/>
      </w:divBdr>
    </w:div>
    <w:div w:id="472676844">
      <w:bodyDiv w:val="1"/>
      <w:marLeft w:val="0"/>
      <w:marRight w:val="0"/>
      <w:marTop w:val="0"/>
      <w:marBottom w:val="0"/>
      <w:divBdr>
        <w:top w:val="none" w:sz="0" w:space="0" w:color="auto"/>
        <w:left w:val="none" w:sz="0" w:space="0" w:color="auto"/>
        <w:bottom w:val="none" w:sz="0" w:space="0" w:color="auto"/>
        <w:right w:val="none" w:sz="0" w:space="0" w:color="auto"/>
      </w:divBdr>
    </w:div>
    <w:div w:id="558327247">
      <w:bodyDiv w:val="1"/>
      <w:marLeft w:val="0"/>
      <w:marRight w:val="0"/>
      <w:marTop w:val="0"/>
      <w:marBottom w:val="0"/>
      <w:divBdr>
        <w:top w:val="none" w:sz="0" w:space="0" w:color="auto"/>
        <w:left w:val="none" w:sz="0" w:space="0" w:color="auto"/>
        <w:bottom w:val="none" w:sz="0" w:space="0" w:color="auto"/>
        <w:right w:val="none" w:sz="0" w:space="0" w:color="auto"/>
      </w:divBdr>
    </w:div>
    <w:div w:id="662203170">
      <w:bodyDiv w:val="1"/>
      <w:marLeft w:val="0"/>
      <w:marRight w:val="0"/>
      <w:marTop w:val="0"/>
      <w:marBottom w:val="0"/>
      <w:divBdr>
        <w:top w:val="none" w:sz="0" w:space="0" w:color="auto"/>
        <w:left w:val="none" w:sz="0" w:space="0" w:color="auto"/>
        <w:bottom w:val="none" w:sz="0" w:space="0" w:color="auto"/>
        <w:right w:val="none" w:sz="0" w:space="0" w:color="auto"/>
      </w:divBdr>
    </w:div>
    <w:div w:id="725878789">
      <w:bodyDiv w:val="1"/>
      <w:marLeft w:val="0"/>
      <w:marRight w:val="0"/>
      <w:marTop w:val="0"/>
      <w:marBottom w:val="0"/>
      <w:divBdr>
        <w:top w:val="none" w:sz="0" w:space="0" w:color="auto"/>
        <w:left w:val="none" w:sz="0" w:space="0" w:color="auto"/>
        <w:bottom w:val="none" w:sz="0" w:space="0" w:color="auto"/>
        <w:right w:val="none" w:sz="0" w:space="0" w:color="auto"/>
      </w:divBdr>
    </w:div>
    <w:div w:id="985283214">
      <w:bodyDiv w:val="1"/>
      <w:marLeft w:val="0"/>
      <w:marRight w:val="0"/>
      <w:marTop w:val="0"/>
      <w:marBottom w:val="0"/>
      <w:divBdr>
        <w:top w:val="none" w:sz="0" w:space="0" w:color="auto"/>
        <w:left w:val="none" w:sz="0" w:space="0" w:color="auto"/>
        <w:bottom w:val="none" w:sz="0" w:space="0" w:color="auto"/>
        <w:right w:val="none" w:sz="0" w:space="0" w:color="auto"/>
      </w:divBdr>
    </w:div>
    <w:div w:id="1006859914">
      <w:bodyDiv w:val="1"/>
      <w:marLeft w:val="0"/>
      <w:marRight w:val="0"/>
      <w:marTop w:val="0"/>
      <w:marBottom w:val="0"/>
      <w:divBdr>
        <w:top w:val="none" w:sz="0" w:space="0" w:color="auto"/>
        <w:left w:val="none" w:sz="0" w:space="0" w:color="auto"/>
        <w:bottom w:val="none" w:sz="0" w:space="0" w:color="auto"/>
        <w:right w:val="none" w:sz="0" w:space="0" w:color="auto"/>
      </w:divBdr>
    </w:div>
    <w:div w:id="1065108634">
      <w:bodyDiv w:val="1"/>
      <w:marLeft w:val="0"/>
      <w:marRight w:val="0"/>
      <w:marTop w:val="0"/>
      <w:marBottom w:val="0"/>
      <w:divBdr>
        <w:top w:val="none" w:sz="0" w:space="0" w:color="auto"/>
        <w:left w:val="none" w:sz="0" w:space="0" w:color="auto"/>
        <w:bottom w:val="none" w:sz="0" w:space="0" w:color="auto"/>
        <w:right w:val="none" w:sz="0" w:space="0" w:color="auto"/>
      </w:divBdr>
    </w:div>
    <w:div w:id="1087271427">
      <w:bodyDiv w:val="1"/>
      <w:marLeft w:val="0"/>
      <w:marRight w:val="0"/>
      <w:marTop w:val="0"/>
      <w:marBottom w:val="0"/>
      <w:divBdr>
        <w:top w:val="none" w:sz="0" w:space="0" w:color="auto"/>
        <w:left w:val="none" w:sz="0" w:space="0" w:color="auto"/>
        <w:bottom w:val="none" w:sz="0" w:space="0" w:color="auto"/>
        <w:right w:val="none" w:sz="0" w:space="0" w:color="auto"/>
      </w:divBdr>
    </w:div>
    <w:div w:id="1111782823">
      <w:bodyDiv w:val="1"/>
      <w:marLeft w:val="0"/>
      <w:marRight w:val="0"/>
      <w:marTop w:val="0"/>
      <w:marBottom w:val="0"/>
      <w:divBdr>
        <w:top w:val="none" w:sz="0" w:space="0" w:color="auto"/>
        <w:left w:val="none" w:sz="0" w:space="0" w:color="auto"/>
        <w:bottom w:val="none" w:sz="0" w:space="0" w:color="auto"/>
        <w:right w:val="none" w:sz="0" w:space="0" w:color="auto"/>
      </w:divBdr>
    </w:div>
    <w:div w:id="1122845554">
      <w:bodyDiv w:val="1"/>
      <w:marLeft w:val="0"/>
      <w:marRight w:val="0"/>
      <w:marTop w:val="0"/>
      <w:marBottom w:val="0"/>
      <w:divBdr>
        <w:top w:val="none" w:sz="0" w:space="0" w:color="auto"/>
        <w:left w:val="none" w:sz="0" w:space="0" w:color="auto"/>
        <w:bottom w:val="none" w:sz="0" w:space="0" w:color="auto"/>
        <w:right w:val="none" w:sz="0" w:space="0" w:color="auto"/>
      </w:divBdr>
    </w:div>
    <w:div w:id="1237932623">
      <w:bodyDiv w:val="1"/>
      <w:marLeft w:val="0"/>
      <w:marRight w:val="0"/>
      <w:marTop w:val="0"/>
      <w:marBottom w:val="0"/>
      <w:divBdr>
        <w:top w:val="none" w:sz="0" w:space="0" w:color="auto"/>
        <w:left w:val="none" w:sz="0" w:space="0" w:color="auto"/>
        <w:bottom w:val="none" w:sz="0" w:space="0" w:color="auto"/>
        <w:right w:val="none" w:sz="0" w:space="0" w:color="auto"/>
      </w:divBdr>
    </w:div>
    <w:div w:id="1267275190">
      <w:bodyDiv w:val="1"/>
      <w:marLeft w:val="0"/>
      <w:marRight w:val="0"/>
      <w:marTop w:val="0"/>
      <w:marBottom w:val="0"/>
      <w:divBdr>
        <w:top w:val="none" w:sz="0" w:space="0" w:color="auto"/>
        <w:left w:val="none" w:sz="0" w:space="0" w:color="auto"/>
        <w:bottom w:val="none" w:sz="0" w:space="0" w:color="auto"/>
        <w:right w:val="none" w:sz="0" w:space="0" w:color="auto"/>
      </w:divBdr>
    </w:div>
    <w:div w:id="1310208657">
      <w:bodyDiv w:val="1"/>
      <w:marLeft w:val="0"/>
      <w:marRight w:val="0"/>
      <w:marTop w:val="0"/>
      <w:marBottom w:val="0"/>
      <w:divBdr>
        <w:top w:val="none" w:sz="0" w:space="0" w:color="auto"/>
        <w:left w:val="none" w:sz="0" w:space="0" w:color="auto"/>
        <w:bottom w:val="none" w:sz="0" w:space="0" w:color="auto"/>
        <w:right w:val="none" w:sz="0" w:space="0" w:color="auto"/>
      </w:divBdr>
      <w:divsChild>
        <w:div w:id="383481996">
          <w:marLeft w:val="0"/>
          <w:marRight w:val="0"/>
          <w:marTop w:val="0"/>
          <w:marBottom w:val="0"/>
          <w:divBdr>
            <w:top w:val="none" w:sz="0" w:space="0" w:color="auto"/>
            <w:left w:val="none" w:sz="0" w:space="0" w:color="auto"/>
            <w:bottom w:val="none" w:sz="0" w:space="0" w:color="auto"/>
            <w:right w:val="none" w:sz="0" w:space="0" w:color="auto"/>
          </w:divBdr>
        </w:div>
      </w:divsChild>
    </w:div>
    <w:div w:id="1316109991">
      <w:bodyDiv w:val="1"/>
      <w:marLeft w:val="0"/>
      <w:marRight w:val="0"/>
      <w:marTop w:val="0"/>
      <w:marBottom w:val="0"/>
      <w:divBdr>
        <w:top w:val="none" w:sz="0" w:space="0" w:color="auto"/>
        <w:left w:val="none" w:sz="0" w:space="0" w:color="auto"/>
        <w:bottom w:val="none" w:sz="0" w:space="0" w:color="auto"/>
        <w:right w:val="none" w:sz="0" w:space="0" w:color="auto"/>
      </w:divBdr>
    </w:div>
    <w:div w:id="1443527493">
      <w:bodyDiv w:val="1"/>
      <w:marLeft w:val="0"/>
      <w:marRight w:val="0"/>
      <w:marTop w:val="0"/>
      <w:marBottom w:val="0"/>
      <w:divBdr>
        <w:top w:val="none" w:sz="0" w:space="0" w:color="auto"/>
        <w:left w:val="none" w:sz="0" w:space="0" w:color="auto"/>
        <w:bottom w:val="none" w:sz="0" w:space="0" w:color="auto"/>
        <w:right w:val="none" w:sz="0" w:space="0" w:color="auto"/>
      </w:divBdr>
    </w:div>
    <w:div w:id="1550997404">
      <w:bodyDiv w:val="1"/>
      <w:marLeft w:val="0"/>
      <w:marRight w:val="0"/>
      <w:marTop w:val="0"/>
      <w:marBottom w:val="0"/>
      <w:divBdr>
        <w:top w:val="none" w:sz="0" w:space="0" w:color="auto"/>
        <w:left w:val="none" w:sz="0" w:space="0" w:color="auto"/>
        <w:bottom w:val="none" w:sz="0" w:space="0" w:color="auto"/>
        <w:right w:val="none" w:sz="0" w:space="0" w:color="auto"/>
      </w:divBdr>
    </w:div>
    <w:div w:id="1563978624">
      <w:bodyDiv w:val="1"/>
      <w:marLeft w:val="0"/>
      <w:marRight w:val="0"/>
      <w:marTop w:val="0"/>
      <w:marBottom w:val="0"/>
      <w:divBdr>
        <w:top w:val="none" w:sz="0" w:space="0" w:color="auto"/>
        <w:left w:val="none" w:sz="0" w:space="0" w:color="auto"/>
        <w:bottom w:val="none" w:sz="0" w:space="0" w:color="auto"/>
        <w:right w:val="none" w:sz="0" w:space="0" w:color="auto"/>
      </w:divBdr>
    </w:div>
    <w:div w:id="1749112390">
      <w:marLeft w:val="0"/>
      <w:marRight w:val="0"/>
      <w:marTop w:val="0"/>
      <w:marBottom w:val="0"/>
      <w:divBdr>
        <w:top w:val="none" w:sz="0" w:space="0" w:color="auto"/>
        <w:left w:val="none" w:sz="0" w:space="0" w:color="auto"/>
        <w:bottom w:val="none" w:sz="0" w:space="0" w:color="auto"/>
        <w:right w:val="none" w:sz="0" w:space="0" w:color="auto"/>
      </w:divBdr>
    </w:div>
    <w:div w:id="1749112391">
      <w:marLeft w:val="0"/>
      <w:marRight w:val="0"/>
      <w:marTop w:val="0"/>
      <w:marBottom w:val="0"/>
      <w:divBdr>
        <w:top w:val="none" w:sz="0" w:space="0" w:color="auto"/>
        <w:left w:val="none" w:sz="0" w:space="0" w:color="auto"/>
        <w:bottom w:val="none" w:sz="0" w:space="0" w:color="auto"/>
        <w:right w:val="none" w:sz="0" w:space="0" w:color="auto"/>
      </w:divBdr>
    </w:div>
    <w:div w:id="1749112392">
      <w:marLeft w:val="0"/>
      <w:marRight w:val="0"/>
      <w:marTop w:val="0"/>
      <w:marBottom w:val="0"/>
      <w:divBdr>
        <w:top w:val="none" w:sz="0" w:space="0" w:color="auto"/>
        <w:left w:val="none" w:sz="0" w:space="0" w:color="auto"/>
        <w:bottom w:val="none" w:sz="0" w:space="0" w:color="auto"/>
        <w:right w:val="none" w:sz="0" w:space="0" w:color="auto"/>
      </w:divBdr>
    </w:div>
    <w:div w:id="1749112393">
      <w:marLeft w:val="0"/>
      <w:marRight w:val="0"/>
      <w:marTop w:val="0"/>
      <w:marBottom w:val="0"/>
      <w:divBdr>
        <w:top w:val="none" w:sz="0" w:space="0" w:color="auto"/>
        <w:left w:val="none" w:sz="0" w:space="0" w:color="auto"/>
        <w:bottom w:val="none" w:sz="0" w:space="0" w:color="auto"/>
        <w:right w:val="none" w:sz="0" w:space="0" w:color="auto"/>
      </w:divBdr>
    </w:div>
    <w:div w:id="1749112394">
      <w:marLeft w:val="0"/>
      <w:marRight w:val="0"/>
      <w:marTop w:val="0"/>
      <w:marBottom w:val="0"/>
      <w:divBdr>
        <w:top w:val="none" w:sz="0" w:space="0" w:color="auto"/>
        <w:left w:val="none" w:sz="0" w:space="0" w:color="auto"/>
        <w:bottom w:val="none" w:sz="0" w:space="0" w:color="auto"/>
        <w:right w:val="none" w:sz="0" w:space="0" w:color="auto"/>
      </w:divBdr>
    </w:div>
    <w:div w:id="1749112395">
      <w:marLeft w:val="0"/>
      <w:marRight w:val="0"/>
      <w:marTop w:val="0"/>
      <w:marBottom w:val="0"/>
      <w:divBdr>
        <w:top w:val="none" w:sz="0" w:space="0" w:color="auto"/>
        <w:left w:val="none" w:sz="0" w:space="0" w:color="auto"/>
        <w:bottom w:val="none" w:sz="0" w:space="0" w:color="auto"/>
        <w:right w:val="none" w:sz="0" w:space="0" w:color="auto"/>
      </w:divBdr>
    </w:div>
    <w:div w:id="1749112396">
      <w:marLeft w:val="0"/>
      <w:marRight w:val="0"/>
      <w:marTop w:val="0"/>
      <w:marBottom w:val="0"/>
      <w:divBdr>
        <w:top w:val="none" w:sz="0" w:space="0" w:color="auto"/>
        <w:left w:val="none" w:sz="0" w:space="0" w:color="auto"/>
        <w:bottom w:val="none" w:sz="0" w:space="0" w:color="auto"/>
        <w:right w:val="none" w:sz="0" w:space="0" w:color="auto"/>
      </w:divBdr>
    </w:div>
    <w:div w:id="1749112397">
      <w:marLeft w:val="0"/>
      <w:marRight w:val="0"/>
      <w:marTop w:val="0"/>
      <w:marBottom w:val="0"/>
      <w:divBdr>
        <w:top w:val="none" w:sz="0" w:space="0" w:color="auto"/>
        <w:left w:val="none" w:sz="0" w:space="0" w:color="auto"/>
        <w:bottom w:val="none" w:sz="0" w:space="0" w:color="auto"/>
        <w:right w:val="none" w:sz="0" w:space="0" w:color="auto"/>
      </w:divBdr>
    </w:div>
    <w:div w:id="1749112398">
      <w:marLeft w:val="0"/>
      <w:marRight w:val="0"/>
      <w:marTop w:val="0"/>
      <w:marBottom w:val="0"/>
      <w:divBdr>
        <w:top w:val="none" w:sz="0" w:space="0" w:color="auto"/>
        <w:left w:val="none" w:sz="0" w:space="0" w:color="auto"/>
        <w:bottom w:val="none" w:sz="0" w:space="0" w:color="auto"/>
        <w:right w:val="none" w:sz="0" w:space="0" w:color="auto"/>
      </w:divBdr>
    </w:div>
    <w:div w:id="1749112399">
      <w:marLeft w:val="0"/>
      <w:marRight w:val="0"/>
      <w:marTop w:val="0"/>
      <w:marBottom w:val="0"/>
      <w:divBdr>
        <w:top w:val="none" w:sz="0" w:space="0" w:color="auto"/>
        <w:left w:val="none" w:sz="0" w:space="0" w:color="auto"/>
        <w:bottom w:val="none" w:sz="0" w:space="0" w:color="auto"/>
        <w:right w:val="none" w:sz="0" w:space="0" w:color="auto"/>
      </w:divBdr>
    </w:div>
    <w:div w:id="1749112400">
      <w:marLeft w:val="0"/>
      <w:marRight w:val="0"/>
      <w:marTop w:val="0"/>
      <w:marBottom w:val="0"/>
      <w:divBdr>
        <w:top w:val="none" w:sz="0" w:space="0" w:color="auto"/>
        <w:left w:val="none" w:sz="0" w:space="0" w:color="auto"/>
        <w:bottom w:val="none" w:sz="0" w:space="0" w:color="auto"/>
        <w:right w:val="none" w:sz="0" w:space="0" w:color="auto"/>
      </w:divBdr>
    </w:div>
    <w:div w:id="1749112401">
      <w:marLeft w:val="0"/>
      <w:marRight w:val="0"/>
      <w:marTop w:val="0"/>
      <w:marBottom w:val="0"/>
      <w:divBdr>
        <w:top w:val="none" w:sz="0" w:space="0" w:color="auto"/>
        <w:left w:val="none" w:sz="0" w:space="0" w:color="auto"/>
        <w:bottom w:val="none" w:sz="0" w:space="0" w:color="auto"/>
        <w:right w:val="none" w:sz="0" w:space="0" w:color="auto"/>
      </w:divBdr>
    </w:div>
    <w:div w:id="1749112402">
      <w:marLeft w:val="0"/>
      <w:marRight w:val="0"/>
      <w:marTop w:val="0"/>
      <w:marBottom w:val="0"/>
      <w:divBdr>
        <w:top w:val="none" w:sz="0" w:space="0" w:color="auto"/>
        <w:left w:val="none" w:sz="0" w:space="0" w:color="auto"/>
        <w:bottom w:val="none" w:sz="0" w:space="0" w:color="auto"/>
        <w:right w:val="none" w:sz="0" w:space="0" w:color="auto"/>
      </w:divBdr>
    </w:div>
    <w:div w:id="1749112403">
      <w:marLeft w:val="0"/>
      <w:marRight w:val="0"/>
      <w:marTop w:val="0"/>
      <w:marBottom w:val="0"/>
      <w:divBdr>
        <w:top w:val="none" w:sz="0" w:space="0" w:color="auto"/>
        <w:left w:val="none" w:sz="0" w:space="0" w:color="auto"/>
        <w:bottom w:val="none" w:sz="0" w:space="0" w:color="auto"/>
        <w:right w:val="none" w:sz="0" w:space="0" w:color="auto"/>
      </w:divBdr>
    </w:div>
    <w:div w:id="1749112404">
      <w:marLeft w:val="0"/>
      <w:marRight w:val="0"/>
      <w:marTop w:val="0"/>
      <w:marBottom w:val="0"/>
      <w:divBdr>
        <w:top w:val="none" w:sz="0" w:space="0" w:color="auto"/>
        <w:left w:val="none" w:sz="0" w:space="0" w:color="auto"/>
        <w:bottom w:val="none" w:sz="0" w:space="0" w:color="auto"/>
        <w:right w:val="none" w:sz="0" w:space="0" w:color="auto"/>
      </w:divBdr>
    </w:div>
    <w:div w:id="1749112405">
      <w:marLeft w:val="0"/>
      <w:marRight w:val="0"/>
      <w:marTop w:val="0"/>
      <w:marBottom w:val="0"/>
      <w:divBdr>
        <w:top w:val="none" w:sz="0" w:space="0" w:color="auto"/>
        <w:left w:val="none" w:sz="0" w:space="0" w:color="auto"/>
        <w:bottom w:val="none" w:sz="0" w:space="0" w:color="auto"/>
        <w:right w:val="none" w:sz="0" w:space="0" w:color="auto"/>
      </w:divBdr>
    </w:div>
    <w:div w:id="1749112406">
      <w:marLeft w:val="0"/>
      <w:marRight w:val="0"/>
      <w:marTop w:val="0"/>
      <w:marBottom w:val="0"/>
      <w:divBdr>
        <w:top w:val="none" w:sz="0" w:space="0" w:color="auto"/>
        <w:left w:val="none" w:sz="0" w:space="0" w:color="auto"/>
        <w:bottom w:val="none" w:sz="0" w:space="0" w:color="auto"/>
        <w:right w:val="none" w:sz="0" w:space="0" w:color="auto"/>
      </w:divBdr>
    </w:div>
    <w:div w:id="1749112407">
      <w:marLeft w:val="0"/>
      <w:marRight w:val="0"/>
      <w:marTop w:val="0"/>
      <w:marBottom w:val="0"/>
      <w:divBdr>
        <w:top w:val="none" w:sz="0" w:space="0" w:color="auto"/>
        <w:left w:val="none" w:sz="0" w:space="0" w:color="auto"/>
        <w:bottom w:val="none" w:sz="0" w:space="0" w:color="auto"/>
        <w:right w:val="none" w:sz="0" w:space="0" w:color="auto"/>
      </w:divBdr>
    </w:div>
    <w:div w:id="1818065562">
      <w:bodyDiv w:val="1"/>
      <w:marLeft w:val="0"/>
      <w:marRight w:val="0"/>
      <w:marTop w:val="0"/>
      <w:marBottom w:val="0"/>
      <w:divBdr>
        <w:top w:val="none" w:sz="0" w:space="0" w:color="auto"/>
        <w:left w:val="none" w:sz="0" w:space="0" w:color="auto"/>
        <w:bottom w:val="none" w:sz="0" w:space="0" w:color="auto"/>
        <w:right w:val="none" w:sz="0" w:space="0" w:color="auto"/>
      </w:divBdr>
    </w:div>
    <w:div w:id="1894661204">
      <w:bodyDiv w:val="1"/>
      <w:marLeft w:val="0"/>
      <w:marRight w:val="0"/>
      <w:marTop w:val="0"/>
      <w:marBottom w:val="0"/>
      <w:divBdr>
        <w:top w:val="none" w:sz="0" w:space="0" w:color="auto"/>
        <w:left w:val="none" w:sz="0" w:space="0" w:color="auto"/>
        <w:bottom w:val="none" w:sz="0" w:space="0" w:color="auto"/>
        <w:right w:val="none" w:sz="0" w:space="0" w:color="auto"/>
      </w:divBdr>
    </w:div>
    <w:div w:id="1962875249">
      <w:bodyDiv w:val="1"/>
      <w:marLeft w:val="0"/>
      <w:marRight w:val="0"/>
      <w:marTop w:val="0"/>
      <w:marBottom w:val="0"/>
      <w:divBdr>
        <w:top w:val="none" w:sz="0" w:space="0" w:color="auto"/>
        <w:left w:val="none" w:sz="0" w:space="0" w:color="auto"/>
        <w:bottom w:val="none" w:sz="0" w:space="0" w:color="auto"/>
        <w:right w:val="none" w:sz="0" w:space="0" w:color="auto"/>
      </w:divBdr>
    </w:div>
    <w:div w:id="1977755068">
      <w:bodyDiv w:val="1"/>
      <w:marLeft w:val="0"/>
      <w:marRight w:val="0"/>
      <w:marTop w:val="0"/>
      <w:marBottom w:val="0"/>
      <w:divBdr>
        <w:top w:val="none" w:sz="0" w:space="0" w:color="auto"/>
        <w:left w:val="none" w:sz="0" w:space="0" w:color="auto"/>
        <w:bottom w:val="none" w:sz="0" w:space="0" w:color="auto"/>
        <w:right w:val="none" w:sz="0" w:space="0" w:color="auto"/>
      </w:divBdr>
    </w:div>
    <w:div w:id="2077127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6C06D-8540-1B4C-9FFC-F6E56027E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9187</Words>
  <Characters>52369</Characters>
  <Application>Microsoft Office Word</Application>
  <DocSecurity>0</DocSecurity>
  <Lines>436</Lines>
  <Paragraphs>122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Title: How far are we going with vitamin D and Calcium supplementation recommendations</vt:lpstr>
      <vt:lpstr>Title: How far are we going with vitamin D and Calcium supplementation recommendations</vt:lpstr>
    </vt:vector>
  </TitlesOfParts>
  <Company/>
  <LinksUpToDate>false</LinksUpToDate>
  <CharactersWithSpaces>61434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How far are we going with vitamin D and Calcium supplementation recommendations</dc:title>
  <dc:subject/>
  <dc:creator>palonso</dc:creator>
  <cp:keywords/>
  <cp:lastModifiedBy>David Fraile Navarro</cp:lastModifiedBy>
  <cp:revision>2</cp:revision>
  <cp:lastPrinted>2017-10-20T07:51:00Z</cp:lastPrinted>
  <dcterms:created xsi:type="dcterms:W3CDTF">2019-06-18T13:04:00Z</dcterms:created>
  <dcterms:modified xsi:type="dcterms:W3CDTF">2019-06-18T13:04:00Z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http://www.zotero.org/styles/american-medical-association</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6th edition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vt:lpwstr>
  </property>
  <property fmtid="{D5CDD505-2E9C-101B-9397-08002B2CF9AE}" pid="10" name="Mendeley Recent Style Id 3_1">
    <vt:lpwstr>http://www.zotero.org/styles/chicago-author-date</vt:lpwstr>
  </property>
  <property fmtid="{D5CDD505-2E9C-101B-9397-08002B2CF9AE}" pid="11" name="Mendeley Recent Style Name 3_1">
    <vt:lpwstr>Chicago Manual of Style 17th edition (author-date)</vt:lpwstr>
  </property>
  <property fmtid="{D5CDD505-2E9C-101B-9397-08002B2CF9AE}" pid="12" name="Mendeley Recent Style Id 4_1">
    <vt:lpwstr>http://www.zotero.org/styles/harvard-cite-them-right</vt:lpwstr>
  </property>
  <property fmtid="{D5CDD505-2E9C-101B-9397-08002B2CF9AE}" pid="13" name="Mendeley Recent Style Name 4_1">
    <vt:lpwstr>Cite Them Right 10th edition - Harvard</vt:lpwstr>
  </property>
  <property fmtid="{D5CDD505-2E9C-101B-9397-08002B2CF9AE}" pid="14" name="Mendeley Recent Style Id 5_1">
    <vt:lpwstr>http://www.zotero.org/styles/ieee</vt:lpwstr>
  </property>
  <property fmtid="{D5CDD505-2E9C-101B-9397-08002B2CF9AE}" pid="15" name="Mendeley Recent Style Name 5_1">
    <vt:lpwstr>IEEE</vt:lpwstr>
  </property>
  <property fmtid="{D5CDD505-2E9C-101B-9397-08002B2CF9AE}" pid="16" name="Mendeley Recent Style Id 6_1">
    <vt:lpwstr>http://www.zotero.org/styles/modern-humanities-research-association</vt:lpwstr>
  </property>
  <property fmtid="{D5CDD505-2E9C-101B-9397-08002B2CF9AE}" pid="17" name="Mendeley Recent Style Name 6_1">
    <vt:lpwstr>Modern Humanities Research Association 3rd edition (note with bibliography)</vt:lpwstr>
  </property>
  <property fmtid="{D5CDD505-2E9C-101B-9397-08002B2CF9AE}" pid="18" name="Mendeley Recent Style Id 7_1">
    <vt:lpwstr>http://www.zotero.org/styles/modern-language-association</vt:lpwstr>
  </property>
  <property fmtid="{D5CDD505-2E9C-101B-9397-08002B2CF9AE}" pid="19" name="Mendeley Recent Style Name 7_1">
    <vt:lpwstr>Modern Language Association 8th edition</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http://www.zotero.org/styles/vancouver</vt:lpwstr>
  </property>
  <property fmtid="{D5CDD505-2E9C-101B-9397-08002B2CF9AE}" pid="23" name="Mendeley Recent Style Name 9_1">
    <vt:lpwstr>Vancouver</vt:lpwstr>
  </property>
  <property fmtid="{D5CDD505-2E9C-101B-9397-08002B2CF9AE}" pid="24" name="Mendeley Unique User Id_1">
    <vt:lpwstr>837f6f79-21cd-356f-b2a7-6514a2ef8a68</vt:lpwstr>
  </property>
</Properties>
</file>