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8875E" w14:textId="1066D033" w:rsidR="00A03F06" w:rsidRDefault="00A03F06" w:rsidP="00A03F06">
      <w:pPr>
        <w:keepNext/>
        <w:keepLines/>
        <w:spacing w:before="240" w:after="0" w:line="480" w:lineRule="auto"/>
        <w:outlineLvl w:val="0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en-CA"/>
        </w:rPr>
      </w:pPr>
      <w:bookmarkStart w:id="0" w:name="_ma7wr841ijzu" w:colFirst="0" w:colLast="0"/>
      <w:bookmarkStart w:id="1" w:name="_Hlk91144823"/>
      <w:bookmarkEnd w:id="0"/>
      <w:r w:rsidRPr="00A03F06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en-CA"/>
        </w:rPr>
        <w:t>Integrating seascape resistances and gene flow to produce area-based metrics of functional connectivity for marine conservation planning</w:t>
      </w:r>
    </w:p>
    <w:p w14:paraId="534DEEE5" w14:textId="3013A4E0" w:rsidR="00A03F06" w:rsidRPr="00A03F06" w:rsidRDefault="00A03F06" w:rsidP="00A03F06">
      <w:pPr>
        <w:keepNext/>
        <w:keepLines/>
        <w:spacing w:before="240" w:after="0" w:line="480" w:lineRule="auto"/>
        <w:outlineLvl w:val="0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en-CA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en-CA"/>
        </w:rPr>
        <w:t>Landscape Ecology</w:t>
      </w:r>
    </w:p>
    <w:bookmarkEnd w:id="1"/>
    <w:p w14:paraId="76BDE508" w14:textId="77777777" w:rsidR="00A03F06" w:rsidRPr="00A03F06" w:rsidRDefault="00A03F06" w:rsidP="00A03F06">
      <w:pPr>
        <w:spacing w:after="0" w:line="480" w:lineRule="auto"/>
        <w:rPr>
          <w:rFonts w:ascii="Times New Roman" w:hAnsi="Times New Roman" w:cs="Times New Roman"/>
        </w:rPr>
      </w:pPr>
      <w:r w:rsidRPr="00A03F06">
        <w:rPr>
          <w:rFonts w:ascii="Times New Roman" w:hAnsi="Times New Roman" w:cs="Times New Roman"/>
        </w:rPr>
        <w:t>Mark A. Wilcox</w:t>
      </w:r>
      <w:r w:rsidRPr="00A03F06">
        <w:rPr>
          <w:rFonts w:ascii="Times New Roman" w:hAnsi="Times New Roman" w:cs="Times New Roman"/>
          <w:vertAlign w:val="superscript"/>
        </w:rPr>
        <w:t>1,2</w:t>
      </w:r>
      <w:r w:rsidRPr="00A03F06">
        <w:rPr>
          <w:rFonts w:ascii="Times New Roman" w:hAnsi="Times New Roman" w:cs="Times New Roman"/>
        </w:rPr>
        <w:t>, Nicholas W. Jeffery</w:t>
      </w:r>
      <w:r w:rsidRPr="00A03F06">
        <w:rPr>
          <w:rFonts w:ascii="Times New Roman" w:hAnsi="Times New Roman" w:cs="Times New Roman"/>
          <w:vertAlign w:val="superscript"/>
        </w:rPr>
        <w:t>1</w:t>
      </w:r>
      <w:r w:rsidRPr="00A03F06">
        <w:rPr>
          <w:rFonts w:ascii="Times New Roman" w:hAnsi="Times New Roman" w:cs="Times New Roman"/>
        </w:rPr>
        <w:t>, Claudio DiBacco</w:t>
      </w:r>
      <w:r w:rsidRPr="00A03F06">
        <w:rPr>
          <w:rFonts w:ascii="Times New Roman" w:hAnsi="Times New Roman" w:cs="Times New Roman"/>
          <w:vertAlign w:val="superscript"/>
        </w:rPr>
        <w:t>1</w:t>
      </w:r>
      <w:r w:rsidRPr="00A03F06">
        <w:rPr>
          <w:rFonts w:ascii="Times New Roman" w:hAnsi="Times New Roman" w:cs="Times New Roman"/>
        </w:rPr>
        <w:t>, Ian R. Bradbury</w:t>
      </w:r>
      <w:r w:rsidRPr="00A03F06">
        <w:rPr>
          <w:rFonts w:ascii="Times New Roman" w:hAnsi="Times New Roman" w:cs="Times New Roman"/>
          <w:vertAlign w:val="superscript"/>
        </w:rPr>
        <w:t>3</w:t>
      </w:r>
      <w:r w:rsidRPr="00A03F06">
        <w:rPr>
          <w:rFonts w:ascii="Times New Roman" w:hAnsi="Times New Roman" w:cs="Times New Roman"/>
        </w:rPr>
        <w:t>, Ben Lowen</w:t>
      </w:r>
      <w:r w:rsidRPr="00A03F06">
        <w:rPr>
          <w:rFonts w:ascii="Times New Roman" w:hAnsi="Times New Roman" w:cs="Times New Roman"/>
          <w:vertAlign w:val="superscript"/>
        </w:rPr>
        <w:t>1</w:t>
      </w:r>
      <w:r w:rsidRPr="00A03F06">
        <w:rPr>
          <w:rFonts w:ascii="Times New Roman" w:hAnsi="Times New Roman" w:cs="Times New Roman"/>
        </w:rPr>
        <w:t xml:space="preserve">, </w:t>
      </w:r>
      <w:proofErr w:type="spellStart"/>
      <w:r w:rsidRPr="00A03F06">
        <w:rPr>
          <w:rFonts w:ascii="Times New Roman" w:hAnsi="Times New Roman" w:cs="Times New Roman"/>
        </w:rPr>
        <w:t>Zeliang</w:t>
      </w:r>
      <w:proofErr w:type="spellEnd"/>
      <w:r w:rsidRPr="00A03F06">
        <w:rPr>
          <w:rFonts w:ascii="Times New Roman" w:hAnsi="Times New Roman" w:cs="Times New Roman"/>
        </w:rPr>
        <w:t xml:space="preserve"> Wang</w:t>
      </w:r>
      <w:r w:rsidRPr="00A03F06">
        <w:rPr>
          <w:rFonts w:ascii="Times New Roman" w:hAnsi="Times New Roman" w:cs="Times New Roman"/>
          <w:vertAlign w:val="superscript"/>
        </w:rPr>
        <w:t>1</w:t>
      </w:r>
      <w:r w:rsidRPr="00A03F06">
        <w:rPr>
          <w:rFonts w:ascii="Times New Roman" w:hAnsi="Times New Roman" w:cs="Times New Roman"/>
        </w:rPr>
        <w:t>, Robert G. Beiko</w:t>
      </w:r>
      <w:r w:rsidRPr="00A03F06">
        <w:rPr>
          <w:rFonts w:ascii="Times New Roman" w:hAnsi="Times New Roman" w:cs="Times New Roman"/>
          <w:vertAlign w:val="superscript"/>
        </w:rPr>
        <w:t>2</w:t>
      </w:r>
      <w:r w:rsidRPr="00A03F06">
        <w:rPr>
          <w:rFonts w:ascii="Times New Roman" w:hAnsi="Times New Roman" w:cs="Times New Roman"/>
        </w:rPr>
        <w:t>, and Ryan R. E. Stanley</w:t>
      </w:r>
      <w:r w:rsidRPr="00A03F06">
        <w:rPr>
          <w:rFonts w:ascii="Times New Roman" w:hAnsi="Times New Roman" w:cs="Times New Roman"/>
          <w:vertAlign w:val="superscript"/>
        </w:rPr>
        <w:t>1</w:t>
      </w:r>
    </w:p>
    <w:p w14:paraId="390D43BC" w14:textId="77777777" w:rsidR="00A03F06" w:rsidRPr="00A03F06" w:rsidRDefault="00A03F06" w:rsidP="00A03F06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A03F06">
        <w:rPr>
          <w:rFonts w:ascii="Times New Roman" w:hAnsi="Times New Roman" w:cs="Times New Roman"/>
          <w:b/>
          <w:bCs/>
        </w:rPr>
        <w:t>Affiliations</w:t>
      </w:r>
    </w:p>
    <w:p w14:paraId="4CEC5558" w14:textId="77777777" w:rsidR="00A03F06" w:rsidRPr="00A03F06" w:rsidRDefault="00A03F06" w:rsidP="00A03F06">
      <w:pPr>
        <w:spacing w:after="0" w:line="480" w:lineRule="auto"/>
        <w:rPr>
          <w:rFonts w:ascii="Times New Roman" w:hAnsi="Times New Roman" w:cs="Times New Roman"/>
        </w:rPr>
      </w:pPr>
      <w:r w:rsidRPr="00A03F06">
        <w:rPr>
          <w:rFonts w:ascii="Times New Roman" w:hAnsi="Times New Roman" w:cs="Times New Roman"/>
          <w:vertAlign w:val="superscript"/>
        </w:rPr>
        <w:t xml:space="preserve">1 </w:t>
      </w:r>
      <w:r w:rsidRPr="00A03F06">
        <w:rPr>
          <w:rFonts w:ascii="Times New Roman" w:hAnsi="Times New Roman" w:cs="Times New Roman"/>
        </w:rPr>
        <w:t>Fisheries and Oceans Canada, Bedford Institute of Oceanography, 1 Challenger Dr., Dartmouth, NS, B2Y 4A2, Canada</w:t>
      </w:r>
    </w:p>
    <w:p w14:paraId="2192E6D7" w14:textId="77777777" w:rsidR="00A03F06" w:rsidRPr="00A03F06" w:rsidRDefault="00A03F06" w:rsidP="00A03F06">
      <w:pPr>
        <w:spacing w:after="0" w:line="480" w:lineRule="auto"/>
        <w:rPr>
          <w:rFonts w:ascii="Times New Roman" w:hAnsi="Times New Roman" w:cs="Times New Roman"/>
        </w:rPr>
      </w:pPr>
      <w:r w:rsidRPr="00A03F06">
        <w:rPr>
          <w:rFonts w:ascii="Times New Roman" w:hAnsi="Times New Roman" w:cs="Times New Roman"/>
          <w:vertAlign w:val="superscript"/>
        </w:rPr>
        <w:t xml:space="preserve">2 </w:t>
      </w:r>
      <w:r w:rsidRPr="00A03F06">
        <w:rPr>
          <w:rFonts w:ascii="Times New Roman" w:hAnsi="Times New Roman" w:cs="Times New Roman"/>
        </w:rPr>
        <w:t xml:space="preserve">Faculty of Computer Science, Dalhousie University, 6399 South St., Halifax, NS, B3H 4R2, Canada </w:t>
      </w:r>
    </w:p>
    <w:p w14:paraId="1BAE7FBA" w14:textId="77777777" w:rsidR="00A03F06" w:rsidRPr="00A03F06" w:rsidRDefault="00A03F06" w:rsidP="00A03F06">
      <w:pPr>
        <w:spacing w:after="0" w:line="480" w:lineRule="auto"/>
        <w:rPr>
          <w:rFonts w:ascii="Times New Roman" w:hAnsi="Times New Roman" w:cs="Times New Roman"/>
        </w:rPr>
      </w:pPr>
      <w:r w:rsidRPr="00A03F06">
        <w:rPr>
          <w:rFonts w:ascii="Times New Roman" w:hAnsi="Times New Roman" w:cs="Times New Roman"/>
          <w:vertAlign w:val="superscript"/>
        </w:rPr>
        <w:t>3</w:t>
      </w:r>
      <w:r w:rsidRPr="00A03F06">
        <w:rPr>
          <w:rFonts w:ascii="Times New Roman" w:hAnsi="Times New Roman" w:cs="Times New Roman"/>
        </w:rPr>
        <w:t xml:space="preserve"> Fisheries and Oceans Canada, Northwest Atlantic Fisheries Centre, 80 White Hills Rd., St. John’s, NL, A1A 5J7 Canada</w:t>
      </w:r>
    </w:p>
    <w:p w14:paraId="59D07BEB" w14:textId="77777777" w:rsidR="004665BB" w:rsidRPr="004665BB" w:rsidRDefault="004665BB" w:rsidP="004665BB">
      <w:pPr>
        <w:spacing w:line="480" w:lineRule="auto"/>
        <w:rPr>
          <w:rFonts w:ascii="Times New Roman" w:eastAsia="Calibri" w:hAnsi="Times New Roman" w:cs="Times New Roman"/>
          <w:lang w:val="en-US" w:eastAsia="en-CA"/>
        </w:rPr>
      </w:pPr>
      <w:r w:rsidRPr="004665BB">
        <w:rPr>
          <w:rFonts w:ascii="Times New Roman" w:eastAsia="Calibri" w:hAnsi="Times New Roman" w:cs="Times New Roman"/>
          <w:noProof/>
          <w:lang w:val="en-US"/>
        </w:rPr>
        <w:lastRenderedPageBreak/>
        <w:drawing>
          <wp:inline distT="114300" distB="114300" distL="114300" distR="114300" wp14:anchorId="5695BAFD" wp14:editId="49336A21">
            <wp:extent cx="5943600" cy="4559300"/>
            <wp:effectExtent l="0" t="0" r="0" b="0"/>
            <wp:docPr id="3" name="image1.png" descr="Chart, scatter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 descr="Chart, scatter chart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59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402840" w14:textId="547B553F" w:rsidR="00064768" w:rsidRDefault="004665BB" w:rsidP="00064768">
      <w:pPr>
        <w:spacing w:line="480" w:lineRule="auto"/>
        <w:rPr>
          <w:rFonts w:ascii="Times New Roman" w:eastAsia="Calibri" w:hAnsi="Times New Roman" w:cs="Times New Roman"/>
          <w:lang w:val="en-US" w:eastAsia="en-CA"/>
        </w:rPr>
      </w:pPr>
      <w:r w:rsidRPr="004665BB">
        <w:rPr>
          <w:rFonts w:ascii="Times New Roman" w:eastAsia="Calibri" w:hAnsi="Times New Roman" w:cs="Times New Roman"/>
          <w:lang w:val="en-US" w:eastAsia="en-CA"/>
        </w:rPr>
        <w:t xml:space="preserve">Online Resource 3 The correlations between linearized </w:t>
      </w:r>
      <w:r w:rsidRPr="004665BB">
        <w:rPr>
          <w:rFonts w:ascii="Times New Roman" w:eastAsia="Calibri" w:hAnsi="Times New Roman" w:cs="Times New Roman"/>
          <w:i/>
          <w:lang w:val="en-US" w:eastAsia="en-CA"/>
        </w:rPr>
        <w:t>F</w:t>
      </w:r>
      <w:r w:rsidRPr="004665BB">
        <w:rPr>
          <w:rFonts w:ascii="Times New Roman" w:eastAsia="Calibri" w:hAnsi="Times New Roman" w:cs="Times New Roman"/>
          <w:vertAlign w:val="subscript"/>
          <w:lang w:val="en-US" w:eastAsia="en-CA"/>
        </w:rPr>
        <w:t>ST</w:t>
      </w:r>
      <w:r w:rsidRPr="004665BB">
        <w:rPr>
          <w:rFonts w:ascii="Times New Roman" w:eastAsia="Calibri" w:hAnsi="Times New Roman" w:cs="Times New Roman"/>
          <w:lang w:val="en-US" w:eastAsia="en-CA"/>
        </w:rPr>
        <w:t xml:space="preserve"> and effective resistance distances derived from </w:t>
      </w:r>
      <w:proofErr w:type="spellStart"/>
      <w:r w:rsidRPr="004665BB">
        <w:rPr>
          <w:rFonts w:ascii="Times New Roman" w:eastAsia="Calibri" w:hAnsi="Times New Roman" w:cs="Times New Roman"/>
          <w:lang w:val="en-US" w:eastAsia="en-CA"/>
        </w:rPr>
        <w:t>Circuitscape</w:t>
      </w:r>
      <w:proofErr w:type="spellEnd"/>
      <w:r w:rsidRPr="004665BB">
        <w:rPr>
          <w:rFonts w:ascii="Times New Roman" w:eastAsia="Calibri" w:hAnsi="Times New Roman" w:cs="Times New Roman"/>
          <w:lang w:val="en-US" w:eastAsia="en-CA"/>
        </w:rPr>
        <w:t xml:space="preserve"> among sampling locations for the four species examined in this study. </w:t>
      </w:r>
    </w:p>
    <w:sectPr w:rsidR="0006476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F06"/>
    <w:rsid w:val="00064768"/>
    <w:rsid w:val="004665BB"/>
    <w:rsid w:val="00A03F06"/>
    <w:rsid w:val="00DD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63F17"/>
  <w15:chartTrackingRefBased/>
  <w15:docId w15:val="{D294DB0A-EDD8-4C52-B57C-31A844695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Alan Wilcox</dc:creator>
  <cp:keywords/>
  <dc:description/>
  <cp:lastModifiedBy>Mark Alan Wilcox</cp:lastModifiedBy>
  <cp:revision>2</cp:revision>
  <dcterms:created xsi:type="dcterms:W3CDTF">2023-01-10T19:46:00Z</dcterms:created>
  <dcterms:modified xsi:type="dcterms:W3CDTF">2023-01-10T19:46:00Z</dcterms:modified>
</cp:coreProperties>
</file>