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73E32" w14:textId="77777777" w:rsidR="00CA0537" w:rsidRPr="00F64477" w:rsidRDefault="00CA0537" w:rsidP="00CA0537">
      <w:pPr>
        <w:jc w:val="center"/>
        <w:rPr>
          <w:sz w:val="24"/>
        </w:rPr>
      </w:pPr>
      <w:r w:rsidRPr="00F64477">
        <w:rPr>
          <w:noProof/>
        </w:rPr>
        <w:drawing>
          <wp:inline distT="0" distB="0" distL="114300" distR="114300" wp14:anchorId="77198769" wp14:editId="296CBE22">
            <wp:extent cx="2432708" cy="1731819"/>
            <wp:effectExtent l="0" t="0" r="5715" b="19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9758" cy="173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9B158" w14:textId="77777777" w:rsidR="00CA0537" w:rsidRPr="00F64477" w:rsidRDefault="00CA0537" w:rsidP="00CA0537">
      <w:pPr>
        <w:adjustRightInd w:val="0"/>
        <w:snapToGrid w:val="0"/>
        <w:spacing w:line="360" w:lineRule="auto"/>
        <w:rPr>
          <w:sz w:val="21"/>
          <w:szCs w:val="21"/>
        </w:rPr>
      </w:pPr>
      <w:r w:rsidRPr="00F64477">
        <w:rPr>
          <w:sz w:val="21"/>
          <w:szCs w:val="21"/>
        </w:rPr>
        <w:t>Supplement Figure 1:</w:t>
      </w:r>
      <w:r w:rsidRPr="00F64477">
        <w:rPr>
          <w:rFonts w:eastAsia="楷体"/>
          <w:sz w:val="21"/>
          <w:szCs w:val="21"/>
        </w:rPr>
        <w:t xml:space="preserve"> </w:t>
      </w:r>
      <w:r w:rsidRPr="00F64477">
        <w:rPr>
          <w:sz w:val="21"/>
          <w:szCs w:val="21"/>
        </w:rPr>
        <w:t xml:space="preserve">Methylation in tumor and normal tissue on site </w:t>
      </w:r>
      <w:r w:rsidRPr="00F64477">
        <w:rPr>
          <w:rFonts w:eastAsia="楷体"/>
          <w:sz w:val="21"/>
          <w:szCs w:val="21"/>
        </w:rPr>
        <w:t xml:space="preserve">cg14826425 of </w:t>
      </w:r>
      <w:r w:rsidRPr="00F64477">
        <w:rPr>
          <w:sz w:val="21"/>
          <w:szCs w:val="21"/>
        </w:rPr>
        <w:t xml:space="preserve">participants. </w:t>
      </w:r>
      <w:r w:rsidRPr="00F64477">
        <w:rPr>
          <w:rFonts w:eastAsia="楷体"/>
          <w:sz w:val="21"/>
          <w:szCs w:val="21"/>
        </w:rPr>
        <w:t>CpG site1</w:t>
      </w:r>
      <w:r w:rsidRPr="00F64477">
        <w:rPr>
          <w:rFonts w:eastAsia="楷体"/>
          <w:sz w:val="21"/>
          <w:szCs w:val="21"/>
        </w:rPr>
        <w:t>：</w:t>
      </w:r>
      <w:r w:rsidRPr="00F64477">
        <w:rPr>
          <w:rFonts w:eastAsia="楷体"/>
          <w:sz w:val="21"/>
          <w:szCs w:val="21"/>
        </w:rPr>
        <w:t>7:27232901-27233378|cg14826425</w:t>
      </w:r>
      <w:r w:rsidRPr="00F64477">
        <w:rPr>
          <w:rFonts w:eastAsia="楷体"/>
          <w:sz w:val="21"/>
          <w:szCs w:val="21"/>
        </w:rPr>
        <w:t>；</w:t>
      </w:r>
      <w:r w:rsidRPr="00F64477">
        <w:rPr>
          <w:rFonts w:eastAsia="楷体"/>
          <w:sz w:val="21"/>
          <w:szCs w:val="21"/>
        </w:rPr>
        <w:t>Tumor</w:t>
      </w:r>
      <w:r w:rsidRPr="00F64477">
        <w:rPr>
          <w:rFonts w:eastAsia="楷体"/>
          <w:sz w:val="21"/>
          <w:szCs w:val="21"/>
        </w:rPr>
        <w:t>：</w:t>
      </w:r>
      <w:r w:rsidRPr="00F64477">
        <w:rPr>
          <w:rFonts w:eastAsia="楷体"/>
          <w:sz w:val="21"/>
          <w:szCs w:val="21"/>
        </w:rPr>
        <w:t>HCC</w:t>
      </w:r>
      <w:r w:rsidRPr="00F64477">
        <w:rPr>
          <w:rFonts w:eastAsia="楷体"/>
          <w:sz w:val="21"/>
          <w:szCs w:val="21"/>
        </w:rPr>
        <w:t>、</w:t>
      </w:r>
      <w:r w:rsidRPr="00F64477">
        <w:rPr>
          <w:rFonts w:eastAsia="楷体"/>
          <w:sz w:val="21"/>
          <w:szCs w:val="21"/>
        </w:rPr>
        <w:t>Benign</w:t>
      </w:r>
      <w:r w:rsidRPr="00F64477">
        <w:rPr>
          <w:rFonts w:eastAsia="楷体"/>
          <w:sz w:val="21"/>
          <w:szCs w:val="21"/>
        </w:rPr>
        <w:t>：</w:t>
      </w:r>
      <w:r w:rsidRPr="00F64477">
        <w:rPr>
          <w:sz w:val="21"/>
          <w:szCs w:val="21"/>
        </w:rPr>
        <w:t xml:space="preserve"> liver cirrhosis</w:t>
      </w:r>
      <w:r w:rsidRPr="00F64477">
        <w:rPr>
          <w:rFonts w:eastAsia="楷体"/>
          <w:sz w:val="21"/>
          <w:szCs w:val="21"/>
        </w:rPr>
        <w:t>；</w:t>
      </w:r>
      <w:r w:rsidRPr="00F64477">
        <w:rPr>
          <w:rFonts w:eastAsia="楷体"/>
          <w:sz w:val="21"/>
          <w:szCs w:val="21"/>
        </w:rPr>
        <w:t>****</w:t>
      </w:r>
      <w:r w:rsidRPr="00F64477">
        <w:rPr>
          <w:rFonts w:eastAsia="楷体"/>
          <w:sz w:val="21"/>
          <w:szCs w:val="21"/>
        </w:rPr>
        <w:t>：</w:t>
      </w:r>
      <w:r w:rsidRPr="00F64477">
        <w:rPr>
          <w:rFonts w:eastAsia="楷体"/>
          <w:i/>
          <w:sz w:val="21"/>
          <w:szCs w:val="21"/>
        </w:rPr>
        <w:t>P</w:t>
      </w:r>
      <w:r w:rsidRPr="00F64477">
        <w:rPr>
          <w:rFonts w:eastAsia="楷体"/>
          <w:i/>
          <w:sz w:val="21"/>
          <w:szCs w:val="21"/>
        </w:rPr>
        <w:t>＜</w:t>
      </w:r>
      <w:r w:rsidRPr="00F64477">
        <w:rPr>
          <w:rFonts w:eastAsia="楷体"/>
          <w:sz w:val="21"/>
          <w:szCs w:val="21"/>
        </w:rPr>
        <w:t>0.0001</w:t>
      </w:r>
      <w:r w:rsidRPr="00F64477">
        <w:rPr>
          <w:rFonts w:eastAsia="楷体"/>
          <w:sz w:val="21"/>
          <w:szCs w:val="21"/>
        </w:rPr>
        <w:t>；</w:t>
      </w:r>
      <w:r w:rsidRPr="00F64477">
        <w:rPr>
          <w:rFonts w:eastAsia="楷体"/>
          <w:sz w:val="21"/>
          <w:szCs w:val="21"/>
        </w:rPr>
        <w:t>NS</w:t>
      </w:r>
      <w:r w:rsidRPr="00F64477">
        <w:rPr>
          <w:rFonts w:eastAsia="楷体"/>
          <w:sz w:val="21"/>
          <w:szCs w:val="21"/>
        </w:rPr>
        <w:t>：</w:t>
      </w:r>
      <w:r w:rsidRPr="00F64477">
        <w:rPr>
          <w:rFonts w:eastAsia="楷体"/>
          <w:sz w:val="21"/>
          <w:szCs w:val="21"/>
        </w:rPr>
        <w:t>no sense.</w:t>
      </w:r>
    </w:p>
    <w:p w14:paraId="76056B1C" w14:textId="77777777" w:rsidR="00CA0537" w:rsidRPr="00F64477" w:rsidRDefault="00CA0537" w:rsidP="00CA0537">
      <w:pPr>
        <w:rPr>
          <w:sz w:val="21"/>
          <w:szCs w:val="21"/>
        </w:rPr>
      </w:pPr>
    </w:p>
    <w:p w14:paraId="48EB11D3" w14:textId="77777777" w:rsidR="00CA0537" w:rsidRPr="00F64477" w:rsidRDefault="00CA0537" w:rsidP="00CA0537">
      <w:pPr>
        <w:jc w:val="center"/>
        <w:rPr>
          <w:sz w:val="24"/>
        </w:rPr>
      </w:pPr>
      <w:r w:rsidRPr="00F64477">
        <w:rPr>
          <w:noProof/>
        </w:rPr>
        <w:drawing>
          <wp:inline distT="0" distB="0" distL="0" distR="0" wp14:anchorId="4BC6E2E9" wp14:editId="27FBE634">
            <wp:extent cx="3633627" cy="2516909"/>
            <wp:effectExtent l="0" t="0" r="508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8" r="1583"/>
                    <a:stretch/>
                  </pic:blipFill>
                  <pic:spPr bwMode="auto">
                    <a:xfrm>
                      <a:off x="0" y="0"/>
                      <a:ext cx="3638585" cy="252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17A0D8" w14:textId="77777777" w:rsidR="00CA0537" w:rsidRPr="00F64477" w:rsidRDefault="00CA0537" w:rsidP="00CA0537">
      <w:pPr>
        <w:rPr>
          <w:rFonts w:eastAsia="楷体"/>
          <w:sz w:val="21"/>
          <w:szCs w:val="21"/>
        </w:rPr>
      </w:pPr>
      <w:r w:rsidRPr="00F64477">
        <w:rPr>
          <w:sz w:val="21"/>
          <w:szCs w:val="21"/>
        </w:rPr>
        <w:t xml:space="preserve">Supplement Figure 2: Methylation in tumor and normal tissue on site </w:t>
      </w:r>
      <w:r w:rsidRPr="00F64477">
        <w:rPr>
          <w:rFonts w:eastAsia="楷体"/>
          <w:sz w:val="21"/>
          <w:szCs w:val="21"/>
        </w:rPr>
        <w:t>cg14826425 downloaded in TCGA. Tumor</w:t>
      </w:r>
      <w:r w:rsidRPr="00F64477">
        <w:rPr>
          <w:rFonts w:eastAsia="楷体"/>
          <w:sz w:val="21"/>
          <w:szCs w:val="21"/>
        </w:rPr>
        <w:t>：</w:t>
      </w:r>
      <w:r w:rsidRPr="00F64477">
        <w:rPr>
          <w:rFonts w:eastAsia="楷体"/>
          <w:sz w:val="21"/>
          <w:szCs w:val="21"/>
        </w:rPr>
        <w:t>HCC.</w:t>
      </w:r>
    </w:p>
    <w:p w14:paraId="0E826C78" w14:textId="77777777" w:rsidR="00CA0537" w:rsidRPr="00F64477" w:rsidRDefault="00CA0537" w:rsidP="00CA0537">
      <w:pPr>
        <w:rPr>
          <w:rFonts w:eastAsia="楷体"/>
          <w:sz w:val="21"/>
          <w:szCs w:val="21"/>
        </w:rPr>
      </w:pPr>
    </w:p>
    <w:p w14:paraId="3C87DD95" w14:textId="77777777" w:rsidR="00CA0537" w:rsidRPr="00F64477" w:rsidRDefault="00CA0537" w:rsidP="00CA0537">
      <w:pPr>
        <w:rPr>
          <w:rFonts w:eastAsia="楷体"/>
          <w:sz w:val="21"/>
          <w:szCs w:val="21"/>
        </w:rPr>
      </w:pPr>
    </w:p>
    <w:p w14:paraId="434C7A7D" w14:textId="77777777" w:rsidR="00CA0537" w:rsidRPr="00F64477" w:rsidRDefault="00CA0537" w:rsidP="00CA0537">
      <w:pPr>
        <w:rPr>
          <w:sz w:val="21"/>
          <w:szCs w:val="21"/>
        </w:rPr>
      </w:pPr>
      <w:r w:rsidRPr="00F64477">
        <w:rPr>
          <w:sz w:val="21"/>
          <w:szCs w:val="21"/>
        </w:rPr>
        <w:t>Supplement Table 1:</w:t>
      </w:r>
      <w:r w:rsidRPr="00F64477">
        <w:rPr>
          <w:sz w:val="24"/>
        </w:rPr>
        <w:t xml:space="preserve"> The Clinical characteristics and pathological of HCC with tumor size smaller than 2cm </w:t>
      </w:r>
      <w:r w:rsidRPr="00F64477">
        <w:rPr>
          <w:rFonts w:hint="eastAsia"/>
          <w:sz w:val="24"/>
        </w:rPr>
        <w:t>and</w:t>
      </w:r>
      <w:r w:rsidRPr="00F64477">
        <w:rPr>
          <w:sz w:val="24"/>
        </w:rPr>
        <w:t xml:space="preserve"> healthy individuals.</w:t>
      </w:r>
    </w:p>
    <w:p w14:paraId="6803F3AF" w14:textId="77777777" w:rsidR="00CA0537" w:rsidRPr="00F64477" w:rsidRDefault="00CA0537" w:rsidP="00CA0537">
      <w:pPr>
        <w:rPr>
          <w:sz w:val="21"/>
          <w:szCs w:val="21"/>
        </w:rPr>
      </w:pPr>
      <w:r w:rsidRPr="00F64477">
        <w:rPr>
          <w:noProof/>
          <w:sz w:val="21"/>
          <w:szCs w:val="21"/>
        </w:rPr>
        <w:lastRenderedPageBreak/>
        <w:drawing>
          <wp:inline distT="0" distB="0" distL="0" distR="0" wp14:anchorId="05BB1F67" wp14:editId="76B062F8">
            <wp:extent cx="4077335" cy="695896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335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87E73" w14:textId="77777777" w:rsidR="00CA0537" w:rsidRPr="00F64477" w:rsidRDefault="00CA0537" w:rsidP="00CA0537">
      <w:pPr>
        <w:rPr>
          <w:sz w:val="21"/>
          <w:szCs w:val="21"/>
        </w:rPr>
      </w:pPr>
    </w:p>
    <w:p w14:paraId="2D0807FA" w14:textId="77777777" w:rsidR="00CA0537" w:rsidRPr="00F64477" w:rsidRDefault="00CA0537" w:rsidP="00CA0537">
      <w:pPr>
        <w:rPr>
          <w:sz w:val="21"/>
          <w:szCs w:val="21"/>
        </w:rPr>
      </w:pPr>
    </w:p>
    <w:p w14:paraId="2826C196" w14:textId="77777777" w:rsidR="00CA0537" w:rsidRPr="00F64477" w:rsidRDefault="00CA0537" w:rsidP="00CA0537">
      <w:pPr>
        <w:rPr>
          <w:sz w:val="21"/>
          <w:szCs w:val="21"/>
        </w:rPr>
      </w:pPr>
    </w:p>
    <w:p w14:paraId="71DD6112" w14:textId="77777777" w:rsidR="00CA0537" w:rsidRPr="002949C0" w:rsidRDefault="00CA0537" w:rsidP="00CA0537">
      <w:pPr>
        <w:rPr>
          <w:rFonts w:eastAsia="Times New Roman"/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F64477">
        <w:rPr>
          <w:noProof/>
          <w:sz w:val="21"/>
          <w:szCs w:val="21"/>
        </w:rPr>
        <w:lastRenderedPageBreak/>
        <w:drawing>
          <wp:inline distT="0" distB="0" distL="0" distR="0" wp14:anchorId="67D1B8E8" wp14:editId="73AF7D03">
            <wp:extent cx="5274310" cy="187325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49C0">
        <w:rPr>
          <w:rFonts w:eastAsia="Times New Roman"/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2949C0">
        <w:rPr>
          <w:rFonts w:eastAsia="Times New Roman"/>
          <w:noProof/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drawing>
          <wp:inline distT="0" distB="0" distL="0" distR="0" wp14:anchorId="2E5BC909" wp14:editId="123C3C4F">
            <wp:extent cx="5274310" cy="1827530"/>
            <wp:effectExtent l="0" t="0" r="2540" b="127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1D79D" w14:textId="77777777" w:rsidR="00CA0537" w:rsidRPr="00F64477" w:rsidRDefault="00CA0537" w:rsidP="00CA0537">
      <w:pPr>
        <w:rPr>
          <w:sz w:val="21"/>
          <w:szCs w:val="21"/>
        </w:rPr>
      </w:pPr>
      <w:r w:rsidRPr="00F64477">
        <w:rPr>
          <w:sz w:val="21"/>
          <w:szCs w:val="21"/>
        </w:rPr>
        <w:t xml:space="preserve">Supplement Figure 3: The diagnosis-dependent ROC curves analysis evaluates the accuracy of the nomograms </w:t>
      </w:r>
      <w:r w:rsidRPr="00F64477">
        <w:rPr>
          <w:rFonts w:hint="eastAsia"/>
          <w:sz w:val="21"/>
          <w:szCs w:val="21"/>
        </w:rPr>
        <w:t>and</w:t>
      </w:r>
      <w:r w:rsidRPr="00F64477">
        <w:rPr>
          <w:sz w:val="21"/>
          <w:szCs w:val="21"/>
        </w:rPr>
        <w:t xml:space="preserve"> AFP. The Y-axis represents sensitivity, and the X-axis represents the specificity. A represents </w:t>
      </w:r>
      <w:r w:rsidRPr="00F64477">
        <w:rPr>
          <w:rFonts w:hint="eastAsia"/>
          <w:sz w:val="21"/>
          <w:szCs w:val="21"/>
        </w:rPr>
        <w:t>t</w:t>
      </w:r>
      <w:r w:rsidRPr="00F64477">
        <w:rPr>
          <w:sz w:val="21"/>
          <w:szCs w:val="21"/>
        </w:rPr>
        <w:t xml:space="preserve">raining cohort of nomogram; B represents validation cohort of nomogram. C represents validation cohort of earlier stage HCC patients. D, E, </w:t>
      </w:r>
      <w:r w:rsidRPr="00F64477">
        <w:rPr>
          <w:rFonts w:hint="eastAsia"/>
          <w:sz w:val="21"/>
          <w:szCs w:val="21"/>
        </w:rPr>
        <w:t>and</w:t>
      </w:r>
      <w:r w:rsidRPr="00F64477">
        <w:rPr>
          <w:sz w:val="21"/>
          <w:szCs w:val="21"/>
        </w:rPr>
        <w:t xml:space="preserve"> F represents AFP value in </w:t>
      </w:r>
      <w:r w:rsidRPr="00F64477">
        <w:rPr>
          <w:rFonts w:hint="eastAsia"/>
          <w:sz w:val="21"/>
          <w:szCs w:val="21"/>
        </w:rPr>
        <w:t>t</w:t>
      </w:r>
      <w:r w:rsidRPr="00F64477">
        <w:rPr>
          <w:sz w:val="21"/>
          <w:szCs w:val="21"/>
        </w:rPr>
        <w:t>raining cohort, validation cohort and validation cohort of earlier stage HCC patients,</w:t>
      </w:r>
      <w:r w:rsidRPr="00F64477">
        <w:t xml:space="preserve"> </w:t>
      </w:r>
      <w:r w:rsidRPr="00F64477">
        <w:rPr>
          <w:sz w:val="21"/>
          <w:szCs w:val="21"/>
        </w:rPr>
        <w:t>respectively.</w:t>
      </w:r>
    </w:p>
    <w:p w14:paraId="3CFAE30D" w14:textId="77777777" w:rsidR="00CA0537" w:rsidRDefault="00CA0537"/>
    <w:sectPr w:rsidR="00CA0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楷体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537"/>
    <w:rsid w:val="00CA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52DEE"/>
  <w15:chartTrackingRefBased/>
  <w15:docId w15:val="{C3101548-6DDF-4249-BBF7-541B033EC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537"/>
    <w:pPr>
      <w:widowControl w:val="0"/>
      <w:spacing w:after="0" w:line="240" w:lineRule="auto"/>
      <w:jc w:val="both"/>
    </w:pPr>
    <w:rPr>
      <w:rFonts w:ascii="Times New Roman" w:eastAsia="仿宋" w:hAnsi="Times New Roman" w:cs="Times New Roman"/>
      <w:kern w:val="2"/>
      <w:sz w:val="30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</Words>
  <Characters>795</Characters>
  <Application>Microsoft Office Word</Application>
  <DocSecurity>0</DocSecurity>
  <Lines>6</Lines>
  <Paragraphs>1</Paragraphs>
  <ScaleCrop>false</ScaleCrop>
  <Company>Springer Nature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2023-01-13T12:59:00Z</dcterms:created>
  <dcterms:modified xsi:type="dcterms:W3CDTF">2023-01-13T12:59:00Z</dcterms:modified>
</cp:coreProperties>
</file>