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page" w:tblpX="286" w:tblpY="76"/>
        <w:tblW w:w="160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1543"/>
        <w:gridCol w:w="2265"/>
        <w:gridCol w:w="1270"/>
        <w:gridCol w:w="1035"/>
        <w:gridCol w:w="1546"/>
        <w:gridCol w:w="2265"/>
        <w:gridCol w:w="1264"/>
        <w:gridCol w:w="1035"/>
        <w:gridCol w:w="10"/>
        <w:gridCol w:w="181"/>
        <w:gridCol w:w="12"/>
        <w:gridCol w:w="168"/>
        <w:gridCol w:w="26"/>
      </w:tblGrid>
      <w:tr w:rsidR="000F5C40" w:rsidRPr="000F5C40" w:rsidTr="000F5C40">
        <w:trPr>
          <w:gridAfter w:val="2"/>
          <w:wAfter w:w="192" w:type="dxa"/>
          <w:trHeight w:val="452"/>
        </w:trPr>
        <w:tc>
          <w:tcPr>
            <w:tcW w:w="15831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bookmarkStart w:id="0" w:name="_GoBack"/>
            <w:bookmarkEnd w:id="0"/>
            <w:r w:rsidRPr="000F5C40">
              <w:rPr>
                <w:sz w:val="24"/>
                <w:szCs w:val="24"/>
                <w:lang w:val="en-GB"/>
              </w:rPr>
              <w:t>SUPLEMENTARY MATERIAL:</w:t>
            </w:r>
          </w:p>
          <w:p w:rsidR="000F5C40" w:rsidRPr="000F5C40" w:rsidRDefault="000F5C40" w:rsidP="000F5C40">
            <w:pPr>
              <w:keepNext/>
              <w:spacing w:after="20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i/>
                <w:iCs/>
                <w:color w:val="44546A" w:themeColor="text2"/>
                <w:sz w:val="18"/>
                <w:szCs w:val="18"/>
                <w:lang w:val="en-US"/>
              </w:rPr>
              <w:t>Supplementary table 1: Employment-related characteristics among a sample of salaried workers with a SA due to cancer, SA due to other diagnoses, or no SA at all in Catalonia during the follow-up period (2012 and 2018), and previous employment 5 years prior to cohort entrance.</w:t>
            </w:r>
          </w:p>
        </w:tc>
      </w:tr>
      <w:tr w:rsidR="000F5C40" w:rsidRPr="000F5C40" w:rsidTr="000F5C40">
        <w:trPr>
          <w:trHeight w:val="57"/>
        </w:trPr>
        <w:tc>
          <w:tcPr>
            <w:tcW w:w="15831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gridAfter w:val="1"/>
          <w:wAfter w:w="26" w:type="dxa"/>
          <w:trHeight w:val="61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trHeight w:val="61"/>
        </w:trPr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507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Men (N=675)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61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Women (N=873)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92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gridAfter w:val="1"/>
          <w:wAfter w:w="26" w:type="dxa"/>
          <w:trHeight w:val="86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SA-cancer (N=225)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SA-other diagnoses (N=225)</w:t>
            </w:r>
          </w:p>
        </w:tc>
        <w:tc>
          <w:tcPr>
            <w:tcW w:w="12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 xml:space="preserve">No SA </w:t>
            </w:r>
            <w:proofErr w:type="spellStart"/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any</w:t>
            </w:r>
            <w:proofErr w:type="spellEnd"/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diagnoses</w:t>
            </w:r>
            <w:proofErr w:type="spellEnd"/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 xml:space="preserve"> (N=225)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54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SA-cancer (N=291)</w:t>
            </w:r>
          </w:p>
        </w:tc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SA-other diagnoses (N=291)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 xml:space="preserve">No SA </w:t>
            </w:r>
            <w:proofErr w:type="spellStart"/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any</w:t>
            </w:r>
            <w:proofErr w:type="spellEnd"/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diagnoses</w:t>
            </w:r>
            <w:proofErr w:type="spellEnd"/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 xml:space="preserve"> (N=291)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</w:tr>
      <w:tr w:rsidR="000F5C40" w:rsidRPr="000F5C40" w:rsidTr="000F5C40">
        <w:trPr>
          <w:gridAfter w:val="1"/>
          <w:wAfter w:w="26" w:type="dxa"/>
          <w:trHeight w:val="61"/>
        </w:trPr>
        <w:tc>
          <w:tcPr>
            <w:tcW w:w="34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Follow-up period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gridAfter w:val="1"/>
          <w:wAfter w:w="26" w:type="dxa"/>
          <w:trHeight w:val="61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Total accumulated days of employment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262,869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286,245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328,939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393,825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425,556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434,249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gridAfter w:val="1"/>
          <w:wAfter w:w="26" w:type="dxa"/>
          <w:trHeight w:val="61"/>
        </w:trPr>
        <w:tc>
          <w:tcPr>
            <w:tcW w:w="34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N (%)</w:t>
            </w:r>
          </w:p>
        </w:tc>
        <w:tc>
          <w:tcPr>
            <w:tcW w:w="22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N (%)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N (%)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p value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N (%)</w:t>
            </w:r>
          </w:p>
        </w:tc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N (%)</w:t>
            </w:r>
          </w:p>
        </w:tc>
        <w:tc>
          <w:tcPr>
            <w:tcW w:w="1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N (%)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p value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gridAfter w:val="1"/>
          <w:wAfter w:w="25" w:type="dxa"/>
          <w:trHeight w:val="61"/>
        </w:trPr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Contract type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3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30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gridAfter w:val="1"/>
          <w:wAfter w:w="26" w:type="dxa"/>
          <w:trHeight w:val="56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 xml:space="preserve">Permanent 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178 (79.1)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188 (83.6)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194 (86.2)</w:t>
            </w:r>
          </w:p>
        </w:tc>
        <w:tc>
          <w:tcPr>
            <w:tcW w:w="103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0.003**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243 (83.5)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233 (80.1)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243 (83.5)</w:t>
            </w:r>
          </w:p>
        </w:tc>
        <w:tc>
          <w:tcPr>
            <w:tcW w:w="103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0.206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gridAfter w:val="1"/>
          <w:wAfter w:w="26" w:type="dxa"/>
          <w:trHeight w:val="61"/>
        </w:trPr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Temporary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40 (17.8)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37 (16.4)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31 (13.8)</w:t>
            </w:r>
          </w:p>
        </w:tc>
        <w:tc>
          <w:tcPr>
            <w:tcW w:w="10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46 (15.8)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58 (19.9)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48 (16.5)</w:t>
            </w:r>
          </w:p>
        </w:tc>
        <w:tc>
          <w:tcPr>
            <w:tcW w:w="10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gridAfter w:val="1"/>
          <w:wAfter w:w="26" w:type="dxa"/>
          <w:trHeight w:val="61"/>
        </w:trPr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 xml:space="preserve">Working time </w:t>
            </w: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(% weekly hours)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gridAfter w:val="1"/>
          <w:wAfter w:w="26" w:type="dxa"/>
          <w:trHeight w:val="57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Full-time (&gt;87.5%)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184 (81.8)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195 (86.7)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190 (84.4)</w:t>
            </w:r>
          </w:p>
        </w:tc>
        <w:tc>
          <w:tcPr>
            <w:tcW w:w="103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0.037*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206 (70.8)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213 (73.2)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218 (74.9)</w:t>
            </w:r>
          </w:p>
        </w:tc>
        <w:tc>
          <w:tcPr>
            <w:tcW w:w="103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0.188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gridAfter w:val="1"/>
          <w:wAfter w:w="26" w:type="dxa"/>
          <w:trHeight w:val="57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Part-time (50%-87.5%)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12 (5.3)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13 (5.8)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11 (4.9)</w:t>
            </w:r>
          </w:p>
        </w:tc>
        <w:tc>
          <w:tcPr>
            <w:tcW w:w="10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59 (20.3)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48 (16.5)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45 (15.5)</w:t>
            </w:r>
          </w:p>
        </w:tc>
        <w:tc>
          <w:tcPr>
            <w:tcW w:w="10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gridAfter w:val="1"/>
          <w:wAfter w:w="26" w:type="dxa"/>
          <w:trHeight w:val="61"/>
        </w:trPr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Short and marginal part-time (≤37.5%-49%)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22 (9.8)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17 (7.6)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24 (10.7)</w:t>
            </w:r>
          </w:p>
        </w:tc>
        <w:tc>
          <w:tcPr>
            <w:tcW w:w="10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24 (8.2)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30 (10.3)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28 (9.6)</w:t>
            </w:r>
          </w:p>
        </w:tc>
        <w:tc>
          <w:tcPr>
            <w:tcW w:w="10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gridAfter w:val="1"/>
          <w:wAfter w:w="26" w:type="dxa"/>
          <w:trHeight w:val="61"/>
        </w:trPr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Monthly average income (</w:t>
            </w:r>
            <w:proofErr w:type="spellStart"/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tertiles</w:t>
            </w:r>
            <w:proofErr w:type="spellEnd"/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)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gridAfter w:val="1"/>
          <w:wAfter w:w="26" w:type="dxa"/>
          <w:trHeight w:val="57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High (&gt;2370.0 €)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105 (48.2)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90 (40.2)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91 (40.8)</w:t>
            </w:r>
          </w:p>
        </w:tc>
        <w:tc>
          <w:tcPr>
            <w:tcW w:w="103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0.364</w:t>
            </w:r>
          </w:p>
        </w:tc>
        <w:tc>
          <w:tcPr>
            <w:tcW w:w="15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79 (27.7)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70 (24.2)</w:t>
            </w:r>
          </w:p>
        </w:tc>
        <w:tc>
          <w:tcPr>
            <w:tcW w:w="126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74 (25.6)</w:t>
            </w:r>
          </w:p>
        </w:tc>
        <w:tc>
          <w:tcPr>
            <w:tcW w:w="103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0.360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gridAfter w:val="1"/>
          <w:wAfter w:w="26" w:type="dxa"/>
          <w:trHeight w:val="57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Medium (1451.0 - 2370.0 €)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61 (28.0)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79 (35.3)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78 (35.0)</w:t>
            </w:r>
          </w:p>
        </w:tc>
        <w:tc>
          <w:tcPr>
            <w:tcW w:w="103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97 (34.0)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107 (37.0)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87 (30.1)</w:t>
            </w:r>
          </w:p>
        </w:tc>
        <w:tc>
          <w:tcPr>
            <w:tcW w:w="103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gridAfter w:val="1"/>
          <w:wAfter w:w="26" w:type="dxa"/>
          <w:trHeight w:val="61"/>
        </w:trPr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Low (≤1450.0 €)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52 (23.9)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55 (24.6)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54 (24.2)</w:t>
            </w:r>
          </w:p>
        </w:tc>
        <w:tc>
          <w:tcPr>
            <w:tcW w:w="103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109 (38.3)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112 (38.8)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128 (44.3)</w:t>
            </w:r>
          </w:p>
        </w:tc>
        <w:tc>
          <w:tcPr>
            <w:tcW w:w="103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gridAfter w:val="1"/>
          <w:wAfter w:w="26" w:type="dxa"/>
          <w:trHeight w:val="61"/>
        </w:trPr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Occupational category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gridAfter w:val="1"/>
          <w:wAfter w:w="26" w:type="dxa"/>
          <w:trHeight w:val="57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Non-manual skilled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67 (29.8)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38 (16.9)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51 (22.7)</w:t>
            </w:r>
          </w:p>
        </w:tc>
        <w:tc>
          <w:tcPr>
            <w:tcW w:w="103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&lt;0.0001***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94 (32.3)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53 (18.2)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68 (23.4)</w:t>
            </w:r>
          </w:p>
        </w:tc>
        <w:tc>
          <w:tcPr>
            <w:tcW w:w="103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&lt;0.0001***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gridAfter w:val="1"/>
          <w:wAfter w:w="26" w:type="dxa"/>
          <w:trHeight w:val="57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Non-manual non-skilled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74 (32.9)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69 (30.7)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69 (30.7)</w:t>
            </w:r>
          </w:p>
        </w:tc>
        <w:tc>
          <w:tcPr>
            <w:tcW w:w="10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129 (44.3)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129 (44.3)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121 (41.6)</w:t>
            </w:r>
          </w:p>
        </w:tc>
        <w:tc>
          <w:tcPr>
            <w:tcW w:w="10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gridAfter w:val="1"/>
          <w:wAfter w:w="26" w:type="dxa"/>
          <w:trHeight w:val="57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Manual skilled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59 (26.2)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91 (40.4)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82 (36.4)</w:t>
            </w:r>
          </w:p>
        </w:tc>
        <w:tc>
          <w:tcPr>
            <w:tcW w:w="10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29 (10.0)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57 (19.6)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44 (15.1)</w:t>
            </w:r>
          </w:p>
        </w:tc>
        <w:tc>
          <w:tcPr>
            <w:tcW w:w="10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gridAfter w:val="1"/>
          <w:wAfter w:w="26" w:type="dxa"/>
          <w:trHeight w:val="61"/>
        </w:trPr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Manual non-skilled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14 (6.2)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21 (9.3)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15 (6.7)</w:t>
            </w:r>
          </w:p>
        </w:tc>
        <w:tc>
          <w:tcPr>
            <w:tcW w:w="10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28 (9.6)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40 (13.8)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38 (13.1)</w:t>
            </w:r>
          </w:p>
        </w:tc>
        <w:tc>
          <w:tcPr>
            <w:tcW w:w="10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gridAfter w:val="1"/>
          <w:wAfter w:w="26" w:type="dxa"/>
          <w:trHeight w:val="61"/>
        </w:trPr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Economic activity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gridAfter w:val="1"/>
          <w:wAfter w:w="26" w:type="dxa"/>
          <w:trHeight w:val="127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sz w:val="18"/>
                <w:szCs w:val="18"/>
                <w:lang w:val="en-GB" w:eastAsia="es-ES"/>
              </w:rPr>
              <w:t>Agriculture, hunting, forestry, fishing, mining, and quarrying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sz w:val="18"/>
                <w:szCs w:val="18"/>
                <w:lang w:val="en-GB" w:eastAsia="es-ES"/>
              </w:rPr>
              <w:t>1 (0.4)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sz w:val="18"/>
                <w:szCs w:val="18"/>
                <w:lang w:val="en-GB" w:eastAsia="es-ES"/>
              </w:rPr>
              <w:t>*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sz w:val="18"/>
                <w:szCs w:val="18"/>
                <w:lang w:val="en-GB" w:eastAsia="es-ES"/>
              </w:rPr>
              <w:t>4 (1.8)</w:t>
            </w:r>
          </w:p>
        </w:tc>
        <w:tc>
          <w:tcPr>
            <w:tcW w:w="103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sz w:val="18"/>
                <w:szCs w:val="18"/>
                <w:lang w:val="en-GB" w:eastAsia="es-ES"/>
              </w:rPr>
              <w:t>0.002**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sz w:val="18"/>
                <w:szCs w:val="18"/>
                <w:lang w:val="en-GB" w:eastAsia="es-ES"/>
              </w:rPr>
              <w:t>1 (0.3)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sz w:val="18"/>
                <w:szCs w:val="18"/>
                <w:lang w:val="en-GB" w:eastAsia="es-ES"/>
              </w:rPr>
              <w:t>*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sz w:val="18"/>
                <w:szCs w:val="18"/>
                <w:lang w:val="en-GB" w:eastAsia="es-ES"/>
              </w:rPr>
              <w:t>2 (0.7)</w:t>
            </w:r>
          </w:p>
        </w:tc>
        <w:tc>
          <w:tcPr>
            <w:tcW w:w="103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sz w:val="18"/>
                <w:szCs w:val="18"/>
                <w:lang w:val="en-GB" w:eastAsia="es-ES"/>
              </w:rPr>
              <w:t>0.130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n-GB"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gridAfter w:val="1"/>
          <w:wAfter w:w="26" w:type="dxa"/>
          <w:trHeight w:val="64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sz w:val="18"/>
                <w:szCs w:val="18"/>
                <w:lang w:val="en-GB" w:eastAsia="es-ES"/>
              </w:rPr>
              <w:t>Manufacturing, energy construction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52 (23.1)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89 (39.6)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67 (29.8)</w:t>
            </w:r>
          </w:p>
        </w:tc>
        <w:tc>
          <w:tcPr>
            <w:tcW w:w="10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GB" w:eastAsia="es-ES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26 (8.9)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48 (16.5)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39 (13.4)</w:t>
            </w:r>
          </w:p>
        </w:tc>
        <w:tc>
          <w:tcPr>
            <w:tcW w:w="10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GB" w:eastAsia="es-ES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gridAfter w:val="1"/>
          <w:wAfter w:w="26" w:type="dxa"/>
          <w:trHeight w:val="61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sz w:val="18"/>
                <w:szCs w:val="18"/>
                <w:lang w:val="en-GB" w:eastAsia="es-ES"/>
              </w:rPr>
              <w:t>Services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162 (72.0)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132 (58.7)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146 (64.9)</w:t>
            </w:r>
          </w:p>
        </w:tc>
        <w:tc>
          <w:tcPr>
            <w:tcW w:w="10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GB" w:eastAsia="es-ES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258 (88.7)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237 (81.4)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242 (83.2)</w:t>
            </w:r>
          </w:p>
        </w:tc>
        <w:tc>
          <w:tcPr>
            <w:tcW w:w="10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GB" w:eastAsia="es-ES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gridAfter w:val="1"/>
          <w:wAfter w:w="26" w:type="dxa"/>
          <w:trHeight w:val="61"/>
        </w:trPr>
        <w:tc>
          <w:tcPr>
            <w:tcW w:w="34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Company size</w:t>
            </w:r>
          </w:p>
        </w:tc>
        <w:tc>
          <w:tcPr>
            <w:tcW w:w="15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5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2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gridAfter w:val="1"/>
          <w:wAfter w:w="26" w:type="dxa"/>
          <w:trHeight w:val="57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Small-medium (≤ 100 workers)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129 (57.3)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135 (60.0)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153 (68.0)</w:t>
            </w:r>
          </w:p>
        </w:tc>
        <w:tc>
          <w:tcPr>
            <w:tcW w:w="103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0.001**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158 (54.3)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143 (49.1)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170 (58.4)</w:t>
            </w:r>
          </w:p>
        </w:tc>
        <w:tc>
          <w:tcPr>
            <w:tcW w:w="103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0.058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gridAfter w:val="1"/>
          <w:wAfter w:w="26" w:type="dxa"/>
          <w:trHeight w:val="61"/>
        </w:trPr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Big (&gt;100 workers)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89 (39.6)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90 (40.0)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72 (32.0)</w:t>
            </w:r>
          </w:p>
        </w:tc>
        <w:tc>
          <w:tcPr>
            <w:tcW w:w="10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131 (45.0)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148 (50.9)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121 (41.6)</w:t>
            </w:r>
          </w:p>
        </w:tc>
        <w:tc>
          <w:tcPr>
            <w:tcW w:w="10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gridAfter w:val="1"/>
          <w:wAfter w:w="26" w:type="dxa"/>
          <w:trHeight w:val="61"/>
        </w:trPr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Company ownership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gridAfter w:val="1"/>
          <w:wAfter w:w="26" w:type="dxa"/>
          <w:trHeight w:val="57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Private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161 (71.6)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179 (79.6)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175 (77.8)</w:t>
            </w:r>
          </w:p>
        </w:tc>
        <w:tc>
          <w:tcPr>
            <w:tcW w:w="103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0.001**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193 (66.3)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203 (69.8)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197 (67.7)</w:t>
            </w:r>
          </w:p>
        </w:tc>
        <w:tc>
          <w:tcPr>
            <w:tcW w:w="103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0.314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gridAfter w:val="1"/>
          <w:wAfter w:w="26" w:type="dxa"/>
          <w:trHeight w:val="61"/>
        </w:trPr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Public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44 (19.6)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29 (12.9)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28 (12.4)</w:t>
            </w:r>
          </w:p>
        </w:tc>
        <w:tc>
          <w:tcPr>
            <w:tcW w:w="10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64 (22.0)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57 (19.6)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53 (18.2)</w:t>
            </w:r>
          </w:p>
        </w:tc>
        <w:tc>
          <w:tcPr>
            <w:tcW w:w="10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gridAfter w:val="1"/>
          <w:wAfter w:w="26" w:type="dxa"/>
          <w:trHeight w:val="61"/>
        </w:trPr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5 years prior to follow-up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  <w:tr w:rsidR="000F5C40" w:rsidRPr="000F5C40" w:rsidTr="000F5C40">
        <w:trPr>
          <w:gridAfter w:val="1"/>
          <w:wAfter w:w="26" w:type="dxa"/>
          <w:trHeight w:val="61"/>
        </w:trPr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s-ES"/>
              </w:rPr>
              <w:t>Employment time ratio (mean (SD))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90.9 (20.6)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93.1 (17.1)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93.2 (16.1)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0.019**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91.8 (17.7)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92.7 (17.2)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93.1 (16.1)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0.278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80" w:type="dxa"/>
            <w:gridSpan w:val="2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s-ES"/>
              </w:rPr>
            </w:pPr>
          </w:p>
        </w:tc>
      </w:tr>
    </w:tbl>
    <w:p w:rsidR="000F5C40" w:rsidRPr="000F5C40" w:rsidRDefault="000F5C40" w:rsidP="000F5C40">
      <w:pPr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val="en-GB" w:eastAsia="es-ES"/>
        </w:rPr>
      </w:pPr>
      <w:r w:rsidRPr="000F5C40">
        <w:rPr>
          <w:rFonts w:ascii="Calibri" w:eastAsia="Times New Roman" w:hAnsi="Calibri" w:cs="Calibri"/>
          <w:color w:val="000000"/>
          <w:sz w:val="18"/>
          <w:szCs w:val="18"/>
          <w:lang w:val="en-GB" w:eastAsia="es-ES"/>
        </w:rPr>
        <w:t>SA, sickness absence; Follow-up period ranged from 3 to 7 years from entrance to the cohort until the end of 2018; Previous 5 years refers to each individual´s entrance; SD, standard deviation. *p&lt;0.05, **p&lt;0.01, ***p&lt;0.001.</w:t>
      </w:r>
    </w:p>
    <w:p w:rsidR="000F5C40" w:rsidRPr="000F5C40" w:rsidRDefault="000F5C40" w:rsidP="000F5C40">
      <w:pPr>
        <w:rPr>
          <w:sz w:val="24"/>
          <w:szCs w:val="24"/>
          <w:lang w:val="en-GB"/>
        </w:rPr>
      </w:pPr>
    </w:p>
    <w:tbl>
      <w:tblPr>
        <w:tblW w:w="431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7"/>
        <w:gridCol w:w="3175"/>
        <w:gridCol w:w="2853"/>
        <w:gridCol w:w="170"/>
      </w:tblGrid>
      <w:tr w:rsidR="000F5C40" w:rsidRPr="000F5C40" w:rsidTr="00E8490A">
        <w:trPr>
          <w:gridAfter w:val="1"/>
          <w:wAfter w:w="64" w:type="pct"/>
          <w:trHeight w:val="450"/>
        </w:trPr>
        <w:tc>
          <w:tcPr>
            <w:tcW w:w="4936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C40" w:rsidRPr="000F5C40" w:rsidRDefault="000F5C40" w:rsidP="000F5C40">
            <w:pPr>
              <w:keepNext/>
              <w:spacing w:after="20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i/>
                <w:iCs/>
                <w:color w:val="44546A" w:themeColor="text2"/>
                <w:sz w:val="18"/>
                <w:szCs w:val="18"/>
                <w:lang w:val="en-US"/>
              </w:rPr>
              <w:lastRenderedPageBreak/>
              <w:t>Supplementary table 2: Cancer location in the group of workers with SA due to cancer and diagnosis underlying SAs in the comparison group with other causes by sex in Catalonia (2012-2015)</w:t>
            </w:r>
          </w:p>
        </w:tc>
      </w:tr>
      <w:tr w:rsidR="000F5C40" w:rsidRPr="000F5C40" w:rsidTr="00E8490A">
        <w:trPr>
          <w:trHeight w:val="78"/>
        </w:trPr>
        <w:tc>
          <w:tcPr>
            <w:tcW w:w="4936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78"/>
        </w:trPr>
        <w:tc>
          <w:tcPr>
            <w:tcW w:w="26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s-ES"/>
              </w:rPr>
              <w:t>Comparison group</w:t>
            </w:r>
          </w:p>
        </w:tc>
        <w:tc>
          <w:tcPr>
            <w:tcW w:w="11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s-ES"/>
              </w:rPr>
              <w:t xml:space="preserve">Men </w:t>
            </w:r>
          </w:p>
        </w:tc>
        <w:tc>
          <w:tcPr>
            <w:tcW w:w="10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s-ES"/>
              </w:rPr>
              <w:t>Women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78"/>
        </w:trPr>
        <w:tc>
          <w:tcPr>
            <w:tcW w:w="26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s-ES"/>
              </w:rPr>
              <w:t>SA due to cancer diagnosis</w:t>
            </w:r>
          </w:p>
        </w:tc>
        <w:tc>
          <w:tcPr>
            <w:tcW w:w="119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N (%)</w:t>
            </w:r>
          </w:p>
        </w:tc>
        <w:tc>
          <w:tcPr>
            <w:tcW w:w="107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N (%)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73"/>
        </w:trPr>
        <w:tc>
          <w:tcPr>
            <w:tcW w:w="2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Lip, oral cavity, and pharynx</w:t>
            </w:r>
          </w:p>
        </w:tc>
        <w:tc>
          <w:tcPr>
            <w:tcW w:w="11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3 (1.3)</w:t>
            </w:r>
          </w:p>
        </w:tc>
        <w:tc>
          <w:tcPr>
            <w:tcW w:w="107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 (0.7)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73"/>
        </w:trPr>
        <w:tc>
          <w:tcPr>
            <w:tcW w:w="2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Digestive organs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42 (18.7)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25 (8.6)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73"/>
        </w:trPr>
        <w:tc>
          <w:tcPr>
            <w:tcW w:w="2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Respiratory system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19 (8.4)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6 (2.1)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73"/>
        </w:trPr>
        <w:tc>
          <w:tcPr>
            <w:tcW w:w="2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Bone and articular cartilage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 (0.4)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*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73"/>
        </w:trPr>
        <w:tc>
          <w:tcPr>
            <w:tcW w:w="2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Skin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27 (12.0)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53 (18.2)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73"/>
        </w:trPr>
        <w:tc>
          <w:tcPr>
            <w:tcW w:w="2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Connective and soft tissue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3 (1.3)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*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73"/>
        </w:trPr>
        <w:tc>
          <w:tcPr>
            <w:tcW w:w="2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Breast and female genital organs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 (0.4)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152 (52.2)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73"/>
        </w:trPr>
        <w:tc>
          <w:tcPr>
            <w:tcW w:w="2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Male genital organs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52 (23.1)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*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73"/>
        </w:trPr>
        <w:tc>
          <w:tcPr>
            <w:tcW w:w="2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Urinary organs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41 (18.2)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17 (5.8)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73"/>
        </w:trPr>
        <w:tc>
          <w:tcPr>
            <w:tcW w:w="2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Eye, brain, and central nervous system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10 (4.4)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5 (1.7)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73"/>
        </w:trPr>
        <w:tc>
          <w:tcPr>
            <w:tcW w:w="2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Endocrine glands and related structures 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6 (2.7)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15 (5.2)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73"/>
        </w:trPr>
        <w:tc>
          <w:tcPr>
            <w:tcW w:w="2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Secondary and ill-defined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6 (2.7)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7 (2.4)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73"/>
        </w:trPr>
        <w:tc>
          <w:tcPr>
            <w:tcW w:w="2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Lymphoid, haematopoietic, and related tissue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14 (6.2)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8 (2.7)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78"/>
        </w:trPr>
        <w:tc>
          <w:tcPr>
            <w:tcW w:w="2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Multiple locations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*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 (0.3)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78"/>
        </w:trPr>
        <w:tc>
          <w:tcPr>
            <w:tcW w:w="2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s-ES"/>
              </w:rPr>
              <w:t xml:space="preserve">Total </w:t>
            </w:r>
          </w:p>
        </w:tc>
        <w:tc>
          <w:tcPr>
            <w:tcW w:w="119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225 (100)</w:t>
            </w:r>
          </w:p>
        </w:tc>
        <w:tc>
          <w:tcPr>
            <w:tcW w:w="107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291 (100)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78"/>
        </w:trPr>
        <w:tc>
          <w:tcPr>
            <w:tcW w:w="26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s-ES"/>
              </w:rPr>
              <w:t>SA due to other diagnoses</w:t>
            </w:r>
          </w:p>
        </w:tc>
        <w:tc>
          <w:tcPr>
            <w:tcW w:w="119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N (%)</w:t>
            </w:r>
          </w:p>
        </w:tc>
        <w:tc>
          <w:tcPr>
            <w:tcW w:w="107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N (%)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73"/>
        </w:trPr>
        <w:tc>
          <w:tcPr>
            <w:tcW w:w="2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sz w:val="20"/>
                <w:szCs w:val="20"/>
                <w:lang w:val="en-GB" w:eastAsia="es-ES"/>
              </w:rPr>
              <w:t>Infectious and parasitic diseases</w:t>
            </w:r>
          </w:p>
        </w:tc>
        <w:tc>
          <w:tcPr>
            <w:tcW w:w="11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33 (14.7)</w:t>
            </w:r>
          </w:p>
        </w:tc>
        <w:tc>
          <w:tcPr>
            <w:tcW w:w="107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32 (11.0)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73"/>
        </w:trPr>
        <w:tc>
          <w:tcPr>
            <w:tcW w:w="2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In situ, benign neoplasms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*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9 (3.1)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149"/>
        </w:trPr>
        <w:tc>
          <w:tcPr>
            <w:tcW w:w="2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Endocrine, nutritional, and metabolic diseases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*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 (0.7)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73"/>
        </w:trPr>
        <w:tc>
          <w:tcPr>
            <w:tcW w:w="2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Mental and behavioural disorders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15 (6.7)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22 (7.6)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73"/>
        </w:trPr>
        <w:tc>
          <w:tcPr>
            <w:tcW w:w="2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Diseases of the nervous system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 (0.9)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12 (4.1)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73"/>
        </w:trPr>
        <w:tc>
          <w:tcPr>
            <w:tcW w:w="2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Diseases of the eye and adnexa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4 (1.8)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6 (2.1)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73"/>
        </w:trPr>
        <w:tc>
          <w:tcPr>
            <w:tcW w:w="2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Diseases of the ear and mastoid process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4 (1.8)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7 (2.4)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73"/>
        </w:trPr>
        <w:tc>
          <w:tcPr>
            <w:tcW w:w="2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Diseases of the circulatory system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10 (4.4)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12 (4.1)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73"/>
        </w:trPr>
        <w:tc>
          <w:tcPr>
            <w:tcW w:w="2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Diseases of the respiratory system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46 (20.4)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47 (16.2)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73"/>
        </w:trPr>
        <w:tc>
          <w:tcPr>
            <w:tcW w:w="2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Diseases of the digestive system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17 (7.6)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19 (6.5)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73"/>
        </w:trPr>
        <w:tc>
          <w:tcPr>
            <w:tcW w:w="2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Diseases of the skin and subcutaneous tissue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 (0.9)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7 (2.4)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149"/>
        </w:trPr>
        <w:tc>
          <w:tcPr>
            <w:tcW w:w="2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Diseases of the musculoskeletal system and connective tissue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59 (26.2)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68 (23.4)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78"/>
        </w:trPr>
        <w:tc>
          <w:tcPr>
            <w:tcW w:w="2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Diseases of the genitourinary system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10 (4.4)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10 (3.4)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78"/>
        </w:trPr>
        <w:tc>
          <w:tcPr>
            <w:tcW w:w="2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Pregnancy, childbirth, and the puerperium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 (0.4)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4 (1.4)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149"/>
        </w:trPr>
        <w:tc>
          <w:tcPr>
            <w:tcW w:w="2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Symptoms, signs, and abnormal clinical and laboratory findings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4 (1.8)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17 (5.8)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149"/>
        </w:trPr>
        <w:tc>
          <w:tcPr>
            <w:tcW w:w="2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Injury, poisoning, and certain other consequences of external causes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17 (7.6)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16 (5.5)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152"/>
        </w:trPr>
        <w:tc>
          <w:tcPr>
            <w:tcW w:w="266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Factors influencing health status and contact with health services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 (0.4)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 (0.3)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78"/>
        </w:trPr>
        <w:tc>
          <w:tcPr>
            <w:tcW w:w="26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es-ES"/>
              </w:rPr>
              <w:t>Total</w:t>
            </w:r>
          </w:p>
        </w:tc>
        <w:tc>
          <w:tcPr>
            <w:tcW w:w="119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225 (100)</w:t>
            </w:r>
          </w:p>
        </w:tc>
        <w:tc>
          <w:tcPr>
            <w:tcW w:w="107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291 (100)</w:t>
            </w: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0F5C40" w:rsidRPr="000F5C40" w:rsidTr="00E8490A">
        <w:trPr>
          <w:trHeight w:val="13"/>
        </w:trPr>
        <w:tc>
          <w:tcPr>
            <w:tcW w:w="49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*N, Absences between 2012 and 2015; SA, sickness absence; </w:t>
            </w:r>
            <w:proofErr w:type="gramStart"/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MD(</w:t>
            </w:r>
            <w:proofErr w:type="gramEnd"/>
            <w:r w:rsidRPr="000F5C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P25, P75), median duration and 25th and 75th percentiles of the absences.</w:t>
            </w:r>
          </w:p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</w:p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64" w:type="pct"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</w:tbl>
    <w:p w:rsidR="000F5C40" w:rsidRPr="000F5C40" w:rsidRDefault="000F5C40" w:rsidP="000F5C40">
      <w:pPr>
        <w:rPr>
          <w:lang w:val="en-GB"/>
        </w:rPr>
      </w:pPr>
    </w:p>
    <w:p w:rsidR="000F5C40" w:rsidRPr="000F5C40" w:rsidRDefault="000F5C40" w:rsidP="000F5C40">
      <w:pPr>
        <w:keepNext/>
        <w:spacing w:after="200" w:line="240" w:lineRule="auto"/>
        <w:rPr>
          <w:i/>
          <w:iCs/>
          <w:color w:val="44546A" w:themeColor="text2"/>
          <w:sz w:val="18"/>
          <w:szCs w:val="18"/>
          <w:lang w:val="en-US"/>
        </w:rPr>
      </w:pPr>
      <w:r w:rsidRPr="000F5C40">
        <w:rPr>
          <w:i/>
          <w:iCs/>
          <w:color w:val="44546A" w:themeColor="text2"/>
          <w:sz w:val="18"/>
          <w:szCs w:val="18"/>
          <w:lang w:val="en-US"/>
        </w:rPr>
        <w:t>Supplementary table 3 Selection of cluster solution and cluster quality measure Average Silhouette Width (ASW) for future working life of a sample of salaried workers in Catalonia (2012-2018) with 8 possible states.</w:t>
      </w:r>
    </w:p>
    <w:tbl>
      <w:tblPr>
        <w:tblW w:w="4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76"/>
        <w:gridCol w:w="1744"/>
        <w:gridCol w:w="1860"/>
      </w:tblGrid>
      <w:tr w:rsidR="000F5C40" w:rsidRPr="000F5C40" w:rsidTr="00E8490A">
        <w:trPr>
          <w:trHeight w:val="315"/>
        </w:trPr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Global ASW</w:t>
            </w:r>
          </w:p>
        </w:tc>
        <w:tc>
          <w:tcPr>
            <w:tcW w:w="17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proofErr w:type="spellStart"/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Women</w:t>
            </w:r>
            <w:proofErr w:type="spellEnd"/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proofErr w:type="spellStart"/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Men</w:t>
            </w:r>
            <w:proofErr w:type="spellEnd"/>
          </w:p>
        </w:tc>
      </w:tr>
      <w:tr w:rsidR="000F5C40" w:rsidRPr="000F5C40" w:rsidTr="00E8490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3 </w:t>
            </w:r>
            <w:proofErr w:type="spellStart"/>
            <w:r w:rsidRPr="000F5C40">
              <w:rPr>
                <w:rFonts w:ascii="Calibri" w:eastAsia="Times New Roman" w:hAnsi="Calibri" w:cs="Calibri"/>
                <w:color w:val="000000"/>
                <w:lang w:eastAsia="es-ES"/>
              </w:rPr>
              <w:t>Clusters</w:t>
            </w:r>
            <w:proofErr w:type="spellEnd"/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lang w:eastAsia="es-ES"/>
              </w:rPr>
              <w:t>0.42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lang w:eastAsia="es-ES"/>
              </w:rPr>
              <w:t>0.41</w:t>
            </w:r>
          </w:p>
        </w:tc>
      </w:tr>
      <w:tr w:rsidR="000F5C40" w:rsidRPr="000F5C40" w:rsidTr="00E8490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4 </w:t>
            </w:r>
            <w:proofErr w:type="spellStart"/>
            <w:r w:rsidRPr="000F5C40">
              <w:rPr>
                <w:rFonts w:ascii="Calibri" w:eastAsia="Times New Roman" w:hAnsi="Calibri" w:cs="Calibri"/>
                <w:color w:val="000000"/>
                <w:lang w:eastAsia="es-ES"/>
              </w:rPr>
              <w:t>Clusters</w:t>
            </w:r>
            <w:proofErr w:type="spellEnd"/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lang w:eastAsia="es-ES"/>
              </w:rPr>
              <w:t>0.45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lang w:eastAsia="es-ES"/>
              </w:rPr>
              <w:t>0.45</w:t>
            </w:r>
          </w:p>
        </w:tc>
      </w:tr>
      <w:tr w:rsidR="000F5C40" w:rsidRPr="000F5C40" w:rsidTr="00E8490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5 </w:t>
            </w:r>
            <w:proofErr w:type="spellStart"/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Clusters</w:t>
            </w:r>
            <w:proofErr w:type="spellEnd"/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0.47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0F5C40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0.48</w:t>
            </w:r>
          </w:p>
        </w:tc>
      </w:tr>
      <w:tr w:rsidR="000F5C40" w:rsidRPr="000F5C40" w:rsidTr="00E8490A">
        <w:trPr>
          <w:trHeight w:val="300"/>
        </w:trPr>
        <w:tc>
          <w:tcPr>
            <w:tcW w:w="4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C40" w:rsidRPr="000F5C40" w:rsidRDefault="000F5C40" w:rsidP="000F5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0F5C4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s-ES"/>
              </w:rPr>
              <w:t>Values closer to 1 were strongly well clustered; values closer to 0 denote weak structures that could be artificial.</w:t>
            </w:r>
          </w:p>
        </w:tc>
      </w:tr>
    </w:tbl>
    <w:p w:rsidR="00241910" w:rsidRPr="000F5C40" w:rsidRDefault="000F5C40">
      <w:pPr>
        <w:rPr>
          <w:lang w:val="en-US"/>
        </w:rPr>
      </w:pPr>
    </w:p>
    <w:sectPr w:rsidR="00241910" w:rsidRPr="000F5C40" w:rsidSect="000F5C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C40"/>
    <w:rsid w:val="000F5C40"/>
    <w:rsid w:val="0032605E"/>
    <w:rsid w:val="009B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D1E8B8-CD86-4414-8CFC-8F06C8843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874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Universitat Pompeu Fabra</Company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u152859</dc:creator>
  <cp:keywords/>
  <dc:description/>
  <cp:lastModifiedBy>u152859</cp:lastModifiedBy>
  <cp:revision>1</cp:revision>
  <dcterms:created xsi:type="dcterms:W3CDTF">2022-11-02T10:08:00Z</dcterms:created>
  <dcterms:modified xsi:type="dcterms:W3CDTF">2022-11-02T10:10:00Z</dcterms:modified>
</cp:coreProperties>
</file>