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FE22" w14:textId="77777777" w:rsidR="00FE3002" w:rsidRDefault="00000000">
      <w:pPr>
        <w:spacing w:line="360" w:lineRule="auto"/>
        <w:jc w:val="center"/>
        <w:rPr>
          <w:b/>
          <w:bCs/>
          <w:sz w:val="32"/>
          <w:szCs w:val="32"/>
        </w:rPr>
      </w:pPr>
      <w:r>
        <w:rPr>
          <w:rFonts w:hint="eastAsia"/>
          <w:b/>
          <w:bCs/>
          <w:sz w:val="32"/>
          <w:szCs w:val="32"/>
        </w:rPr>
        <w:t>sFigure Legends</w:t>
      </w:r>
    </w:p>
    <w:p w14:paraId="236A204A" w14:textId="1FF37CF3" w:rsidR="00FE3002" w:rsidRDefault="00000000">
      <w:pPr>
        <w:spacing w:line="360" w:lineRule="auto"/>
        <w:rPr>
          <w:b/>
          <w:bCs/>
          <w:sz w:val="32"/>
          <w:szCs w:val="32"/>
          <w:lang w:eastAsia="zh-TW"/>
        </w:rPr>
      </w:pPr>
      <w:r>
        <w:rPr>
          <w:rFonts w:hint="eastAsia"/>
          <w:b/>
          <w:bCs/>
          <w:sz w:val="32"/>
          <w:szCs w:val="32"/>
        </w:rPr>
        <w:t>Fig.S</w:t>
      </w:r>
      <w:r>
        <w:rPr>
          <w:rFonts w:eastAsia="新細明體" w:hint="eastAsia"/>
          <w:b/>
          <w:bCs/>
          <w:sz w:val="32"/>
          <w:szCs w:val="32"/>
          <w:lang w:eastAsia="zh-TW"/>
        </w:rPr>
        <w:t>1</w:t>
      </w:r>
      <w:r>
        <w:rPr>
          <w:rFonts w:hint="eastAsia"/>
          <w:b/>
          <w:bCs/>
          <w:sz w:val="32"/>
          <w:szCs w:val="32"/>
          <w:lang w:eastAsia="zh-TW"/>
        </w:rPr>
        <w:t xml:space="preserve"> Genes involved in glycolysis, immune</w:t>
      </w:r>
      <w:r w:rsidR="005E55C7">
        <w:rPr>
          <w:b/>
          <w:bCs/>
          <w:sz w:val="32"/>
          <w:szCs w:val="32"/>
          <w:lang w:eastAsia="zh-TW"/>
        </w:rPr>
        <w:t>,</w:t>
      </w:r>
      <w:r>
        <w:rPr>
          <w:rFonts w:hint="eastAsia"/>
          <w:b/>
          <w:bCs/>
          <w:sz w:val="32"/>
          <w:szCs w:val="32"/>
          <w:lang w:eastAsia="zh-TW"/>
        </w:rPr>
        <w:t xml:space="preserve"> and EMT are differentially expressed between GBM tissues and healthy tissues</w:t>
      </w:r>
    </w:p>
    <w:p w14:paraId="39658ABA" w14:textId="77777777" w:rsidR="00FE3002" w:rsidRDefault="00000000">
      <w:pPr>
        <w:spacing w:line="360" w:lineRule="auto"/>
        <w:ind w:firstLineChars="200" w:firstLine="640"/>
        <w:rPr>
          <w:rFonts w:eastAsia="新細明體"/>
          <w:sz w:val="32"/>
          <w:szCs w:val="32"/>
          <w:lang w:eastAsia="zh-TW"/>
        </w:rPr>
      </w:pPr>
      <w:r>
        <w:rPr>
          <w:rFonts w:eastAsia="新細明體" w:hint="eastAsia"/>
          <w:sz w:val="32"/>
          <w:szCs w:val="32"/>
          <w:lang w:eastAsia="zh-TW"/>
        </w:rPr>
        <w:t>(</w:t>
      </w:r>
      <w:r>
        <w:rPr>
          <w:rFonts w:eastAsia="新細明體" w:hint="eastAsia"/>
          <w:b/>
          <w:bCs/>
          <w:sz w:val="32"/>
          <w:szCs w:val="32"/>
          <w:lang w:eastAsia="zh-TW"/>
        </w:rPr>
        <w:t>A</w:t>
      </w:r>
      <w:r>
        <w:rPr>
          <w:rFonts w:eastAsia="新細明體" w:hint="eastAsia"/>
          <w:sz w:val="32"/>
          <w:szCs w:val="32"/>
          <w:lang w:eastAsia="zh-TW"/>
        </w:rPr>
        <w:t>)</w:t>
      </w:r>
      <w:r>
        <w:rPr>
          <w:rFonts w:hint="eastAsia"/>
          <w:sz w:val="32"/>
          <w:szCs w:val="32"/>
        </w:rPr>
        <w:t xml:space="preserve">These are heatmaps of </w:t>
      </w:r>
      <w:r>
        <w:rPr>
          <w:rFonts w:eastAsia="新細明體" w:hint="eastAsia"/>
          <w:sz w:val="32"/>
          <w:szCs w:val="32"/>
          <w:lang w:eastAsia="zh-TW"/>
        </w:rPr>
        <w:t>glycolysis</w:t>
      </w:r>
      <w:r>
        <w:rPr>
          <w:rFonts w:hint="eastAsia"/>
          <w:sz w:val="32"/>
          <w:szCs w:val="32"/>
        </w:rPr>
        <w:t>-related mRNAs that have differential expression</w:t>
      </w:r>
      <w:r>
        <w:rPr>
          <w:rFonts w:eastAsia="新細明體" w:hint="eastAsia"/>
          <w:sz w:val="32"/>
          <w:szCs w:val="32"/>
          <w:lang w:eastAsia="zh-TW"/>
        </w:rPr>
        <w:t>; (</w:t>
      </w:r>
      <w:r>
        <w:rPr>
          <w:rFonts w:eastAsia="新細明體" w:hint="eastAsia"/>
          <w:b/>
          <w:bCs/>
          <w:sz w:val="32"/>
          <w:szCs w:val="32"/>
          <w:lang w:eastAsia="zh-TW"/>
        </w:rPr>
        <w:t>B</w:t>
      </w:r>
      <w:r>
        <w:rPr>
          <w:rFonts w:eastAsia="新細明體" w:hint="eastAsia"/>
          <w:sz w:val="32"/>
          <w:szCs w:val="32"/>
          <w:lang w:eastAsia="zh-TW"/>
        </w:rPr>
        <w:t xml:space="preserve">) Variant screening of genes involved in glycolysis that are differently expressed in the TCGA cohort; </w:t>
      </w:r>
      <w:r>
        <w:rPr>
          <w:rFonts w:hint="eastAsia"/>
          <w:sz w:val="32"/>
          <w:szCs w:val="32"/>
        </w:rPr>
        <w:t>(</w:t>
      </w:r>
      <w:r>
        <w:rPr>
          <w:rFonts w:hint="eastAsia"/>
          <w:b/>
          <w:bCs/>
          <w:sz w:val="32"/>
          <w:szCs w:val="32"/>
          <w:lang w:eastAsia="zh-TW"/>
        </w:rPr>
        <w:t>C</w:t>
      </w:r>
      <w:r>
        <w:rPr>
          <w:rFonts w:hint="eastAsia"/>
          <w:sz w:val="32"/>
          <w:szCs w:val="32"/>
        </w:rPr>
        <w:t xml:space="preserve">) These are heatmaps of </w:t>
      </w:r>
      <w:r>
        <w:rPr>
          <w:rFonts w:eastAsia="新細明體" w:hint="eastAsia"/>
          <w:sz w:val="32"/>
          <w:szCs w:val="32"/>
          <w:lang w:eastAsia="zh-TW"/>
        </w:rPr>
        <w:t>immune</w:t>
      </w:r>
      <w:r>
        <w:rPr>
          <w:rFonts w:hint="eastAsia"/>
          <w:sz w:val="32"/>
          <w:szCs w:val="32"/>
        </w:rPr>
        <w:t>-related mRNAs that have differential expression</w:t>
      </w:r>
      <w:r>
        <w:rPr>
          <w:rFonts w:eastAsia="新細明體" w:hint="eastAsia"/>
          <w:sz w:val="32"/>
          <w:szCs w:val="32"/>
          <w:lang w:eastAsia="zh-TW"/>
        </w:rPr>
        <w:t>; (</w:t>
      </w:r>
      <w:r>
        <w:rPr>
          <w:rFonts w:eastAsia="新細明體" w:hint="eastAsia"/>
          <w:b/>
          <w:bCs/>
          <w:sz w:val="32"/>
          <w:szCs w:val="32"/>
          <w:lang w:eastAsia="zh-TW"/>
        </w:rPr>
        <w:t>D</w:t>
      </w:r>
      <w:r>
        <w:rPr>
          <w:rFonts w:eastAsia="新細明體" w:hint="eastAsia"/>
          <w:sz w:val="32"/>
          <w:szCs w:val="32"/>
          <w:lang w:eastAsia="zh-TW"/>
        </w:rPr>
        <w:t xml:space="preserve">) Variant screening of genes involved in immune that are differently expressed in the TCGA cohort; </w:t>
      </w:r>
      <w:r>
        <w:rPr>
          <w:rFonts w:hint="eastAsia"/>
          <w:sz w:val="32"/>
          <w:szCs w:val="32"/>
        </w:rPr>
        <w:t>(</w:t>
      </w:r>
      <w:r>
        <w:rPr>
          <w:rFonts w:hint="eastAsia"/>
          <w:b/>
          <w:bCs/>
          <w:sz w:val="32"/>
          <w:szCs w:val="32"/>
          <w:lang w:eastAsia="zh-TW"/>
        </w:rPr>
        <w:t>E</w:t>
      </w:r>
      <w:r>
        <w:rPr>
          <w:rFonts w:hint="eastAsia"/>
          <w:sz w:val="32"/>
          <w:szCs w:val="32"/>
        </w:rPr>
        <w:t xml:space="preserve">) These are heatmaps of </w:t>
      </w:r>
      <w:r>
        <w:rPr>
          <w:rFonts w:eastAsia="新細明體" w:hint="eastAsia"/>
          <w:sz w:val="32"/>
          <w:szCs w:val="32"/>
          <w:lang w:eastAsia="zh-TW"/>
        </w:rPr>
        <w:t>EMT</w:t>
      </w:r>
      <w:r>
        <w:rPr>
          <w:rFonts w:hint="eastAsia"/>
          <w:sz w:val="32"/>
          <w:szCs w:val="32"/>
        </w:rPr>
        <w:t>-related mRNAs that have differential expression</w:t>
      </w:r>
      <w:r>
        <w:rPr>
          <w:rFonts w:eastAsia="新細明體" w:hint="eastAsia"/>
          <w:sz w:val="32"/>
          <w:szCs w:val="32"/>
          <w:lang w:eastAsia="zh-TW"/>
        </w:rPr>
        <w:t>; (</w:t>
      </w:r>
      <w:r>
        <w:rPr>
          <w:rFonts w:eastAsia="新細明體" w:hint="eastAsia"/>
          <w:b/>
          <w:bCs/>
          <w:sz w:val="32"/>
          <w:szCs w:val="32"/>
          <w:lang w:eastAsia="zh-TW"/>
        </w:rPr>
        <w:t>F</w:t>
      </w:r>
      <w:r>
        <w:rPr>
          <w:rFonts w:eastAsia="新細明體" w:hint="eastAsia"/>
          <w:sz w:val="32"/>
          <w:szCs w:val="32"/>
          <w:lang w:eastAsia="zh-TW"/>
        </w:rPr>
        <w:t>) Variant screening of genes involved in EMT that are differently expressed in the TCGA cohort.</w:t>
      </w:r>
    </w:p>
    <w:p w14:paraId="0787E53B" w14:textId="5375A0B8" w:rsidR="00FE3002" w:rsidRDefault="00000000">
      <w:pPr>
        <w:spacing w:line="360" w:lineRule="auto"/>
        <w:rPr>
          <w:b/>
          <w:bCs/>
          <w:sz w:val="32"/>
          <w:szCs w:val="32"/>
        </w:rPr>
      </w:pPr>
      <w:r>
        <w:rPr>
          <w:rFonts w:hint="eastAsia"/>
          <w:b/>
          <w:bCs/>
          <w:sz w:val="32"/>
          <w:szCs w:val="32"/>
        </w:rPr>
        <w:t>Fig.S</w:t>
      </w:r>
      <w:r>
        <w:rPr>
          <w:rFonts w:eastAsia="新細明體" w:hint="eastAsia"/>
          <w:b/>
          <w:bCs/>
          <w:sz w:val="32"/>
          <w:szCs w:val="32"/>
          <w:lang w:eastAsia="zh-TW"/>
        </w:rPr>
        <w:t>2</w:t>
      </w:r>
      <w:r>
        <w:rPr>
          <w:rFonts w:hint="eastAsia"/>
          <w:b/>
          <w:bCs/>
          <w:sz w:val="32"/>
          <w:szCs w:val="32"/>
        </w:rPr>
        <w:t xml:space="preserve"> </w:t>
      </w:r>
      <w:r>
        <w:rPr>
          <w:b/>
          <w:bCs/>
          <w:sz w:val="32"/>
          <w:szCs w:val="32"/>
        </w:rPr>
        <w:t>DEGs form a PPI network in the tumor</w:t>
      </w:r>
    </w:p>
    <w:p w14:paraId="0371ABE1" w14:textId="283B39D2" w:rsidR="00FE3002" w:rsidRDefault="00000000">
      <w:pPr>
        <w:spacing w:line="360" w:lineRule="auto"/>
        <w:ind w:firstLineChars="200" w:firstLine="640"/>
        <w:rPr>
          <w:sz w:val="32"/>
          <w:szCs w:val="32"/>
        </w:rPr>
      </w:pPr>
      <w:r>
        <w:rPr>
          <w:sz w:val="32"/>
          <w:szCs w:val="32"/>
        </w:rPr>
        <w:t xml:space="preserve">Using an online program called String and GeneMANIA, we create a PPI network for the </w:t>
      </w:r>
      <w:r>
        <w:rPr>
          <w:rFonts w:hint="eastAsia"/>
          <w:sz w:val="32"/>
          <w:szCs w:val="32"/>
        </w:rPr>
        <w:t>g</w:t>
      </w:r>
      <w:r>
        <w:rPr>
          <w:sz w:val="32"/>
          <w:szCs w:val="32"/>
        </w:rPr>
        <w:t>lycolysis</w:t>
      </w:r>
      <w:r>
        <w:rPr>
          <w:rFonts w:hint="eastAsia"/>
          <w:sz w:val="32"/>
          <w:szCs w:val="32"/>
        </w:rPr>
        <w:t>-(</w:t>
      </w:r>
      <w:r>
        <w:rPr>
          <w:rFonts w:hint="eastAsia"/>
          <w:b/>
          <w:bCs/>
          <w:sz w:val="32"/>
          <w:szCs w:val="32"/>
        </w:rPr>
        <w:t>A</w:t>
      </w:r>
      <w:r>
        <w:rPr>
          <w:rFonts w:hint="eastAsia"/>
          <w:sz w:val="32"/>
          <w:szCs w:val="32"/>
        </w:rPr>
        <w:t xml:space="preserve">, </w:t>
      </w:r>
      <w:r>
        <w:rPr>
          <w:rFonts w:hint="eastAsia"/>
          <w:b/>
          <w:bCs/>
          <w:sz w:val="32"/>
          <w:szCs w:val="32"/>
        </w:rPr>
        <w:t>B</w:t>
      </w:r>
      <w:r>
        <w:rPr>
          <w:rFonts w:hint="eastAsia"/>
          <w:sz w:val="32"/>
          <w:szCs w:val="32"/>
        </w:rPr>
        <w:t>)</w:t>
      </w:r>
      <w:r>
        <w:rPr>
          <w:sz w:val="32"/>
          <w:szCs w:val="32"/>
        </w:rPr>
        <w:t>, Immunity</w:t>
      </w:r>
      <w:r>
        <w:rPr>
          <w:rFonts w:hint="eastAsia"/>
          <w:sz w:val="32"/>
          <w:szCs w:val="32"/>
        </w:rPr>
        <w:t>-(</w:t>
      </w:r>
      <w:r>
        <w:rPr>
          <w:rFonts w:hint="eastAsia"/>
          <w:b/>
          <w:bCs/>
          <w:sz w:val="32"/>
          <w:szCs w:val="32"/>
        </w:rPr>
        <w:t>C</w:t>
      </w:r>
      <w:r>
        <w:rPr>
          <w:rFonts w:hint="eastAsia"/>
          <w:sz w:val="32"/>
          <w:szCs w:val="32"/>
        </w:rPr>
        <w:t xml:space="preserve">, </w:t>
      </w:r>
      <w:r>
        <w:rPr>
          <w:rFonts w:hint="eastAsia"/>
          <w:b/>
          <w:bCs/>
          <w:sz w:val="32"/>
          <w:szCs w:val="32"/>
        </w:rPr>
        <w:t>D</w:t>
      </w:r>
      <w:r>
        <w:rPr>
          <w:rFonts w:hint="eastAsia"/>
          <w:sz w:val="32"/>
          <w:szCs w:val="32"/>
        </w:rPr>
        <w:t>)</w:t>
      </w:r>
      <w:r>
        <w:rPr>
          <w:sz w:val="32"/>
          <w:szCs w:val="32"/>
        </w:rPr>
        <w:t>, and EMT</w:t>
      </w:r>
      <w:r>
        <w:rPr>
          <w:rFonts w:hint="eastAsia"/>
          <w:sz w:val="32"/>
          <w:szCs w:val="32"/>
        </w:rPr>
        <w:t>-(</w:t>
      </w:r>
      <w:r>
        <w:rPr>
          <w:rFonts w:hint="eastAsia"/>
          <w:b/>
          <w:bCs/>
          <w:sz w:val="32"/>
          <w:szCs w:val="32"/>
        </w:rPr>
        <w:t>E</w:t>
      </w:r>
      <w:r>
        <w:rPr>
          <w:rFonts w:hint="eastAsia"/>
          <w:sz w:val="32"/>
          <w:szCs w:val="32"/>
        </w:rPr>
        <w:t xml:space="preserve">, </w:t>
      </w:r>
      <w:r>
        <w:rPr>
          <w:rFonts w:hint="eastAsia"/>
          <w:b/>
          <w:bCs/>
          <w:sz w:val="32"/>
          <w:szCs w:val="32"/>
        </w:rPr>
        <w:t>F</w:t>
      </w:r>
      <w:r>
        <w:rPr>
          <w:rFonts w:hint="eastAsia"/>
          <w:sz w:val="32"/>
          <w:szCs w:val="32"/>
        </w:rPr>
        <w:t>) related</w:t>
      </w:r>
      <w:r>
        <w:rPr>
          <w:sz w:val="32"/>
          <w:szCs w:val="32"/>
        </w:rPr>
        <w:t xml:space="preserve"> protein. This network was created </w:t>
      </w:r>
      <w:r w:rsidR="005E55C7">
        <w:rPr>
          <w:sz w:val="32"/>
          <w:szCs w:val="32"/>
        </w:rPr>
        <w:t>to</w:t>
      </w:r>
      <w:r>
        <w:rPr>
          <w:sz w:val="32"/>
          <w:szCs w:val="32"/>
        </w:rPr>
        <w:t xml:space="preserve"> investigate the several potential routes via which</w:t>
      </w:r>
      <w:r w:rsidR="005E55C7">
        <w:rPr>
          <w:sz w:val="32"/>
          <w:szCs w:val="32"/>
        </w:rPr>
        <w:t xml:space="preserve"> </w:t>
      </w:r>
      <w:r>
        <w:rPr>
          <w:rFonts w:hint="eastAsia"/>
          <w:sz w:val="32"/>
          <w:szCs w:val="32"/>
        </w:rPr>
        <w:t>g</w:t>
      </w:r>
      <w:r>
        <w:rPr>
          <w:sz w:val="32"/>
          <w:szCs w:val="32"/>
        </w:rPr>
        <w:t>lycolysis</w:t>
      </w:r>
      <w:r>
        <w:rPr>
          <w:rFonts w:hint="eastAsia"/>
          <w:sz w:val="32"/>
          <w:szCs w:val="32"/>
        </w:rPr>
        <w:t>-</w:t>
      </w:r>
      <w:r>
        <w:rPr>
          <w:sz w:val="32"/>
          <w:szCs w:val="32"/>
        </w:rPr>
        <w:t>, Immunity</w:t>
      </w:r>
      <w:r>
        <w:rPr>
          <w:rFonts w:hint="eastAsia"/>
          <w:sz w:val="32"/>
          <w:szCs w:val="32"/>
        </w:rPr>
        <w:t>-</w:t>
      </w:r>
      <w:r>
        <w:rPr>
          <w:sz w:val="32"/>
          <w:szCs w:val="32"/>
        </w:rPr>
        <w:t>, and EMT</w:t>
      </w:r>
      <w:r>
        <w:rPr>
          <w:rFonts w:hint="eastAsia"/>
          <w:sz w:val="32"/>
          <w:szCs w:val="32"/>
        </w:rPr>
        <w:t>-related</w:t>
      </w:r>
      <w:r>
        <w:rPr>
          <w:sz w:val="32"/>
          <w:szCs w:val="32"/>
        </w:rPr>
        <w:t xml:space="preserve"> protein may have played a part in </w:t>
      </w:r>
      <w:r w:rsidR="005E55C7">
        <w:rPr>
          <w:sz w:val="32"/>
          <w:szCs w:val="32"/>
        </w:rPr>
        <w:t>cancer progression</w:t>
      </w:r>
      <w:r>
        <w:rPr>
          <w:sz w:val="32"/>
          <w:szCs w:val="32"/>
        </w:rPr>
        <w:t>.</w:t>
      </w:r>
    </w:p>
    <w:p w14:paraId="3ADB86FE" w14:textId="77777777" w:rsidR="00FE3002" w:rsidRDefault="00000000">
      <w:pPr>
        <w:spacing w:line="360" w:lineRule="auto"/>
        <w:rPr>
          <w:b/>
          <w:bCs/>
          <w:sz w:val="32"/>
          <w:szCs w:val="32"/>
        </w:rPr>
      </w:pPr>
      <w:r>
        <w:rPr>
          <w:b/>
          <w:bCs/>
          <w:sz w:val="32"/>
          <w:szCs w:val="32"/>
        </w:rPr>
        <w:t xml:space="preserve">Fig.S3 Construction of a Predictive Risk Model for Use in </w:t>
      </w:r>
      <w:r>
        <w:rPr>
          <w:rFonts w:hint="eastAsia"/>
          <w:b/>
          <w:bCs/>
          <w:sz w:val="32"/>
          <w:szCs w:val="32"/>
        </w:rPr>
        <w:t>DSS</w:t>
      </w:r>
      <w:r>
        <w:rPr>
          <w:b/>
          <w:bCs/>
          <w:sz w:val="32"/>
          <w:szCs w:val="32"/>
        </w:rPr>
        <w:t xml:space="preserve"> Analysis</w:t>
      </w:r>
    </w:p>
    <w:p w14:paraId="12D69737" w14:textId="0325EAE2" w:rsidR="00FE3002" w:rsidRDefault="00000000">
      <w:pPr>
        <w:spacing w:line="360" w:lineRule="auto"/>
        <w:ind w:firstLineChars="200" w:firstLine="640"/>
        <w:rPr>
          <w:sz w:val="32"/>
          <w:szCs w:val="32"/>
        </w:rPr>
      </w:pPr>
      <w:r>
        <w:rPr>
          <w:sz w:val="32"/>
          <w:szCs w:val="32"/>
        </w:rPr>
        <w:lastRenderedPageBreak/>
        <w:t>(</w:t>
      </w:r>
      <w:r>
        <w:rPr>
          <w:b/>
          <w:bCs/>
          <w:sz w:val="32"/>
          <w:szCs w:val="32"/>
        </w:rPr>
        <w:t>A</w:t>
      </w:r>
      <w:r>
        <w:rPr>
          <w:sz w:val="32"/>
          <w:szCs w:val="32"/>
        </w:rPr>
        <w:t>) A univariate Cox regression analysis was carried out on the DEGs associated with glycolysis, immunology, and EMT. The level of statistical significance was determined to be P less than 0.05; (</w:t>
      </w:r>
      <w:r>
        <w:rPr>
          <w:b/>
          <w:bCs/>
          <w:sz w:val="32"/>
          <w:szCs w:val="32"/>
        </w:rPr>
        <w:t>B</w:t>
      </w:r>
      <w:r>
        <w:rPr>
          <w:sz w:val="32"/>
          <w:szCs w:val="32"/>
        </w:rPr>
        <w:t>) a multivariate Cox regression analysis was carried out on the genes retrieved from the univariate Cox regression analysis; (</w:t>
      </w:r>
      <w:r>
        <w:rPr>
          <w:b/>
          <w:bCs/>
          <w:sz w:val="32"/>
          <w:szCs w:val="32"/>
        </w:rPr>
        <w:t>C</w:t>
      </w:r>
      <w:r>
        <w:rPr>
          <w:sz w:val="32"/>
          <w:szCs w:val="32"/>
        </w:rPr>
        <w:t xml:space="preserve">) regression of the five </w:t>
      </w:r>
      <w:r>
        <w:rPr>
          <w:rFonts w:hint="eastAsia"/>
          <w:sz w:val="32"/>
          <w:szCs w:val="32"/>
        </w:rPr>
        <w:t>DSS</w:t>
      </w:r>
      <w:r>
        <w:rPr>
          <w:sz w:val="32"/>
          <w:szCs w:val="32"/>
        </w:rPr>
        <w:t>-related genes using LASSO; and (</w:t>
      </w:r>
      <w:r>
        <w:rPr>
          <w:b/>
          <w:bCs/>
          <w:sz w:val="32"/>
          <w:szCs w:val="32"/>
        </w:rPr>
        <w:t>D</w:t>
      </w:r>
      <w:r>
        <w:rPr>
          <w:sz w:val="32"/>
          <w:szCs w:val="32"/>
        </w:rPr>
        <w:t>) cross-validation was utilized to fine-tune the LASSO regression parameter selection.</w:t>
      </w:r>
    </w:p>
    <w:p w14:paraId="4D73E3C2" w14:textId="77777777" w:rsidR="00FE3002" w:rsidRDefault="00000000">
      <w:pPr>
        <w:spacing w:line="360" w:lineRule="auto"/>
        <w:rPr>
          <w:b/>
          <w:bCs/>
          <w:sz w:val="32"/>
          <w:szCs w:val="32"/>
          <w:lang w:eastAsia="zh-TW"/>
        </w:rPr>
      </w:pPr>
      <w:r>
        <w:rPr>
          <w:b/>
          <w:bCs/>
          <w:sz w:val="32"/>
          <w:szCs w:val="32"/>
          <w:lang w:eastAsia="zh-TW"/>
        </w:rPr>
        <w:t>Fig</w:t>
      </w:r>
      <w:r>
        <w:rPr>
          <w:rFonts w:hint="eastAsia"/>
          <w:b/>
          <w:bCs/>
          <w:sz w:val="32"/>
          <w:szCs w:val="32"/>
        </w:rPr>
        <w:t>.</w:t>
      </w:r>
      <w:r>
        <w:rPr>
          <w:b/>
          <w:bCs/>
          <w:sz w:val="32"/>
          <w:szCs w:val="32"/>
          <w:lang w:eastAsia="zh-TW"/>
        </w:rPr>
        <w:t>S</w:t>
      </w:r>
      <w:r>
        <w:rPr>
          <w:rFonts w:hint="eastAsia"/>
          <w:b/>
          <w:bCs/>
          <w:sz w:val="32"/>
          <w:szCs w:val="32"/>
        </w:rPr>
        <w:t>4</w:t>
      </w:r>
      <w:r>
        <w:rPr>
          <w:b/>
          <w:bCs/>
          <w:sz w:val="32"/>
          <w:szCs w:val="32"/>
          <w:lang w:eastAsia="zh-TW"/>
        </w:rPr>
        <w:t xml:space="preserve"> Developing a Risk Prediction Model for Use in </w:t>
      </w:r>
      <w:r>
        <w:rPr>
          <w:rFonts w:hint="eastAsia"/>
          <w:b/>
          <w:bCs/>
          <w:sz w:val="32"/>
          <w:szCs w:val="32"/>
        </w:rPr>
        <w:t>PFI</w:t>
      </w:r>
      <w:r>
        <w:rPr>
          <w:b/>
          <w:bCs/>
          <w:sz w:val="32"/>
          <w:szCs w:val="32"/>
          <w:lang w:eastAsia="zh-TW"/>
        </w:rPr>
        <w:t xml:space="preserve"> Evaluation</w:t>
      </w:r>
    </w:p>
    <w:p w14:paraId="71F56DF4" w14:textId="77777777" w:rsidR="00FE3002" w:rsidRDefault="00000000">
      <w:pPr>
        <w:spacing w:line="360" w:lineRule="auto"/>
        <w:ind w:firstLineChars="200" w:firstLine="640"/>
        <w:rPr>
          <w:rFonts w:eastAsia="新細明體"/>
          <w:sz w:val="32"/>
          <w:szCs w:val="32"/>
          <w:lang w:eastAsia="zh-TW"/>
        </w:rPr>
      </w:pPr>
      <w:r>
        <w:rPr>
          <w:rFonts w:eastAsia="SimSun" w:hint="eastAsia"/>
          <w:sz w:val="32"/>
          <w:szCs w:val="32"/>
        </w:rPr>
        <w:t>(</w:t>
      </w:r>
      <w:r>
        <w:rPr>
          <w:rFonts w:eastAsia="SimSun" w:hint="eastAsia"/>
          <w:b/>
          <w:bCs/>
          <w:sz w:val="32"/>
          <w:szCs w:val="32"/>
        </w:rPr>
        <w:t>A</w:t>
      </w:r>
      <w:r>
        <w:rPr>
          <w:rFonts w:eastAsia="SimSun" w:hint="eastAsia"/>
          <w:sz w:val="32"/>
          <w:szCs w:val="32"/>
        </w:rPr>
        <w:t>)</w:t>
      </w:r>
      <w:r>
        <w:rPr>
          <w:rFonts w:eastAsia="新細明體"/>
          <w:sz w:val="32"/>
          <w:szCs w:val="32"/>
          <w:lang w:eastAsia="zh-TW"/>
        </w:rPr>
        <w:t xml:space="preserve">A univariate Cox regression analysis was performed on the DEGs associated with </w:t>
      </w:r>
      <w:r>
        <w:rPr>
          <w:sz w:val="32"/>
          <w:szCs w:val="32"/>
          <w:lang w:eastAsia="zh-TW"/>
        </w:rPr>
        <w:t>glycolysis</w:t>
      </w:r>
      <w:r>
        <w:rPr>
          <w:rFonts w:eastAsia="新細明體"/>
          <w:sz w:val="32"/>
          <w:szCs w:val="32"/>
          <w:lang w:eastAsia="zh-TW"/>
        </w:rPr>
        <w:t xml:space="preserve">, immunity, and EMT. A threshold of statistical </w:t>
      </w:r>
      <w:r>
        <w:rPr>
          <w:sz w:val="32"/>
          <w:szCs w:val="32"/>
          <w:lang w:eastAsia="zh-TW"/>
        </w:rPr>
        <w:t xml:space="preserve">significance </w:t>
      </w:r>
      <w:r>
        <w:rPr>
          <w:rFonts w:eastAsia="新細明體"/>
          <w:sz w:val="32"/>
          <w:szCs w:val="32"/>
          <w:lang w:eastAsia="zh-TW"/>
        </w:rPr>
        <w:t>of P 0.05 was established; (</w:t>
      </w:r>
      <w:r>
        <w:rPr>
          <w:rFonts w:eastAsia="新細明體"/>
          <w:b/>
          <w:bCs/>
          <w:sz w:val="32"/>
          <w:szCs w:val="32"/>
          <w:lang w:eastAsia="zh-TW"/>
        </w:rPr>
        <w:t>B</w:t>
      </w:r>
      <w:r>
        <w:rPr>
          <w:rFonts w:eastAsia="新細明體"/>
          <w:sz w:val="32"/>
          <w:szCs w:val="32"/>
          <w:lang w:eastAsia="zh-TW"/>
        </w:rPr>
        <w:t>) the genes retrieved from the univariate Cox regression analysis were subjected to a multivariate Cox regression analysis; (</w:t>
      </w:r>
      <w:r>
        <w:rPr>
          <w:rFonts w:eastAsia="新細明體"/>
          <w:b/>
          <w:bCs/>
          <w:sz w:val="32"/>
          <w:szCs w:val="32"/>
          <w:lang w:eastAsia="zh-TW"/>
        </w:rPr>
        <w:t>C</w:t>
      </w:r>
      <w:r>
        <w:rPr>
          <w:rFonts w:eastAsia="新細明體"/>
          <w:sz w:val="32"/>
          <w:szCs w:val="32"/>
          <w:lang w:eastAsia="zh-TW"/>
        </w:rPr>
        <w:t xml:space="preserve">) LASSO regression was performed on the five </w:t>
      </w:r>
      <w:r>
        <w:rPr>
          <w:rFonts w:eastAsia="SimSun" w:hint="eastAsia"/>
          <w:sz w:val="32"/>
          <w:szCs w:val="32"/>
        </w:rPr>
        <w:t>PFI</w:t>
      </w:r>
      <w:r>
        <w:rPr>
          <w:rFonts w:eastAsia="新細明體"/>
          <w:sz w:val="32"/>
          <w:szCs w:val="32"/>
          <w:lang w:eastAsia="zh-TW"/>
        </w:rPr>
        <w:t>-related genes; and (</w:t>
      </w:r>
      <w:r>
        <w:rPr>
          <w:rFonts w:eastAsia="新細明體"/>
          <w:b/>
          <w:bCs/>
          <w:sz w:val="32"/>
          <w:szCs w:val="32"/>
          <w:lang w:eastAsia="zh-TW"/>
        </w:rPr>
        <w:t>D</w:t>
      </w:r>
      <w:r>
        <w:rPr>
          <w:rFonts w:eastAsia="新細明體"/>
          <w:sz w:val="32"/>
          <w:szCs w:val="32"/>
          <w:lang w:eastAsia="zh-TW"/>
        </w:rPr>
        <w:t>) cross-validation was used to fine-tune the LASSO regression parameter selection.</w:t>
      </w:r>
    </w:p>
    <w:p w14:paraId="6F8819BB" w14:textId="77777777" w:rsidR="00FE3002" w:rsidRDefault="00000000">
      <w:pPr>
        <w:spacing w:line="360" w:lineRule="auto"/>
        <w:rPr>
          <w:rFonts w:eastAsia="新細明體"/>
          <w:b/>
          <w:bCs/>
          <w:sz w:val="32"/>
          <w:szCs w:val="32"/>
          <w:lang w:eastAsia="zh-TW"/>
        </w:rPr>
      </w:pPr>
      <w:r>
        <w:rPr>
          <w:rFonts w:eastAsia="新細明體"/>
          <w:b/>
          <w:bCs/>
          <w:sz w:val="32"/>
          <w:szCs w:val="32"/>
          <w:lang w:eastAsia="zh-TW"/>
        </w:rPr>
        <w:t>Fig</w:t>
      </w:r>
      <w:r>
        <w:rPr>
          <w:rFonts w:eastAsia="SimSun" w:hint="eastAsia"/>
          <w:b/>
          <w:bCs/>
          <w:sz w:val="32"/>
          <w:szCs w:val="32"/>
        </w:rPr>
        <w:t>.S5</w:t>
      </w:r>
      <w:r>
        <w:rPr>
          <w:rFonts w:eastAsia="新細明體"/>
          <w:b/>
          <w:bCs/>
          <w:sz w:val="32"/>
          <w:szCs w:val="32"/>
          <w:lang w:eastAsia="zh-TW"/>
        </w:rPr>
        <w:t xml:space="preserve"> Constructing a risk model from the TCGA-GBM cohort </w:t>
      </w:r>
    </w:p>
    <w:p w14:paraId="535010F2" w14:textId="04308B4C" w:rsidR="00FE3002" w:rsidRDefault="00000000">
      <w:pPr>
        <w:spacing w:line="360" w:lineRule="auto"/>
        <w:ind w:firstLineChars="200" w:firstLine="640"/>
        <w:rPr>
          <w:rFonts w:eastAsia="新細明體"/>
          <w:sz w:val="32"/>
          <w:szCs w:val="32"/>
          <w:lang w:eastAsia="zh-TW"/>
        </w:rPr>
      </w:pPr>
      <w:r>
        <w:rPr>
          <w:rFonts w:eastAsia="新細明體"/>
          <w:sz w:val="32"/>
          <w:szCs w:val="32"/>
          <w:lang w:eastAsia="zh-TW"/>
        </w:rPr>
        <w:t xml:space="preserve">The median risk score </w:t>
      </w:r>
      <w:r w:rsidR="005E55C7" w:rsidRPr="005E55C7">
        <w:rPr>
          <w:rFonts w:eastAsia="新細明體"/>
          <w:sz w:val="32"/>
          <w:szCs w:val="32"/>
          <w:lang w:eastAsia="zh-TW"/>
        </w:rPr>
        <w:t>randomly divided the patients into two groups of similar sizes</w:t>
      </w:r>
      <w:r>
        <w:rPr>
          <w:rFonts w:eastAsia="SimSun" w:hint="eastAsia"/>
          <w:sz w:val="32"/>
          <w:szCs w:val="32"/>
        </w:rPr>
        <w:t xml:space="preserve">. </w:t>
      </w:r>
      <w:r>
        <w:rPr>
          <w:rFonts w:eastAsia="新細明體"/>
          <w:sz w:val="32"/>
          <w:szCs w:val="32"/>
          <w:lang w:eastAsia="zh-TW"/>
        </w:rPr>
        <w:t>(</w:t>
      </w:r>
      <w:r>
        <w:rPr>
          <w:rFonts w:eastAsia="新細明體"/>
          <w:b/>
          <w:bCs/>
          <w:sz w:val="32"/>
          <w:szCs w:val="32"/>
          <w:lang w:eastAsia="zh-TW"/>
        </w:rPr>
        <w:t>A</w:t>
      </w:r>
      <w:r>
        <w:rPr>
          <w:rFonts w:eastAsia="新細明體"/>
          <w:sz w:val="32"/>
          <w:szCs w:val="32"/>
          <w:lang w:eastAsia="zh-TW"/>
        </w:rPr>
        <w:t xml:space="preserve">) A heatmap depicting the expression of DEGs involved in glycolysis, immunology, and EMT; </w:t>
      </w:r>
      <w:r>
        <w:rPr>
          <w:rFonts w:eastAsia="SimSun" w:hint="eastAsia"/>
          <w:sz w:val="32"/>
          <w:szCs w:val="32"/>
        </w:rPr>
        <w:t>(</w:t>
      </w:r>
      <w:r>
        <w:rPr>
          <w:rFonts w:eastAsia="新細明體"/>
          <w:b/>
          <w:bCs/>
          <w:sz w:val="32"/>
          <w:szCs w:val="32"/>
          <w:lang w:eastAsia="zh-TW"/>
        </w:rPr>
        <w:t>B</w:t>
      </w:r>
      <w:r>
        <w:rPr>
          <w:rFonts w:eastAsia="SimSun" w:hint="eastAsia"/>
          <w:sz w:val="32"/>
          <w:szCs w:val="32"/>
        </w:rPr>
        <w:t>)</w:t>
      </w:r>
      <w:r>
        <w:rPr>
          <w:rFonts w:eastAsia="新細明體"/>
          <w:sz w:val="32"/>
          <w:szCs w:val="32"/>
          <w:lang w:eastAsia="zh-TW"/>
        </w:rPr>
        <w:t xml:space="preserve"> Kaplan-Meier survival curves displaying </w:t>
      </w:r>
      <w:r>
        <w:rPr>
          <w:rFonts w:eastAsia="SimSun" w:hint="eastAsia"/>
          <w:sz w:val="32"/>
          <w:szCs w:val="32"/>
        </w:rPr>
        <w:t>DSS</w:t>
      </w:r>
      <w:r>
        <w:rPr>
          <w:rFonts w:eastAsia="新細明體"/>
          <w:sz w:val="32"/>
          <w:szCs w:val="32"/>
          <w:lang w:eastAsia="zh-TW"/>
        </w:rPr>
        <w:t xml:space="preserve"> for people classified as high risk or low risk; and </w:t>
      </w:r>
      <w:r>
        <w:rPr>
          <w:rFonts w:eastAsia="SimSun" w:hint="eastAsia"/>
          <w:sz w:val="32"/>
          <w:szCs w:val="32"/>
        </w:rPr>
        <w:t>(</w:t>
      </w:r>
      <w:r>
        <w:rPr>
          <w:rFonts w:eastAsia="新細明體"/>
          <w:b/>
          <w:bCs/>
          <w:sz w:val="32"/>
          <w:szCs w:val="32"/>
          <w:lang w:eastAsia="zh-TW"/>
        </w:rPr>
        <w:t>C</w:t>
      </w:r>
      <w:r>
        <w:rPr>
          <w:rFonts w:eastAsia="SimSun" w:hint="eastAsia"/>
          <w:sz w:val="32"/>
          <w:szCs w:val="32"/>
        </w:rPr>
        <w:t>)</w:t>
      </w:r>
      <w:r>
        <w:rPr>
          <w:rFonts w:eastAsia="新細明體"/>
          <w:sz w:val="32"/>
          <w:szCs w:val="32"/>
          <w:lang w:eastAsia="zh-TW"/>
        </w:rPr>
        <w:t xml:space="preserve"> a receiver operating </w:t>
      </w:r>
      <w:r>
        <w:rPr>
          <w:rFonts w:eastAsia="新細明體"/>
          <w:sz w:val="32"/>
          <w:szCs w:val="32"/>
          <w:lang w:eastAsia="zh-TW"/>
        </w:rPr>
        <w:lastRenderedPageBreak/>
        <w:t xml:space="preserve">characteristic (ROC) curve used to evaluate the risk score's ability </w:t>
      </w:r>
      <w:r w:rsidR="005E55C7">
        <w:rPr>
          <w:rFonts w:eastAsia="新細明體"/>
          <w:sz w:val="32"/>
          <w:szCs w:val="32"/>
          <w:lang w:eastAsia="zh-TW"/>
        </w:rPr>
        <w:t>to predict future events accurately</w:t>
      </w:r>
      <w:r>
        <w:rPr>
          <w:rFonts w:eastAsia="新細明體"/>
          <w:sz w:val="32"/>
          <w:szCs w:val="32"/>
          <w:lang w:eastAsia="zh-TW"/>
        </w:rPr>
        <w:t>.</w:t>
      </w:r>
    </w:p>
    <w:p w14:paraId="41A6F10D" w14:textId="77777777" w:rsidR="00FE3002" w:rsidRDefault="00000000">
      <w:pPr>
        <w:spacing w:line="360" w:lineRule="auto"/>
        <w:rPr>
          <w:rFonts w:eastAsia="新細明體"/>
          <w:b/>
          <w:bCs/>
          <w:sz w:val="32"/>
          <w:szCs w:val="32"/>
          <w:lang w:eastAsia="zh-TW"/>
        </w:rPr>
      </w:pPr>
      <w:r>
        <w:rPr>
          <w:rFonts w:eastAsia="新細明體"/>
          <w:b/>
          <w:bCs/>
          <w:sz w:val="32"/>
          <w:szCs w:val="32"/>
          <w:lang w:eastAsia="zh-TW"/>
        </w:rPr>
        <w:t>Fig</w:t>
      </w:r>
      <w:r>
        <w:rPr>
          <w:rFonts w:eastAsia="新細明體" w:hint="eastAsia"/>
          <w:b/>
          <w:bCs/>
          <w:sz w:val="32"/>
          <w:szCs w:val="32"/>
        </w:rPr>
        <w:t>.S6</w:t>
      </w:r>
      <w:r>
        <w:rPr>
          <w:rFonts w:eastAsia="新細明體"/>
          <w:b/>
          <w:bCs/>
          <w:sz w:val="32"/>
          <w:szCs w:val="32"/>
          <w:lang w:eastAsia="zh-TW"/>
        </w:rPr>
        <w:t xml:space="preserve"> </w:t>
      </w:r>
      <w:r>
        <w:rPr>
          <w:rFonts w:eastAsia="新細明體" w:hint="eastAsia"/>
          <w:b/>
          <w:bCs/>
          <w:sz w:val="32"/>
          <w:szCs w:val="32"/>
        </w:rPr>
        <w:t>A</w:t>
      </w:r>
      <w:r>
        <w:rPr>
          <w:rFonts w:eastAsia="新細明體"/>
          <w:b/>
          <w:bCs/>
          <w:sz w:val="32"/>
          <w:szCs w:val="32"/>
          <w:lang w:eastAsia="zh-TW"/>
        </w:rPr>
        <w:t xml:space="preserve"> risk model </w:t>
      </w:r>
      <w:r>
        <w:rPr>
          <w:rFonts w:eastAsia="新細明體" w:hint="eastAsia"/>
          <w:b/>
          <w:bCs/>
          <w:sz w:val="32"/>
          <w:szCs w:val="32"/>
        </w:rPr>
        <w:t>demonstrated</w:t>
      </w:r>
      <w:r>
        <w:rPr>
          <w:rFonts w:eastAsia="新細明體"/>
          <w:b/>
          <w:bCs/>
          <w:sz w:val="32"/>
          <w:szCs w:val="32"/>
          <w:lang w:eastAsia="zh-TW"/>
        </w:rPr>
        <w:t xml:space="preserve"> information from the TCGA-GBM cohort</w:t>
      </w:r>
    </w:p>
    <w:p w14:paraId="3C7A5118" w14:textId="21A3A5EA" w:rsidR="00FE3002" w:rsidRDefault="00000000">
      <w:pPr>
        <w:spacing w:line="360" w:lineRule="auto"/>
        <w:ind w:firstLineChars="200" w:firstLine="640"/>
        <w:rPr>
          <w:rFonts w:eastAsia="新細明體"/>
          <w:sz w:val="32"/>
          <w:szCs w:val="32"/>
          <w:lang w:eastAsia="zh-TW"/>
        </w:rPr>
      </w:pPr>
      <w:r>
        <w:rPr>
          <w:rFonts w:eastAsia="新細明體"/>
          <w:sz w:val="32"/>
          <w:szCs w:val="32"/>
          <w:lang w:eastAsia="zh-TW"/>
        </w:rPr>
        <w:t xml:space="preserve"> The median risk score was used to randomly divide the patients into two groups of about the same size.</w:t>
      </w:r>
      <w:r>
        <w:rPr>
          <w:rFonts w:eastAsia="SimSun" w:hint="eastAsia"/>
          <w:sz w:val="32"/>
          <w:szCs w:val="32"/>
        </w:rPr>
        <w:t xml:space="preserve"> </w:t>
      </w:r>
      <w:r>
        <w:rPr>
          <w:rFonts w:eastAsia="新細明體"/>
          <w:sz w:val="32"/>
          <w:szCs w:val="32"/>
          <w:lang w:eastAsia="zh-TW"/>
        </w:rPr>
        <w:t>(</w:t>
      </w:r>
      <w:r>
        <w:rPr>
          <w:rFonts w:eastAsia="新細明體"/>
          <w:b/>
          <w:bCs/>
          <w:sz w:val="32"/>
          <w:szCs w:val="32"/>
          <w:lang w:eastAsia="zh-TW"/>
        </w:rPr>
        <w:t>A</w:t>
      </w:r>
      <w:r>
        <w:rPr>
          <w:rFonts w:eastAsia="新細明體"/>
          <w:sz w:val="32"/>
          <w:szCs w:val="32"/>
          <w:lang w:eastAsia="zh-TW"/>
        </w:rPr>
        <w:t xml:space="preserve">) A heatmap that shows how DEGs involved in glycolysis, immunology, and EMT are expressed; </w:t>
      </w:r>
      <w:r>
        <w:rPr>
          <w:rFonts w:eastAsia="SimSun" w:hint="eastAsia"/>
          <w:sz w:val="32"/>
          <w:szCs w:val="32"/>
        </w:rPr>
        <w:t>(</w:t>
      </w:r>
      <w:r>
        <w:rPr>
          <w:rFonts w:eastAsia="新細明體"/>
          <w:b/>
          <w:bCs/>
          <w:sz w:val="32"/>
          <w:szCs w:val="32"/>
          <w:lang w:eastAsia="zh-TW"/>
        </w:rPr>
        <w:t>B</w:t>
      </w:r>
      <w:r>
        <w:rPr>
          <w:rFonts w:eastAsia="SimSun" w:hint="eastAsia"/>
          <w:sz w:val="32"/>
          <w:szCs w:val="32"/>
        </w:rPr>
        <w:t>)</w:t>
      </w:r>
      <w:r>
        <w:rPr>
          <w:rFonts w:eastAsia="新細明體"/>
          <w:sz w:val="32"/>
          <w:szCs w:val="32"/>
          <w:lang w:eastAsia="zh-TW"/>
        </w:rPr>
        <w:t xml:space="preserve"> Kaplan-Meier survival curves that show the </w:t>
      </w:r>
      <w:r>
        <w:rPr>
          <w:rFonts w:eastAsia="SimSun" w:hint="eastAsia"/>
          <w:sz w:val="32"/>
          <w:szCs w:val="32"/>
        </w:rPr>
        <w:t>PFI</w:t>
      </w:r>
      <w:r>
        <w:rPr>
          <w:rFonts w:eastAsia="新細明體"/>
          <w:sz w:val="32"/>
          <w:szCs w:val="32"/>
          <w:lang w:eastAsia="zh-TW"/>
        </w:rPr>
        <w:t xml:space="preserve"> of people who are considered </w:t>
      </w:r>
      <w:r w:rsidR="005E55C7">
        <w:rPr>
          <w:rFonts w:eastAsia="新細明體"/>
          <w:sz w:val="32"/>
          <w:szCs w:val="32"/>
          <w:lang w:eastAsia="zh-TW"/>
        </w:rPr>
        <w:t>high</w:t>
      </w:r>
      <w:r w:rsidR="005E55C7">
        <w:rPr>
          <w:rFonts w:eastAsia="新細明體" w:hint="eastAsia"/>
          <w:sz w:val="32"/>
          <w:szCs w:val="32"/>
          <w:lang w:eastAsia="zh-TW"/>
        </w:rPr>
        <w:t>-</w:t>
      </w:r>
      <w:r w:rsidR="005E55C7">
        <w:rPr>
          <w:rFonts w:eastAsia="新細明體"/>
          <w:sz w:val="32"/>
          <w:szCs w:val="32"/>
          <w:lang w:eastAsia="zh-TW"/>
        </w:rPr>
        <w:t>risk</w:t>
      </w:r>
      <w:r>
        <w:rPr>
          <w:rFonts w:eastAsia="新細明體"/>
          <w:sz w:val="32"/>
          <w:szCs w:val="32"/>
          <w:lang w:eastAsia="zh-TW"/>
        </w:rPr>
        <w:t xml:space="preserve"> or </w:t>
      </w:r>
      <w:r w:rsidR="005E55C7">
        <w:rPr>
          <w:rFonts w:eastAsia="新細明體"/>
          <w:sz w:val="32"/>
          <w:szCs w:val="32"/>
          <w:lang w:eastAsia="zh-TW"/>
        </w:rPr>
        <w:t>low</w:t>
      </w:r>
      <w:r w:rsidR="005E55C7">
        <w:rPr>
          <w:rFonts w:eastAsia="新細明體" w:hint="eastAsia"/>
          <w:sz w:val="32"/>
          <w:szCs w:val="32"/>
          <w:lang w:eastAsia="zh-TW"/>
        </w:rPr>
        <w:t>-</w:t>
      </w:r>
      <w:r w:rsidR="005E55C7">
        <w:rPr>
          <w:rFonts w:eastAsia="新細明體"/>
          <w:sz w:val="32"/>
          <w:szCs w:val="32"/>
          <w:lang w:eastAsia="zh-TW"/>
        </w:rPr>
        <w:t>risk</w:t>
      </w:r>
      <w:r>
        <w:rPr>
          <w:rFonts w:eastAsia="新細明體"/>
          <w:sz w:val="32"/>
          <w:szCs w:val="32"/>
          <w:lang w:eastAsia="zh-TW"/>
        </w:rPr>
        <w:t xml:space="preserve">; and </w:t>
      </w:r>
      <w:r>
        <w:rPr>
          <w:rFonts w:eastAsia="SimSun" w:hint="eastAsia"/>
          <w:sz w:val="32"/>
          <w:szCs w:val="32"/>
        </w:rPr>
        <w:t>(</w:t>
      </w:r>
      <w:r>
        <w:rPr>
          <w:rFonts w:eastAsia="新細明體"/>
          <w:b/>
          <w:bCs/>
          <w:sz w:val="32"/>
          <w:szCs w:val="32"/>
          <w:lang w:eastAsia="zh-TW"/>
        </w:rPr>
        <w:t>C</w:t>
      </w:r>
      <w:r>
        <w:rPr>
          <w:rFonts w:eastAsia="SimSun" w:hint="eastAsia"/>
          <w:sz w:val="32"/>
          <w:szCs w:val="32"/>
        </w:rPr>
        <w:t>)</w:t>
      </w:r>
      <w:r>
        <w:rPr>
          <w:rFonts w:eastAsia="新細明體"/>
          <w:sz w:val="32"/>
          <w:szCs w:val="32"/>
          <w:lang w:eastAsia="zh-TW"/>
        </w:rPr>
        <w:t xml:space="preserve"> a ROC curve that is used to test how well the risk score can predict what will happen in the future.</w:t>
      </w:r>
    </w:p>
    <w:p w14:paraId="3B85E999" w14:textId="77777777" w:rsidR="00FE3002" w:rsidRDefault="00000000">
      <w:pPr>
        <w:spacing w:line="360" w:lineRule="auto"/>
        <w:rPr>
          <w:rFonts w:eastAsia="SimSun"/>
          <w:b/>
          <w:bCs/>
          <w:sz w:val="32"/>
          <w:szCs w:val="32"/>
        </w:rPr>
      </w:pPr>
      <w:r>
        <w:rPr>
          <w:rFonts w:eastAsia="SimSun" w:hint="eastAsia"/>
          <w:b/>
          <w:bCs/>
          <w:sz w:val="32"/>
          <w:szCs w:val="32"/>
        </w:rPr>
        <w:t xml:space="preserve">Fig.S7 Nomogram for estimating GBM patient survival </w:t>
      </w:r>
    </w:p>
    <w:p w14:paraId="1B5F714B" w14:textId="7DC4C26C" w:rsidR="00FE3002" w:rsidRDefault="00000000">
      <w:pPr>
        <w:spacing w:line="360" w:lineRule="auto"/>
        <w:ind w:firstLineChars="200" w:firstLine="640"/>
        <w:rPr>
          <w:rFonts w:eastAsia="SimSun"/>
          <w:sz w:val="32"/>
          <w:szCs w:val="32"/>
        </w:rPr>
      </w:pPr>
      <w:r>
        <w:rPr>
          <w:rFonts w:eastAsia="SimSun" w:hint="eastAsia"/>
          <w:sz w:val="32"/>
          <w:szCs w:val="32"/>
        </w:rPr>
        <w:t>(</w:t>
      </w:r>
      <w:r>
        <w:rPr>
          <w:rFonts w:eastAsia="SimSun" w:hint="eastAsia"/>
          <w:b/>
          <w:bCs/>
          <w:sz w:val="32"/>
          <w:szCs w:val="32"/>
        </w:rPr>
        <w:t>A</w:t>
      </w:r>
      <w:r>
        <w:rPr>
          <w:rFonts w:eastAsia="SimSun" w:hint="eastAsia"/>
          <w:sz w:val="32"/>
          <w:szCs w:val="32"/>
        </w:rPr>
        <w:t xml:space="preserve">)To that end, we </w:t>
      </w:r>
      <w:r>
        <w:rPr>
          <w:rFonts w:eastAsia="新細明體" w:hint="eastAsia"/>
          <w:sz w:val="32"/>
          <w:szCs w:val="32"/>
        </w:rPr>
        <w:t xml:space="preserve">provide </w:t>
      </w:r>
      <w:r>
        <w:rPr>
          <w:rFonts w:eastAsia="SimSun" w:hint="eastAsia"/>
          <w:sz w:val="32"/>
          <w:szCs w:val="32"/>
        </w:rPr>
        <w:t>a N</w:t>
      </w:r>
      <w:r>
        <w:rPr>
          <w:rFonts w:eastAsia="新細明體" w:hint="eastAsia"/>
          <w:sz w:val="32"/>
          <w:szCs w:val="32"/>
        </w:rPr>
        <w:t>o</w:t>
      </w:r>
      <w:r>
        <w:rPr>
          <w:rFonts w:eastAsia="SimSun" w:hint="eastAsia"/>
          <w:sz w:val="32"/>
          <w:szCs w:val="32"/>
        </w:rPr>
        <w:t>mogram that incorporates both the risk score and clinical data; (</w:t>
      </w:r>
      <w:r>
        <w:rPr>
          <w:rFonts w:eastAsia="SimSun" w:hint="eastAsia"/>
          <w:b/>
          <w:bCs/>
          <w:sz w:val="32"/>
          <w:szCs w:val="32"/>
        </w:rPr>
        <w:t>B</w:t>
      </w:r>
      <w:r>
        <w:rPr>
          <w:rFonts w:eastAsia="SimSun" w:hint="eastAsia"/>
          <w:sz w:val="32"/>
          <w:szCs w:val="32"/>
        </w:rPr>
        <w:t>)Estimates of the patient's DSS at 1, 2, and 3 years</w:t>
      </w:r>
      <w:r w:rsidR="005E55C7">
        <w:rPr>
          <w:rFonts w:eastAsia="SimSun"/>
          <w:sz w:val="32"/>
          <w:szCs w:val="32"/>
        </w:rPr>
        <w:t>; and</w:t>
      </w:r>
      <w:r>
        <w:rPr>
          <w:rFonts w:eastAsia="SimSun" w:hint="eastAsia"/>
          <w:sz w:val="32"/>
          <w:szCs w:val="32"/>
        </w:rPr>
        <w:t xml:space="preserve"> calibration plots. (</w:t>
      </w:r>
      <w:r>
        <w:rPr>
          <w:rFonts w:eastAsia="SimSun" w:hint="eastAsia"/>
          <w:b/>
          <w:bCs/>
          <w:sz w:val="32"/>
          <w:szCs w:val="32"/>
        </w:rPr>
        <w:t>C</w:t>
      </w:r>
      <w:r>
        <w:rPr>
          <w:rFonts w:eastAsia="SimSun" w:hint="eastAsia"/>
          <w:sz w:val="32"/>
          <w:szCs w:val="32"/>
        </w:rPr>
        <w:t>) The risk score and other parameters predict survival using the receiver operating characteristic curves (age and time).</w:t>
      </w:r>
    </w:p>
    <w:p w14:paraId="378A1480" w14:textId="77777777" w:rsidR="00FE3002" w:rsidRDefault="00000000">
      <w:pPr>
        <w:spacing w:line="360" w:lineRule="auto"/>
        <w:rPr>
          <w:rFonts w:eastAsia="SimSun"/>
          <w:b/>
          <w:bCs/>
          <w:sz w:val="32"/>
          <w:szCs w:val="32"/>
        </w:rPr>
      </w:pPr>
      <w:r>
        <w:rPr>
          <w:rFonts w:eastAsia="SimSun" w:hint="eastAsia"/>
          <w:b/>
          <w:bCs/>
          <w:sz w:val="32"/>
          <w:szCs w:val="32"/>
        </w:rPr>
        <w:t>Fig.S8 E</w:t>
      </w:r>
      <w:r>
        <w:rPr>
          <w:rFonts w:eastAsia="SimSun"/>
          <w:b/>
          <w:bCs/>
          <w:sz w:val="32"/>
          <w:szCs w:val="32"/>
        </w:rPr>
        <w:t xml:space="preserve">stimate </w:t>
      </w:r>
      <w:r>
        <w:rPr>
          <w:rFonts w:eastAsia="SimSun" w:hint="eastAsia"/>
          <w:b/>
          <w:bCs/>
          <w:sz w:val="32"/>
          <w:szCs w:val="32"/>
        </w:rPr>
        <w:t>GBM</w:t>
      </w:r>
      <w:r>
        <w:rPr>
          <w:rFonts w:eastAsia="SimSun"/>
          <w:b/>
          <w:bCs/>
          <w:sz w:val="32"/>
          <w:szCs w:val="32"/>
        </w:rPr>
        <w:t xml:space="preserve"> patient's chance of survival after </w:t>
      </w:r>
      <w:r>
        <w:rPr>
          <w:rFonts w:eastAsia="SimSun" w:hint="eastAsia"/>
          <w:b/>
          <w:bCs/>
          <w:sz w:val="32"/>
          <w:szCs w:val="32"/>
        </w:rPr>
        <w:t>treatment via</w:t>
      </w:r>
      <w:r>
        <w:rPr>
          <w:rFonts w:eastAsia="SimSun"/>
          <w:b/>
          <w:bCs/>
          <w:sz w:val="32"/>
          <w:szCs w:val="32"/>
        </w:rPr>
        <w:t xml:space="preserve"> a nomogram</w:t>
      </w:r>
    </w:p>
    <w:p w14:paraId="47414C90" w14:textId="56ED3C1F" w:rsidR="00FE3002" w:rsidRDefault="00000000">
      <w:pPr>
        <w:spacing w:line="360" w:lineRule="auto"/>
        <w:ind w:firstLineChars="200" w:firstLine="640"/>
        <w:rPr>
          <w:rFonts w:eastAsia="SimSun"/>
          <w:sz w:val="32"/>
          <w:szCs w:val="32"/>
        </w:rPr>
      </w:pPr>
      <w:r>
        <w:rPr>
          <w:rFonts w:eastAsia="SimSun"/>
          <w:sz w:val="32"/>
          <w:szCs w:val="32"/>
        </w:rPr>
        <w:t>(</w:t>
      </w:r>
      <w:r>
        <w:rPr>
          <w:rFonts w:eastAsia="SimSun"/>
          <w:b/>
          <w:bCs/>
          <w:sz w:val="32"/>
          <w:szCs w:val="32"/>
        </w:rPr>
        <w:t>A</w:t>
      </w:r>
      <w:r>
        <w:rPr>
          <w:rFonts w:eastAsia="SimSun"/>
          <w:sz w:val="32"/>
          <w:szCs w:val="32"/>
        </w:rPr>
        <w:t xml:space="preserve">) A nomogram that incorporates both clinical and </w:t>
      </w:r>
      <w:r w:rsidR="005E55C7">
        <w:rPr>
          <w:rFonts w:eastAsia="SimSun"/>
          <w:sz w:val="32"/>
          <w:szCs w:val="32"/>
        </w:rPr>
        <w:t>risks</w:t>
      </w:r>
      <w:r>
        <w:rPr>
          <w:rFonts w:eastAsia="SimSun"/>
          <w:sz w:val="32"/>
          <w:szCs w:val="32"/>
        </w:rPr>
        <w:t xml:space="preserve"> score information; (</w:t>
      </w:r>
      <w:r>
        <w:rPr>
          <w:rFonts w:eastAsia="SimSun"/>
          <w:b/>
          <w:bCs/>
          <w:sz w:val="32"/>
          <w:szCs w:val="32"/>
        </w:rPr>
        <w:t>B</w:t>
      </w:r>
      <w:r>
        <w:rPr>
          <w:rFonts w:eastAsia="SimSun"/>
          <w:sz w:val="32"/>
          <w:szCs w:val="32"/>
        </w:rPr>
        <w:t xml:space="preserve">) Calibration plots for estimating one-, two-, and three-year </w:t>
      </w:r>
      <w:r>
        <w:rPr>
          <w:rFonts w:eastAsia="SimSun" w:hint="eastAsia"/>
          <w:sz w:val="32"/>
          <w:szCs w:val="32"/>
        </w:rPr>
        <w:t>PFI</w:t>
      </w:r>
      <w:r>
        <w:rPr>
          <w:rFonts w:eastAsia="SimSun"/>
          <w:sz w:val="32"/>
          <w:szCs w:val="32"/>
        </w:rPr>
        <w:t>; (</w:t>
      </w:r>
      <w:r>
        <w:rPr>
          <w:rFonts w:eastAsia="SimSun"/>
          <w:b/>
          <w:bCs/>
          <w:sz w:val="32"/>
          <w:szCs w:val="32"/>
        </w:rPr>
        <w:t>C</w:t>
      </w:r>
      <w:r>
        <w:rPr>
          <w:rFonts w:eastAsia="SimSun"/>
          <w:sz w:val="32"/>
          <w:szCs w:val="32"/>
        </w:rPr>
        <w:t>) receiver operating characteristic curves for predicting survival using the risk score and other variables (age and time)</w:t>
      </w:r>
      <w:r>
        <w:rPr>
          <w:rFonts w:eastAsia="SimSun" w:hint="eastAsia"/>
          <w:sz w:val="32"/>
          <w:szCs w:val="32"/>
        </w:rPr>
        <w:t>.</w:t>
      </w:r>
    </w:p>
    <w:p w14:paraId="2F2316E4" w14:textId="77777777" w:rsidR="00FE3002" w:rsidRDefault="00000000">
      <w:pPr>
        <w:spacing w:line="360" w:lineRule="auto"/>
        <w:rPr>
          <w:rFonts w:eastAsia="SimSun"/>
          <w:b/>
          <w:bCs/>
          <w:sz w:val="32"/>
          <w:szCs w:val="32"/>
        </w:rPr>
      </w:pPr>
      <w:r>
        <w:rPr>
          <w:rFonts w:eastAsia="SimSun"/>
          <w:b/>
          <w:bCs/>
          <w:sz w:val="32"/>
          <w:szCs w:val="32"/>
        </w:rPr>
        <w:lastRenderedPageBreak/>
        <w:t>Fig</w:t>
      </w:r>
      <w:r>
        <w:rPr>
          <w:rFonts w:eastAsia="SimSun" w:hint="eastAsia"/>
          <w:b/>
          <w:bCs/>
          <w:sz w:val="32"/>
          <w:szCs w:val="32"/>
        </w:rPr>
        <w:t>.S9</w:t>
      </w:r>
      <w:r>
        <w:rPr>
          <w:rFonts w:eastAsia="SimSun"/>
          <w:b/>
          <w:bCs/>
          <w:sz w:val="32"/>
          <w:szCs w:val="32"/>
        </w:rPr>
        <w:t xml:space="preserve"> </w:t>
      </w:r>
      <w:r>
        <w:rPr>
          <w:rFonts w:eastAsia="SimSun" w:hint="eastAsia"/>
          <w:b/>
          <w:bCs/>
          <w:sz w:val="32"/>
          <w:szCs w:val="32"/>
        </w:rPr>
        <w:t>The</w:t>
      </w:r>
      <w:r>
        <w:rPr>
          <w:rFonts w:eastAsia="SimSun"/>
          <w:b/>
          <w:bCs/>
          <w:sz w:val="32"/>
          <w:szCs w:val="32"/>
        </w:rPr>
        <w:t xml:space="preserve"> analysis performed on the RNA-seq data collected from both TCGA and GTEx</w:t>
      </w:r>
    </w:p>
    <w:p w14:paraId="7031F5DA" w14:textId="446B90CF" w:rsidR="00FE3002" w:rsidRDefault="00000000">
      <w:pPr>
        <w:spacing w:line="360" w:lineRule="auto"/>
        <w:ind w:firstLineChars="200" w:firstLine="640"/>
        <w:rPr>
          <w:rFonts w:eastAsia="SimSun"/>
          <w:sz w:val="32"/>
          <w:szCs w:val="32"/>
        </w:rPr>
      </w:pPr>
      <w:r>
        <w:rPr>
          <w:rFonts w:eastAsia="SimSun"/>
          <w:sz w:val="32"/>
          <w:szCs w:val="32"/>
        </w:rPr>
        <w:t>Differential gene expression</w:t>
      </w:r>
      <w:r>
        <w:rPr>
          <w:rFonts w:eastAsia="SimSun" w:hint="eastAsia"/>
          <w:sz w:val="32"/>
          <w:szCs w:val="32"/>
        </w:rPr>
        <w:t xml:space="preserve"> of </w:t>
      </w:r>
      <w:r w:rsidR="005E55C7">
        <w:rPr>
          <w:rFonts w:eastAsia="SimSun"/>
          <w:sz w:val="32"/>
          <w:szCs w:val="32"/>
        </w:rPr>
        <w:t>DSS</w:t>
      </w:r>
      <w:r w:rsidR="005E55C7">
        <w:rPr>
          <w:rFonts w:ascii="新細明體" w:eastAsia="新細明體" w:hAnsi="新細明體" w:hint="eastAsia"/>
          <w:sz w:val="32"/>
          <w:szCs w:val="32"/>
          <w:lang w:eastAsia="zh-TW"/>
        </w:rPr>
        <w:t>-</w:t>
      </w:r>
      <w:r w:rsidR="005E55C7">
        <w:rPr>
          <w:rFonts w:eastAsia="SimSun"/>
          <w:sz w:val="32"/>
          <w:szCs w:val="32"/>
        </w:rPr>
        <w:t>related</w:t>
      </w:r>
      <w:r>
        <w:rPr>
          <w:rFonts w:eastAsia="SimSun" w:hint="eastAsia"/>
          <w:sz w:val="32"/>
          <w:szCs w:val="32"/>
        </w:rPr>
        <w:t xml:space="preserve"> genes</w:t>
      </w:r>
      <w:r>
        <w:rPr>
          <w:rFonts w:eastAsia="SimSun"/>
          <w:sz w:val="32"/>
          <w:szCs w:val="32"/>
        </w:rPr>
        <w:t xml:space="preserve"> was identified, and the results are shown as a heatmap and a boxplot, respectively. These genes participate in the EMT process, as well as immunology and glycolysis.</w:t>
      </w:r>
    </w:p>
    <w:p w14:paraId="47B1A1E8" w14:textId="77777777" w:rsidR="00FE3002" w:rsidRDefault="00000000">
      <w:pPr>
        <w:spacing w:line="360" w:lineRule="auto"/>
        <w:rPr>
          <w:rFonts w:eastAsia="SimSun"/>
          <w:b/>
          <w:bCs/>
          <w:sz w:val="32"/>
          <w:szCs w:val="32"/>
        </w:rPr>
      </w:pPr>
      <w:r>
        <w:rPr>
          <w:rFonts w:eastAsia="SimSun" w:hint="eastAsia"/>
          <w:b/>
          <w:bCs/>
          <w:sz w:val="32"/>
          <w:szCs w:val="32"/>
        </w:rPr>
        <w:t xml:space="preserve">Fig.S10 </w:t>
      </w:r>
      <w:r>
        <w:rPr>
          <w:rFonts w:eastAsia="SimSun"/>
          <w:b/>
          <w:bCs/>
          <w:sz w:val="32"/>
          <w:szCs w:val="32"/>
        </w:rPr>
        <w:t xml:space="preserve">The </w:t>
      </w:r>
      <w:r>
        <w:rPr>
          <w:rFonts w:eastAsia="SimSun" w:hint="eastAsia"/>
          <w:b/>
          <w:bCs/>
          <w:sz w:val="32"/>
          <w:szCs w:val="32"/>
        </w:rPr>
        <w:t>outcomes</w:t>
      </w:r>
      <w:r>
        <w:rPr>
          <w:rFonts w:eastAsia="SimSun"/>
          <w:b/>
          <w:bCs/>
          <w:sz w:val="32"/>
          <w:szCs w:val="32"/>
        </w:rPr>
        <w:t xml:space="preserve"> of RNA-seq data from TCGA and GTEx</w:t>
      </w:r>
    </w:p>
    <w:p w14:paraId="049D28E9" w14:textId="0DEA62BA" w:rsidR="00FE3002" w:rsidRDefault="00000000">
      <w:pPr>
        <w:spacing w:line="360" w:lineRule="auto"/>
        <w:ind w:firstLineChars="200" w:firstLine="640"/>
        <w:rPr>
          <w:rFonts w:eastAsia="SimSun"/>
          <w:sz w:val="32"/>
          <w:szCs w:val="32"/>
        </w:rPr>
      </w:pPr>
      <w:r>
        <w:rPr>
          <w:rFonts w:eastAsia="SimSun"/>
          <w:sz w:val="32"/>
          <w:szCs w:val="32"/>
        </w:rPr>
        <w:t>A heatmap and a boxplot</w:t>
      </w:r>
      <w:r>
        <w:rPr>
          <w:rFonts w:eastAsia="SimSun" w:hint="eastAsia"/>
          <w:sz w:val="32"/>
          <w:szCs w:val="32"/>
        </w:rPr>
        <w:t xml:space="preserve"> of </w:t>
      </w:r>
      <w:r w:rsidR="005E55C7">
        <w:rPr>
          <w:rFonts w:eastAsia="SimSun"/>
          <w:sz w:val="32"/>
          <w:szCs w:val="32"/>
        </w:rPr>
        <w:t>PFI</w:t>
      </w:r>
      <w:r w:rsidR="005E55C7">
        <w:rPr>
          <w:rFonts w:ascii="新細明體" w:eastAsia="新細明體" w:hAnsi="新細明體" w:hint="eastAsia"/>
          <w:sz w:val="32"/>
          <w:szCs w:val="32"/>
          <w:lang w:eastAsia="zh-TW"/>
        </w:rPr>
        <w:t>-</w:t>
      </w:r>
      <w:r w:rsidR="005E55C7">
        <w:rPr>
          <w:rFonts w:eastAsia="SimSun"/>
          <w:sz w:val="32"/>
          <w:szCs w:val="32"/>
        </w:rPr>
        <w:t>related</w:t>
      </w:r>
      <w:r>
        <w:rPr>
          <w:rFonts w:eastAsia="SimSun" w:hint="eastAsia"/>
          <w:sz w:val="32"/>
          <w:szCs w:val="32"/>
        </w:rPr>
        <w:t xml:space="preserve"> genes</w:t>
      </w:r>
      <w:r>
        <w:rPr>
          <w:rFonts w:eastAsia="SimSun"/>
          <w:sz w:val="32"/>
          <w:szCs w:val="32"/>
        </w:rPr>
        <w:t xml:space="preserve"> </w:t>
      </w:r>
      <w:r w:rsidR="005E55C7" w:rsidRPr="005E55C7">
        <w:rPr>
          <w:rFonts w:eastAsia="SimSun"/>
          <w:sz w:val="32"/>
          <w:szCs w:val="32"/>
        </w:rPr>
        <w:t>display the expression profiles of the genes found to have distinct gene expression profiles</w:t>
      </w:r>
      <w:r>
        <w:rPr>
          <w:rFonts w:eastAsia="SimSun"/>
          <w:sz w:val="32"/>
          <w:szCs w:val="32"/>
        </w:rPr>
        <w:t>. These genes function in glycolysis</w:t>
      </w:r>
      <w:r w:rsidR="005E55C7">
        <w:rPr>
          <w:rFonts w:eastAsia="SimSun"/>
          <w:sz w:val="32"/>
          <w:szCs w:val="32"/>
        </w:rPr>
        <w:t>, the immune system,</w:t>
      </w:r>
      <w:r>
        <w:rPr>
          <w:rFonts w:eastAsia="SimSun"/>
          <w:sz w:val="32"/>
          <w:szCs w:val="32"/>
        </w:rPr>
        <w:t xml:space="preserve"> and the EMT process.</w:t>
      </w:r>
    </w:p>
    <w:p w14:paraId="1C372E24" w14:textId="77777777" w:rsidR="00FE3002" w:rsidRDefault="00000000">
      <w:pPr>
        <w:spacing w:line="360" w:lineRule="auto"/>
        <w:rPr>
          <w:rFonts w:eastAsia="SimSun"/>
          <w:b/>
          <w:bCs/>
          <w:sz w:val="32"/>
          <w:szCs w:val="32"/>
        </w:rPr>
      </w:pPr>
      <w:r>
        <w:rPr>
          <w:rFonts w:eastAsia="SimSun"/>
          <w:b/>
          <w:bCs/>
          <w:sz w:val="32"/>
          <w:szCs w:val="32"/>
          <w:lang w:eastAsia="zh-TW"/>
        </w:rPr>
        <w:t>Fig.</w:t>
      </w:r>
      <w:r>
        <w:rPr>
          <w:rFonts w:eastAsia="SimSun" w:hint="eastAsia"/>
          <w:b/>
          <w:bCs/>
          <w:sz w:val="32"/>
          <w:szCs w:val="32"/>
        </w:rPr>
        <w:t>S11</w:t>
      </w:r>
      <w:r>
        <w:rPr>
          <w:rFonts w:eastAsia="SimSun"/>
          <w:b/>
          <w:bCs/>
          <w:sz w:val="32"/>
          <w:szCs w:val="32"/>
          <w:lang w:eastAsia="zh-TW"/>
        </w:rPr>
        <w:t xml:space="preserve"> </w:t>
      </w:r>
      <w:r>
        <w:rPr>
          <w:rFonts w:eastAsia="SimSun" w:hint="eastAsia"/>
          <w:b/>
          <w:bCs/>
          <w:sz w:val="32"/>
          <w:szCs w:val="32"/>
        </w:rPr>
        <w:t>The</w:t>
      </w:r>
      <w:r>
        <w:rPr>
          <w:rFonts w:eastAsia="SimSun"/>
          <w:b/>
          <w:bCs/>
          <w:sz w:val="32"/>
          <w:szCs w:val="32"/>
          <w:lang w:eastAsia="zh-TW"/>
        </w:rPr>
        <w:t xml:space="preserve"> functional study of DEGs linked to </w:t>
      </w:r>
      <w:r>
        <w:rPr>
          <w:rFonts w:eastAsia="SimSun" w:hint="eastAsia"/>
          <w:b/>
          <w:bCs/>
          <w:sz w:val="32"/>
          <w:szCs w:val="32"/>
        </w:rPr>
        <w:t>DSS</w:t>
      </w:r>
    </w:p>
    <w:p w14:paraId="0BF1D719" w14:textId="35769874" w:rsidR="00FE3002" w:rsidRDefault="00000000">
      <w:pPr>
        <w:spacing w:line="360" w:lineRule="auto"/>
        <w:ind w:firstLineChars="200" w:firstLine="640"/>
        <w:rPr>
          <w:rFonts w:eastAsia="SimSun"/>
          <w:sz w:val="32"/>
          <w:szCs w:val="32"/>
        </w:rPr>
      </w:pPr>
      <w:r>
        <w:rPr>
          <w:rFonts w:eastAsia="SimSun" w:hint="eastAsia"/>
          <w:sz w:val="32"/>
          <w:szCs w:val="32"/>
        </w:rPr>
        <w:t>(</w:t>
      </w:r>
      <w:r>
        <w:rPr>
          <w:rFonts w:eastAsia="SimSun" w:hint="eastAsia"/>
          <w:b/>
          <w:bCs/>
          <w:sz w:val="32"/>
          <w:szCs w:val="32"/>
        </w:rPr>
        <w:t>A</w:t>
      </w:r>
      <w:r>
        <w:rPr>
          <w:rFonts w:eastAsia="SimSun" w:hint="eastAsia"/>
          <w:sz w:val="32"/>
          <w:szCs w:val="32"/>
        </w:rPr>
        <w:t>)</w:t>
      </w:r>
      <w:r>
        <w:rPr>
          <w:rFonts w:eastAsia="新細明體"/>
          <w:sz w:val="32"/>
          <w:szCs w:val="32"/>
          <w:lang w:eastAsia="zh-TW"/>
        </w:rPr>
        <w:t xml:space="preserve">A mutational analysis of TCGA cohort DEGs involved in glycolysis, immunity, and EMT; </w:t>
      </w:r>
      <w:r>
        <w:rPr>
          <w:rFonts w:eastAsia="SimSun" w:hint="eastAsia"/>
          <w:sz w:val="32"/>
          <w:szCs w:val="32"/>
        </w:rPr>
        <w:t>(</w:t>
      </w:r>
      <w:r>
        <w:rPr>
          <w:rFonts w:eastAsia="新細明體"/>
          <w:b/>
          <w:bCs/>
          <w:sz w:val="32"/>
          <w:szCs w:val="32"/>
          <w:lang w:eastAsia="zh-TW"/>
        </w:rPr>
        <w:t>B</w:t>
      </w:r>
      <w:r>
        <w:rPr>
          <w:rFonts w:eastAsia="SimSun" w:hint="eastAsia"/>
          <w:sz w:val="32"/>
          <w:szCs w:val="32"/>
        </w:rPr>
        <w:t>)</w:t>
      </w:r>
      <w:r>
        <w:rPr>
          <w:rFonts w:eastAsia="新細明體"/>
          <w:sz w:val="32"/>
          <w:szCs w:val="32"/>
          <w:lang w:eastAsia="zh-TW"/>
        </w:rPr>
        <w:t xml:space="preserve"> A protein-protein interaction (PPI) network demonstrating the interaction of these DEGs (interaction score = 0.4); </w:t>
      </w:r>
      <w:r>
        <w:rPr>
          <w:rFonts w:eastAsia="SimSun" w:hint="eastAsia"/>
          <w:sz w:val="32"/>
          <w:szCs w:val="32"/>
        </w:rPr>
        <w:t>(</w:t>
      </w:r>
      <w:r>
        <w:rPr>
          <w:rFonts w:eastAsia="新細明體"/>
          <w:b/>
          <w:bCs/>
          <w:sz w:val="32"/>
          <w:szCs w:val="32"/>
          <w:lang w:eastAsia="zh-TW"/>
        </w:rPr>
        <w:t>C</w:t>
      </w:r>
      <w:r>
        <w:rPr>
          <w:rFonts w:eastAsia="SimSun" w:hint="eastAsia"/>
          <w:sz w:val="32"/>
          <w:szCs w:val="32"/>
        </w:rPr>
        <w:t>)</w:t>
      </w:r>
      <w:r>
        <w:rPr>
          <w:rFonts w:eastAsia="新細明體"/>
          <w:sz w:val="32"/>
          <w:szCs w:val="32"/>
          <w:lang w:eastAsia="zh-TW"/>
        </w:rPr>
        <w:t xml:space="preserve"> A plot depicting this network, which was created to investigate potential pathways through which these DEGs contributed to the progression of cancer; </w:t>
      </w:r>
      <w:r>
        <w:rPr>
          <w:rFonts w:eastAsia="SimSun" w:hint="eastAsia"/>
          <w:sz w:val="32"/>
          <w:szCs w:val="32"/>
        </w:rPr>
        <w:t>(</w:t>
      </w:r>
      <w:r>
        <w:rPr>
          <w:rFonts w:eastAsia="SimSun" w:hint="eastAsia"/>
          <w:b/>
          <w:bCs/>
          <w:sz w:val="32"/>
          <w:szCs w:val="32"/>
        </w:rPr>
        <w:t>D</w:t>
      </w:r>
      <w:r>
        <w:rPr>
          <w:rFonts w:eastAsia="SimSun" w:hint="eastAsia"/>
          <w:sz w:val="32"/>
          <w:szCs w:val="32"/>
        </w:rPr>
        <w:t xml:space="preserve">) A bubble diagram depicting GO enrichment (a </w:t>
      </w:r>
      <w:r w:rsidR="005E55C7">
        <w:rPr>
          <w:rFonts w:eastAsia="SimSun"/>
          <w:sz w:val="32"/>
          <w:szCs w:val="32"/>
        </w:rPr>
        <w:t>giant</w:t>
      </w:r>
      <w:r>
        <w:rPr>
          <w:rFonts w:eastAsia="SimSun" w:hint="eastAsia"/>
          <w:sz w:val="32"/>
          <w:szCs w:val="32"/>
        </w:rPr>
        <w:t xml:space="preserve"> bubble indicates a </w:t>
      </w:r>
      <w:r w:rsidR="005E55C7">
        <w:rPr>
          <w:rFonts w:eastAsia="SimSun"/>
          <w:sz w:val="32"/>
          <w:szCs w:val="32"/>
        </w:rPr>
        <w:t>more significant</w:t>
      </w:r>
      <w:r>
        <w:rPr>
          <w:rFonts w:eastAsia="SimSun" w:hint="eastAsia"/>
          <w:sz w:val="32"/>
          <w:szCs w:val="32"/>
        </w:rPr>
        <w:t xml:space="preserve"> number of enriched genes; a darker color indicates that the differences are more pronounced; q-value: the adjusted p-value); (</w:t>
      </w:r>
      <w:r>
        <w:rPr>
          <w:rFonts w:eastAsia="SimSun" w:hint="eastAsia"/>
          <w:b/>
          <w:bCs/>
          <w:sz w:val="32"/>
          <w:szCs w:val="32"/>
        </w:rPr>
        <w:t>E</w:t>
      </w:r>
      <w:r>
        <w:rPr>
          <w:rFonts w:eastAsia="SimSun" w:hint="eastAsia"/>
          <w:sz w:val="32"/>
          <w:szCs w:val="32"/>
        </w:rPr>
        <w:t>) a review of KEGG enrichment for glycolysis-, immunology-, and EMT-related DEGs.</w:t>
      </w:r>
    </w:p>
    <w:p w14:paraId="57D5A083" w14:textId="77777777" w:rsidR="00FE3002" w:rsidRDefault="00000000">
      <w:pPr>
        <w:spacing w:line="360" w:lineRule="auto"/>
        <w:rPr>
          <w:rFonts w:eastAsia="SimSun"/>
          <w:b/>
          <w:bCs/>
          <w:sz w:val="32"/>
          <w:szCs w:val="32"/>
        </w:rPr>
      </w:pPr>
      <w:r>
        <w:rPr>
          <w:rFonts w:eastAsia="SimSun" w:hint="eastAsia"/>
          <w:b/>
          <w:bCs/>
          <w:sz w:val="32"/>
          <w:szCs w:val="32"/>
        </w:rPr>
        <w:t>Fig.S12 Functional analysis of DEGs associated with PFI</w:t>
      </w:r>
    </w:p>
    <w:p w14:paraId="397BB7E7" w14:textId="181A2B6D" w:rsidR="00FE3002" w:rsidRDefault="00000000">
      <w:pPr>
        <w:spacing w:line="360" w:lineRule="auto"/>
        <w:ind w:firstLineChars="200" w:firstLine="640"/>
        <w:rPr>
          <w:rFonts w:eastAsia="SimSun"/>
          <w:sz w:val="32"/>
          <w:szCs w:val="32"/>
        </w:rPr>
      </w:pPr>
      <w:r>
        <w:rPr>
          <w:rFonts w:eastAsia="SimSun" w:hint="eastAsia"/>
          <w:sz w:val="32"/>
          <w:szCs w:val="32"/>
        </w:rPr>
        <w:lastRenderedPageBreak/>
        <w:t>(</w:t>
      </w:r>
      <w:r>
        <w:rPr>
          <w:rFonts w:eastAsia="SimSun" w:hint="eastAsia"/>
          <w:b/>
          <w:bCs/>
          <w:sz w:val="32"/>
          <w:szCs w:val="32"/>
        </w:rPr>
        <w:t>A</w:t>
      </w:r>
      <w:r>
        <w:rPr>
          <w:rFonts w:eastAsia="SimSun" w:hint="eastAsia"/>
          <w:sz w:val="32"/>
          <w:szCs w:val="32"/>
        </w:rPr>
        <w:t>) A mutational study of the EMT, immunity, and glycolysis-related DEGs in the TCGA cohort; (</w:t>
      </w:r>
      <w:r>
        <w:rPr>
          <w:rFonts w:eastAsia="SimSun" w:hint="eastAsia"/>
          <w:b/>
          <w:bCs/>
          <w:sz w:val="32"/>
          <w:szCs w:val="32"/>
        </w:rPr>
        <w:t>B</w:t>
      </w:r>
      <w:r>
        <w:rPr>
          <w:rFonts w:eastAsia="SimSun" w:hint="eastAsia"/>
          <w:sz w:val="32"/>
          <w:szCs w:val="32"/>
        </w:rPr>
        <w:t>) A PPI network showing how these DEGs interact with one another (interaction score = 0.4); (</w:t>
      </w:r>
      <w:r>
        <w:rPr>
          <w:rFonts w:eastAsia="SimSun" w:hint="eastAsia"/>
          <w:b/>
          <w:bCs/>
          <w:sz w:val="32"/>
          <w:szCs w:val="32"/>
        </w:rPr>
        <w:t>C</w:t>
      </w:r>
      <w:r>
        <w:rPr>
          <w:rFonts w:eastAsia="SimSun" w:hint="eastAsia"/>
          <w:sz w:val="32"/>
          <w:szCs w:val="32"/>
        </w:rPr>
        <w:t>) A plot of this network, which was developed to look into possible pathways through which these DEGs led to the development of cancer; (</w:t>
      </w:r>
      <w:r>
        <w:rPr>
          <w:rFonts w:eastAsia="SimSun" w:hint="eastAsia"/>
          <w:b/>
          <w:bCs/>
          <w:sz w:val="32"/>
          <w:szCs w:val="32"/>
        </w:rPr>
        <w:t>D</w:t>
      </w:r>
      <w:r>
        <w:rPr>
          <w:rFonts w:eastAsia="SimSun" w:hint="eastAsia"/>
          <w:sz w:val="32"/>
          <w:szCs w:val="32"/>
        </w:rPr>
        <w:t xml:space="preserve">) A bubble diagram illustrating GO enrichment (a </w:t>
      </w:r>
      <w:r w:rsidR="005E55C7">
        <w:rPr>
          <w:rFonts w:eastAsia="SimSun"/>
          <w:sz w:val="32"/>
          <w:szCs w:val="32"/>
        </w:rPr>
        <w:t>giant</w:t>
      </w:r>
      <w:r>
        <w:rPr>
          <w:rFonts w:eastAsia="SimSun" w:hint="eastAsia"/>
          <w:sz w:val="32"/>
          <w:szCs w:val="32"/>
        </w:rPr>
        <w:t xml:space="preserve"> bubble implies a higher number of enriched genes; a darker color suggests that the differences are more significant; q-value: the corrected p-value); (</w:t>
      </w:r>
      <w:r>
        <w:rPr>
          <w:rFonts w:eastAsia="SimSun" w:hint="eastAsia"/>
          <w:b/>
          <w:bCs/>
          <w:sz w:val="32"/>
          <w:szCs w:val="32"/>
        </w:rPr>
        <w:t>E</w:t>
      </w:r>
      <w:r>
        <w:rPr>
          <w:rFonts w:eastAsia="SimSun" w:hint="eastAsia"/>
          <w:sz w:val="32"/>
          <w:szCs w:val="32"/>
        </w:rPr>
        <w:t>) a review of KEGG enrichment for glycolysis-, immunology-, and EMT-related DEGs.</w:t>
      </w:r>
    </w:p>
    <w:p w14:paraId="5A4AEB7D" w14:textId="77777777" w:rsidR="00FE3002" w:rsidRDefault="00000000">
      <w:pPr>
        <w:spacing w:line="360" w:lineRule="auto"/>
        <w:rPr>
          <w:rFonts w:eastAsia="SimSun"/>
          <w:b/>
          <w:bCs/>
          <w:sz w:val="32"/>
          <w:szCs w:val="32"/>
        </w:rPr>
      </w:pPr>
      <w:r>
        <w:rPr>
          <w:rFonts w:eastAsia="SimSun" w:hint="eastAsia"/>
          <w:b/>
          <w:bCs/>
          <w:sz w:val="32"/>
          <w:szCs w:val="32"/>
        </w:rPr>
        <w:t>Fig.S13  Subgroups analysis based on DSS</w:t>
      </w:r>
    </w:p>
    <w:p w14:paraId="0738FAB2" w14:textId="7FCA2F38" w:rsidR="00FE3002" w:rsidRDefault="00000000">
      <w:pPr>
        <w:spacing w:line="360" w:lineRule="auto"/>
        <w:ind w:firstLineChars="200" w:firstLine="640"/>
        <w:rPr>
          <w:rFonts w:eastAsia="SimSun"/>
          <w:sz w:val="32"/>
          <w:szCs w:val="32"/>
        </w:rPr>
      </w:pPr>
      <w:r>
        <w:rPr>
          <w:rFonts w:eastAsia="SimSun" w:hint="eastAsia"/>
          <w:sz w:val="32"/>
          <w:szCs w:val="32"/>
        </w:rPr>
        <w:t xml:space="preserve">Clustering cumulative distribution function (CDF) and variation in the area under the CDF curve. </w:t>
      </w:r>
      <w:r w:rsidR="005E55C7">
        <w:rPr>
          <w:rFonts w:eastAsia="SimSun"/>
          <w:sz w:val="32"/>
          <w:szCs w:val="32"/>
        </w:rPr>
        <w:t>Interpretation</w:t>
      </w:r>
      <w:r>
        <w:rPr>
          <w:rFonts w:eastAsia="SimSun" w:hint="eastAsia"/>
          <w:sz w:val="32"/>
          <w:szCs w:val="32"/>
        </w:rPr>
        <w:t xml:space="preserve"> in the CDF area as the cluster count varies from k-1 to k. The abscissa reflects category k, whereas the ordinate shows the </w:t>
      </w:r>
      <w:r w:rsidR="005E55C7">
        <w:rPr>
          <w:rFonts w:eastAsia="SimSun"/>
          <w:sz w:val="32"/>
          <w:szCs w:val="32"/>
        </w:rPr>
        <w:t>area’s relative magnitude change</w:t>
      </w:r>
      <w:r>
        <w:rPr>
          <w:rFonts w:eastAsia="SimSun" w:hint="eastAsia"/>
          <w:sz w:val="32"/>
          <w:szCs w:val="32"/>
        </w:rPr>
        <w:t xml:space="preserve">. Consistency of </w:t>
      </w:r>
      <w:r w:rsidR="005E55C7">
        <w:rPr>
          <w:rFonts w:eastAsia="SimSun"/>
          <w:sz w:val="32"/>
          <w:szCs w:val="32"/>
        </w:rPr>
        <w:t xml:space="preserve">the </w:t>
      </w:r>
      <w:r>
        <w:rPr>
          <w:rFonts w:eastAsia="SimSun" w:hint="eastAsia"/>
          <w:sz w:val="32"/>
          <w:szCs w:val="32"/>
        </w:rPr>
        <w:t xml:space="preserve">heatmap of clustering findings (k = 6) samples </w:t>
      </w:r>
      <w:r w:rsidR="005E55C7">
        <w:rPr>
          <w:rFonts w:eastAsia="SimSun"/>
          <w:sz w:val="32"/>
          <w:szCs w:val="32"/>
        </w:rPr>
        <w:t>is</w:t>
      </w:r>
      <w:r>
        <w:rPr>
          <w:rFonts w:eastAsia="SimSun" w:hint="eastAsia"/>
          <w:sz w:val="32"/>
          <w:szCs w:val="32"/>
        </w:rPr>
        <w:t xml:space="preserve"> represented by rows and columns, with the various colors indicating distinct groupings. Red indicates high expression</w:t>
      </w:r>
      <w:r w:rsidR="005E55C7">
        <w:rPr>
          <w:rFonts w:eastAsia="SimSun"/>
          <w:sz w:val="32"/>
          <w:szCs w:val="32"/>
        </w:rPr>
        <w:t>,</w:t>
      </w:r>
      <w:r>
        <w:rPr>
          <w:rFonts w:eastAsia="SimSun" w:hint="eastAsia"/>
          <w:sz w:val="32"/>
          <w:szCs w:val="32"/>
        </w:rPr>
        <w:t xml:space="preserve"> and blue indicates low expression in the expression heatmap of glycolysis, immunity, and EMT-related DEGs across </w:t>
      </w:r>
      <w:r w:rsidR="005E55C7">
        <w:rPr>
          <w:rFonts w:eastAsia="SimSun"/>
          <w:sz w:val="32"/>
          <w:szCs w:val="32"/>
        </w:rPr>
        <w:t>multiple</w:t>
      </w:r>
      <w:r>
        <w:rPr>
          <w:rFonts w:eastAsia="SimSun" w:hint="eastAsia"/>
          <w:sz w:val="32"/>
          <w:szCs w:val="32"/>
        </w:rPr>
        <w:t xml:space="preserve"> subgroups. The Kaplan-Meier analysis of survival for the different groups of TCGA samples, including comparisons between groups using the log-</w:t>
      </w:r>
      <w:r>
        <w:rPr>
          <w:rFonts w:eastAsia="SimSun" w:hint="eastAsia"/>
          <w:sz w:val="32"/>
          <w:szCs w:val="32"/>
        </w:rPr>
        <w:lastRenderedPageBreak/>
        <w:t xml:space="preserve">rank test. </w:t>
      </w:r>
      <w:r w:rsidR="005E55C7" w:rsidRPr="005E55C7">
        <w:rPr>
          <w:rFonts w:eastAsia="SimSun"/>
          <w:sz w:val="32"/>
          <w:szCs w:val="32"/>
        </w:rPr>
        <w:t>Each classification's HR(95%Cl) and median survival time (LT50)</w:t>
      </w:r>
      <w:r>
        <w:rPr>
          <w:rFonts w:eastAsia="SimSun" w:hint="eastAsia"/>
          <w:sz w:val="32"/>
          <w:szCs w:val="32"/>
        </w:rPr>
        <w:t>.</w:t>
      </w:r>
    </w:p>
    <w:p w14:paraId="2FF641CD" w14:textId="77777777" w:rsidR="00FE3002" w:rsidRDefault="00000000">
      <w:pPr>
        <w:spacing w:line="360" w:lineRule="auto"/>
        <w:rPr>
          <w:rFonts w:eastAsia="SimSun"/>
          <w:b/>
          <w:bCs/>
          <w:sz w:val="32"/>
          <w:szCs w:val="32"/>
        </w:rPr>
      </w:pPr>
      <w:r>
        <w:rPr>
          <w:rFonts w:eastAsia="SimSun" w:hint="eastAsia"/>
          <w:b/>
          <w:bCs/>
          <w:sz w:val="32"/>
          <w:szCs w:val="32"/>
        </w:rPr>
        <w:t>Fig.S14 The examination of subgroups based on PFI</w:t>
      </w:r>
    </w:p>
    <w:p w14:paraId="154725B9" w14:textId="1D960967" w:rsidR="00FE3002" w:rsidRDefault="00000000">
      <w:pPr>
        <w:spacing w:line="360" w:lineRule="auto"/>
        <w:ind w:firstLineChars="200" w:firstLine="640"/>
        <w:rPr>
          <w:rFonts w:eastAsia="SimSun"/>
          <w:sz w:val="32"/>
          <w:szCs w:val="32"/>
        </w:rPr>
      </w:pPr>
      <w:r>
        <w:rPr>
          <w:rFonts w:eastAsia="SimSun" w:hint="eastAsia"/>
          <w:sz w:val="32"/>
          <w:szCs w:val="32"/>
        </w:rPr>
        <w:t xml:space="preserve">The CDF area changes as the cluster count changes from k-1 to k. The ordinate displays the </w:t>
      </w:r>
      <w:r w:rsidR="005E55C7">
        <w:rPr>
          <w:rFonts w:eastAsia="SimSun"/>
          <w:sz w:val="32"/>
          <w:szCs w:val="32"/>
        </w:rPr>
        <w:t xml:space="preserve">area’s relative magnitude change, </w:t>
      </w:r>
      <w:r>
        <w:rPr>
          <w:rFonts w:eastAsia="SimSun" w:hint="eastAsia"/>
          <w:sz w:val="32"/>
          <w:szCs w:val="32"/>
        </w:rPr>
        <w:t xml:space="preserve">while the abscissa depicts category k. Rows and columns represent the samples in the consistency of the heatmap of the clustering results (k = 6), with different colors denoting different groups. In the expression heatmap of glycolysis, immunity, and EMT-related DEGs across distinct subgroups, red </w:t>
      </w:r>
      <w:r w:rsidR="005E55C7">
        <w:rPr>
          <w:rFonts w:eastAsia="SimSun"/>
          <w:sz w:val="32"/>
          <w:szCs w:val="32"/>
        </w:rPr>
        <w:t>indicates</w:t>
      </w:r>
      <w:r>
        <w:rPr>
          <w:rFonts w:eastAsia="SimSun" w:hint="eastAsia"/>
          <w:sz w:val="32"/>
          <w:szCs w:val="32"/>
        </w:rPr>
        <w:t xml:space="preserve"> high expression</w:t>
      </w:r>
      <w:r w:rsidR="005E55C7">
        <w:rPr>
          <w:rFonts w:eastAsia="SimSun"/>
          <w:sz w:val="32"/>
          <w:szCs w:val="32"/>
        </w:rPr>
        <w:t>,</w:t>
      </w:r>
      <w:r>
        <w:rPr>
          <w:rFonts w:eastAsia="SimSun" w:hint="eastAsia"/>
          <w:sz w:val="32"/>
          <w:szCs w:val="32"/>
        </w:rPr>
        <w:t xml:space="preserve"> and blue </w:t>
      </w:r>
      <w:r w:rsidR="005E55C7">
        <w:rPr>
          <w:rFonts w:eastAsia="SimSun"/>
          <w:sz w:val="32"/>
          <w:szCs w:val="32"/>
        </w:rPr>
        <w:t>symbolizes</w:t>
      </w:r>
      <w:r>
        <w:rPr>
          <w:rFonts w:eastAsia="SimSun" w:hint="eastAsia"/>
          <w:sz w:val="32"/>
          <w:szCs w:val="32"/>
        </w:rPr>
        <w:t xml:space="preserve"> low expression. </w:t>
      </w:r>
      <w:r w:rsidR="005E55C7">
        <w:rPr>
          <w:rFonts w:eastAsia="SimSun"/>
          <w:sz w:val="32"/>
          <w:szCs w:val="32"/>
        </w:rPr>
        <w:t>The</w:t>
      </w:r>
      <w:r>
        <w:rPr>
          <w:rFonts w:eastAsia="SimSun" w:hint="eastAsia"/>
          <w:sz w:val="32"/>
          <w:szCs w:val="32"/>
        </w:rPr>
        <w:t xml:space="preserve"> log-rank test was used to compare group differences in the Kaplan-Meier </w:t>
      </w:r>
      <w:r w:rsidR="005E55C7">
        <w:rPr>
          <w:rFonts w:eastAsia="SimSun"/>
          <w:sz w:val="32"/>
          <w:szCs w:val="32"/>
        </w:rPr>
        <w:t>survival analysis</w:t>
      </w:r>
      <w:r>
        <w:rPr>
          <w:rFonts w:eastAsia="SimSun" w:hint="eastAsia"/>
          <w:sz w:val="32"/>
          <w:szCs w:val="32"/>
        </w:rPr>
        <w:t xml:space="preserve"> for the various TCGA sample groups. The median survival time (LT50) and HR(95%Cl) for each categorization.</w:t>
      </w:r>
    </w:p>
    <w:p w14:paraId="657EF249" w14:textId="77777777" w:rsidR="00FE3002" w:rsidRDefault="00000000">
      <w:pPr>
        <w:spacing w:line="360" w:lineRule="auto"/>
        <w:rPr>
          <w:rFonts w:eastAsia="SimSun"/>
          <w:b/>
          <w:bCs/>
          <w:sz w:val="32"/>
          <w:szCs w:val="32"/>
        </w:rPr>
      </w:pPr>
      <w:r>
        <w:rPr>
          <w:rFonts w:eastAsia="SimSun"/>
          <w:b/>
          <w:bCs/>
          <w:sz w:val="32"/>
          <w:szCs w:val="32"/>
        </w:rPr>
        <w:t>Fig</w:t>
      </w:r>
      <w:r>
        <w:rPr>
          <w:rFonts w:eastAsia="新細明體" w:hint="eastAsia"/>
          <w:b/>
          <w:bCs/>
          <w:sz w:val="32"/>
          <w:szCs w:val="32"/>
          <w:lang w:eastAsia="zh-TW"/>
        </w:rPr>
        <w:t>.S15</w:t>
      </w:r>
      <w:r>
        <w:rPr>
          <w:rFonts w:eastAsia="SimSun"/>
          <w:b/>
          <w:bCs/>
          <w:sz w:val="32"/>
          <w:szCs w:val="32"/>
        </w:rPr>
        <w:t xml:space="preserve"> Immune cell infiltration and </w:t>
      </w:r>
      <w:r>
        <w:rPr>
          <w:rFonts w:eastAsia="新細明體" w:hint="eastAsia"/>
          <w:b/>
          <w:bCs/>
          <w:sz w:val="32"/>
          <w:szCs w:val="32"/>
          <w:lang w:eastAsia="zh-TW"/>
        </w:rPr>
        <w:t>TME</w:t>
      </w:r>
      <w:r>
        <w:rPr>
          <w:rFonts w:eastAsia="SimSun"/>
          <w:b/>
          <w:bCs/>
          <w:sz w:val="32"/>
          <w:szCs w:val="32"/>
        </w:rPr>
        <w:t xml:space="preserve"> analysis</w:t>
      </w:r>
    </w:p>
    <w:p w14:paraId="5221D0AE" w14:textId="105BFB8F" w:rsidR="00FE3002" w:rsidRDefault="00000000">
      <w:pPr>
        <w:spacing w:line="360" w:lineRule="auto"/>
        <w:ind w:firstLineChars="200" w:firstLine="640"/>
        <w:rPr>
          <w:rFonts w:eastAsia="SimSun"/>
          <w:sz w:val="32"/>
          <w:szCs w:val="32"/>
        </w:rPr>
      </w:pPr>
      <w:r>
        <w:rPr>
          <w:rFonts w:eastAsia="SimSun"/>
          <w:sz w:val="32"/>
          <w:szCs w:val="32"/>
        </w:rPr>
        <w:t>Visualization of the correlation between many genes/models</w:t>
      </w:r>
      <w:r>
        <w:rPr>
          <w:rFonts w:eastAsia="新細明體" w:hint="eastAsia"/>
          <w:sz w:val="32"/>
          <w:szCs w:val="32"/>
          <w:lang w:eastAsia="zh-TW"/>
        </w:rPr>
        <w:t xml:space="preserve"> based on DSS</w:t>
      </w:r>
      <w:r>
        <w:rPr>
          <w:rFonts w:eastAsia="SimSun"/>
          <w:sz w:val="32"/>
          <w:szCs w:val="32"/>
        </w:rPr>
        <w:t xml:space="preserve"> and the immunological score as a heatmap. </w:t>
      </w:r>
      <w:r w:rsidR="005E55C7" w:rsidRPr="005E55C7">
        <w:rPr>
          <w:rFonts w:eastAsia="SimSun"/>
          <w:sz w:val="32"/>
          <w:szCs w:val="32"/>
        </w:rPr>
        <w:t>The abscissa and ordinate represent the genes</w:t>
      </w:r>
      <w:r>
        <w:rPr>
          <w:rFonts w:eastAsia="SimSun"/>
          <w:sz w:val="32"/>
          <w:szCs w:val="32"/>
        </w:rPr>
        <w:t xml:space="preserve">, and the association coefficients are shown by the colors (blue for positive and red for negative correlation). The deeper the shade, the deeper the connection. </w:t>
      </w:r>
      <w:r w:rsidR="005E55C7" w:rsidRPr="005E55C7">
        <w:rPr>
          <w:rFonts w:eastAsia="SimSun"/>
          <w:sz w:val="32"/>
          <w:szCs w:val="32"/>
        </w:rPr>
        <w:t>Asterisks indicate the significance levels</w:t>
      </w:r>
      <w:r>
        <w:rPr>
          <w:rFonts w:eastAsia="SimSun"/>
          <w:sz w:val="32"/>
          <w:szCs w:val="32"/>
        </w:rPr>
        <w:t xml:space="preserve"> (*): ** indicates a p-value </w:t>
      </w:r>
      <w:r>
        <w:rPr>
          <w:rFonts w:eastAsia="新細明體" w:hint="eastAsia"/>
          <w:sz w:val="32"/>
          <w:szCs w:val="32"/>
          <w:lang w:eastAsia="zh-TW"/>
        </w:rPr>
        <w:t>below</w:t>
      </w:r>
      <w:r>
        <w:rPr>
          <w:rFonts w:eastAsia="SimSun"/>
          <w:sz w:val="32"/>
          <w:szCs w:val="32"/>
        </w:rPr>
        <w:t xml:space="preserve"> 0.01, and * indicates a p-value </w:t>
      </w:r>
      <w:r>
        <w:rPr>
          <w:rFonts w:eastAsia="新細明體" w:hint="eastAsia"/>
          <w:sz w:val="32"/>
          <w:szCs w:val="32"/>
          <w:lang w:eastAsia="zh-TW"/>
        </w:rPr>
        <w:t>below</w:t>
      </w:r>
      <w:r>
        <w:rPr>
          <w:rFonts w:eastAsia="SimSun"/>
          <w:sz w:val="32"/>
          <w:szCs w:val="32"/>
        </w:rPr>
        <w:t xml:space="preserve"> 0.05.</w:t>
      </w:r>
    </w:p>
    <w:p w14:paraId="764F8E35" w14:textId="77777777" w:rsidR="00FE3002" w:rsidRDefault="00000000">
      <w:pPr>
        <w:spacing w:line="360" w:lineRule="auto"/>
        <w:rPr>
          <w:rFonts w:eastAsia="SimSun"/>
          <w:b/>
          <w:bCs/>
          <w:sz w:val="32"/>
          <w:szCs w:val="32"/>
        </w:rPr>
      </w:pPr>
      <w:r>
        <w:rPr>
          <w:rFonts w:eastAsia="新細明體" w:hint="eastAsia"/>
          <w:b/>
          <w:bCs/>
          <w:sz w:val="32"/>
          <w:szCs w:val="32"/>
          <w:lang w:eastAsia="zh-TW"/>
        </w:rPr>
        <w:lastRenderedPageBreak/>
        <w:t xml:space="preserve">Fig.S16 </w:t>
      </w:r>
      <w:r>
        <w:rPr>
          <w:rFonts w:eastAsia="SimSun"/>
          <w:b/>
          <w:bCs/>
          <w:sz w:val="32"/>
          <w:szCs w:val="32"/>
        </w:rPr>
        <w:t>Immune cell infiltration and TME evaluation</w:t>
      </w:r>
    </w:p>
    <w:p w14:paraId="650F6FC7" w14:textId="7AB5EAB7" w:rsidR="00FE3002" w:rsidRDefault="00000000">
      <w:pPr>
        <w:spacing w:line="360" w:lineRule="auto"/>
        <w:ind w:firstLineChars="200" w:firstLine="640"/>
        <w:rPr>
          <w:rFonts w:eastAsia="SimSun"/>
          <w:sz w:val="32"/>
          <w:szCs w:val="32"/>
        </w:rPr>
      </w:pPr>
      <w:r>
        <w:rPr>
          <w:rFonts w:eastAsia="SimSun"/>
          <w:sz w:val="32"/>
          <w:szCs w:val="32"/>
        </w:rPr>
        <w:t xml:space="preserve">Heatmap representation of the association between several genes/models based on </w:t>
      </w:r>
      <w:r>
        <w:rPr>
          <w:rFonts w:eastAsia="新細明體" w:hint="eastAsia"/>
          <w:sz w:val="32"/>
          <w:szCs w:val="32"/>
          <w:lang w:eastAsia="zh-TW"/>
        </w:rPr>
        <w:t>PFI</w:t>
      </w:r>
      <w:r>
        <w:rPr>
          <w:rFonts w:eastAsia="SimSun"/>
          <w:sz w:val="32"/>
          <w:szCs w:val="32"/>
        </w:rPr>
        <w:t xml:space="preserve"> and the immunological score. The abscissa and ordinate indicate the genes, while the colors reflect the association coefficients (blue for positive and red for negative correlation). The deeper the shade, the stronger the relationship. </w:t>
      </w:r>
      <w:r w:rsidR="005E55C7">
        <w:rPr>
          <w:rFonts w:eastAsia="SimSun"/>
          <w:sz w:val="32"/>
          <w:szCs w:val="32"/>
        </w:rPr>
        <w:t>Asterisks denote the significance levels</w:t>
      </w:r>
      <w:r>
        <w:rPr>
          <w:rFonts w:eastAsia="SimSun"/>
          <w:sz w:val="32"/>
          <w:szCs w:val="32"/>
        </w:rPr>
        <w:t xml:space="preserve"> (*): ** denotes a p-value less than 0.01</w:t>
      </w:r>
      <w:r w:rsidR="005E55C7">
        <w:rPr>
          <w:rFonts w:eastAsia="SimSun"/>
          <w:sz w:val="32"/>
          <w:szCs w:val="32"/>
        </w:rPr>
        <w:t>,</w:t>
      </w:r>
      <w:r>
        <w:rPr>
          <w:rFonts w:eastAsia="SimSun"/>
          <w:sz w:val="32"/>
          <w:szCs w:val="32"/>
        </w:rPr>
        <w:t xml:space="preserve"> and * denotes a p-value less than 0.05.</w:t>
      </w:r>
    </w:p>
    <w:sectPr w:rsidR="00FE3002">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I1ZDZjN2U1NWE1NDUwZTFiZGY5NjQ5OTI5ZjY1MzMifQ=="/>
  </w:docVars>
  <w:rsids>
    <w:rsidRoot w:val="00FE3002"/>
    <w:rsid w:val="005E55C7"/>
    <w:rsid w:val="00FE3002"/>
    <w:rsid w:val="046D69F2"/>
    <w:rsid w:val="055C13DA"/>
    <w:rsid w:val="077E0859"/>
    <w:rsid w:val="08787BE3"/>
    <w:rsid w:val="0A4A1C71"/>
    <w:rsid w:val="0DC10DA5"/>
    <w:rsid w:val="0FD93639"/>
    <w:rsid w:val="11823AC5"/>
    <w:rsid w:val="173024B0"/>
    <w:rsid w:val="185773FE"/>
    <w:rsid w:val="1CC03FA6"/>
    <w:rsid w:val="23CB6243"/>
    <w:rsid w:val="2816196D"/>
    <w:rsid w:val="2E0E1110"/>
    <w:rsid w:val="33D71E67"/>
    <w:rsid w:val="375F2433"/>
    <w:rsid w:val="3A0C0D91"/>
    <w:rsid w:val="3ABF7B6D"/>
    <w:rsid w:val="3D6835D8"/>
    <w:rsid w:val="3DDC47DD"/>
    <w:rsid w:val="415A1696"/>
    <w:rsid w:val="4269261C"/>
    <w:rsid w:val="44384737"/>
    <w:rsid w:val="44727F84"/>
    <w:rsid w:val="47136D96"/>
    <w:rsid w:val="523831A0"/>
    <w:rsid w:val="52EB6DCF"/>
    <w:rsid w:val="583B74C1"/>
    <w:rsid w:val="5A027F8C"/>
    <w:rsid w:val="5AA71B99"/>
    <w:rsid w:val="640A312F"/>
    <w:rsid w:val="68E84514"/>
    <w:rsid w:val="6BA502BC"/>
    <w:rsid w:val="71EE1976"/>
    <w:rsid w:val="7285416B"/>
    <w:rsid w:val="755408CB"/>
    <w:rsid w:val="75970A0E"/>
    <w:rsid w:val="767854BE"/>
    <w:rsid w:val="76E557A9"/>
    <w:rsid w:val="770B7EC4"/>
    <w:rsid w:val="77227CAF"/>
    <w:rsid w:val="772874D4"/>
    <w:rsid w:val="7A4E0C37"/>
    <w:rsid w:val="7C476E66"/>
    <w:rsid w:val="7CE64C33"/>
    <w:rsid w:val="7E811CEA"/>
    <w:rsid w:val="7FB34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A7328"/>
  <w15:docId w15:val="{C89BFB0D-4CF9-417F-9540-BBEB5350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1280</Words>
  <Characters>7018</Characters>
  <Application>Microsoft Office Word</Application>
  <DocSecurity>0</DocSecurity>
  <Lines>152</Lines>
  <Paragraphs>38</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ㄗㄛ</dc:creator>
  <cp:lastModifiedBy>Meng Yiming</cp:lastModifiedBy>
  <cp:revision>3</cp:revision>
  <dcterms:created xsi:type="dcterms:W3CDTF">2022-12-25T03:30:00Z</dcterms:created>
  <dcterms:modified xsi:type="dcterms:W3CDTF">2023-01-08T09:53:00Z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6E8EEDC4F51144B693AA7A424FF4C6DD</vt:lpwstr>
  </property>
  <property fmtid="{D5CDD505-2E9C-101B-9397-08002B2CF9AE}" pid="4" name="GrammarlyDocumentId">
    <vt:lpwstr>7e13d95d379dd8e7913b6214aa2749985577873243146fa4b6043cf52ae74f7e</vt:lpwstr>
  </property>
</Properties>
</file>