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222B" w:rsidRPr="00D82D39" w:rsidRDefault="009D222B" w:rsidP="009D222B">
      <w:pPr>
        <w:spacing w:before="240"/>
        <w:rPr>
          <w:rFonts w:ascii="Arial" w:hAnsi="Arial" w:cs="Arial"/>
          <w:sz w:val="20"/>
          <w:szCs w:val="20"/>
        </w:rPr>
      </w:pPr>
      <w:r w:rsidRPr="00D82D39">
        <w:rPr>
          <w:rFonts w:ascii="Arial" w:hAnsi="Arial" w:cs="Arial"/>
          <w:b/>
          <w:bCs/>
          <w:sz w:val="20"/>
          <w:szCs w:val="20"/>
        </w:rPr>
        <w:t>Table 2</w:t>
      </w:r>
      <w:r w:rsidRPr="00AD763D">
        <w:rPr>
          <w:rFonts w:ascii="Arial" w:hAnsi="Arial" w:cs="Arial"/>
          <w:b/>
          <w:bCs/>
          <w:sz w:val="20"/>
          <w:szCs w:val="20"/>
        </w:rPr>
        <w:t xml:space="preserve">. </w:t>
      </w:r>
      <w:bookmarkStart w:id="0" w:name="_Hlk113271225"/>
      <w:r w:rsidRPr="00AD763D">
        <w:rPr>
          <w:rFonts w:ascii="Arial" w:hAnsi="Arial" w:cs="Arial"/>
          <w:sz w:val="20"/>
          <w:szCs w:val="20"/>
        </w:rPr>
        <w:t>Cumulative outcomes prevented by prioritisation strategies including children 5 to 17 years</w:t>
      </w:r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5"/>
        <w:gridCol w:w="559"/>
        <w:gridCol w:w="592"/>
        <w:gridCol w:w="990"/>
        <w:gridCol w:w="579"/>
        <w:gridCol w:w="552"/>
        <w:gridCol w:w="627"/>
        <w:gridCol w:w="622"/>
        <w:gridCol w:w="990"/>
        <w:gridCol w:w="621"/>
        <w:gridCol w:w="621"/>
        <w:gridCol w:w="627"/>
        <w:gridCol w:w="592"/>
        <w:gridCol w:w="990"/>
        <w:gridCol w:w="579"/>
        <w:gridCol w:w="552"/>
        <w:gridCol w:w="627"/>
        <w:gridCol w:w="592"/>
        <w:gridCol w:w="990"/>
        <w:gridCol w:w="579"/>
        <w:gridCol w:w="552"/>
      </w:tblGrid>
      <w:tr w:rsidR="009D222B" w:rsidRPr="00D82D39" w:rsidTr="00A52FCF">
        <w:tc>
          <w:tcPr>
            <w:tcW w:w="515" w:type="dxa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</w:p>
        </w:tc>
        <w:tc>
          <w:tcPr>
            <w:tcW w:w="3272" w:type="dxa"/>
            <w:gridSpan w:val="5"/>
            <w:shd w:val="clear" w:color="auto" w:fill="auto"/>
          </w:tcPr>
          <w:p w:rsidR="009D222B" w:rsidRPr="00D82D39" w:rsidRDefault="009D222B" w:rsidP="00A52FCF">
            <w:pPr>
              <w:jc w:val="center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Children (0-4 years)</w:t>
            </w:r>
          </w:p>
        </w:tc>
        <w:tc>
          <w:tcPr>
            <w:tcW w:w="3481" w:type="dxa"/>
            <w:gridSpan w:val="5"/>
            <w:shd w:val="clear" w:color="auto" w:fill="auto"/>
          </w:tcPr>
          <w:p w:rsidR="009D222B" w:rsidRPr="00D82D39" w:rsidRDefault="009D222B" w:rsidP="00A52FCF">
            <w:pPr>
              <w:jc w:val="center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Children (5-17 years)</w:t>
            </w:r>
          </w:p>
        </w:tc>
        <w:tc>
          <w:tcPr>
            <w:tcW w:w="3340" w:type="dxa"/>
            <w:gridSpan w:val="5"/>
            <w:shd w:val="clear" w:color="auto" w:fill="auto"/>
          </w:tcPr>
          <w:p w:rsidR="009D222B" w:rsidRPr="00D82D39" w:rsidRDefault="009D222B" w:rsidP="00A52FCF">
            <w:pPr>
              <w:jc w:val="center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Adults (18+ years)</w:t>
            </w:r>
          </w:p>
        </w:tc>
        <w:tc>
          <w:tcPr>
            <w:tcW w:w="3340" w:type="dxa"/>
            <w:gridSpan w:val="5"/>
            <w:shd w:val="clear" w:color="auto" w:fill="auto"/>
          </w:tcPr>
          <w:p w:rsidR="009D222B" w:rsidRPr="00D82D39" w:rsidRDefault="009D222B" w:rsidP="00A52FCF">
            <w:pPr>
              <w:jc w:val="center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Overall</w:t>
            </w:r>
          </w:p>
        </w:tc>
      </w:tr>
      <w:tr w:rsidR="009D222B" w:rsidRPr="00D82D39" w:rsidTr="00A52FCF">
        <w:tc>
          <w:tcPr>
            <w:tcW w:w="515" w:type="dxa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</w:p>
        </w:tc>
        <w:tc>
          <w:tcPr>
            <w:tcW w:w="559" w:type="dxa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sz w:val="12"/>
                <w:szCs w:val="12"/>
              </w:rPr>
              <w:t>Cases</w:t>
            </w:r>
          </w:p>
        </w:tc>
        <w:tc>
          <w:tcPr>
            <w:tcW w:w="592" w:type="dxa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sz w:val="12"/>
                <w:szCs w:val="12"/>
              </w:rPr>
              <w:t>Severe disease</w:t>
            </w:r>
          </w:p>
        </w:tc>
        <w:tc>
          <w:tcPr>
            <w:tcW w:w="990" w:type="dxa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sz w:val="12"/>
                <w:szCs w:val="12"/>
              </w:rPr>
              <w:t>Hospitalisations</w:t>
            </w:r>
          </w:p>
        </w:tc>
        <w:tc>
          <w:tcPr>
            <w:tcW w:w="579" w:type="dxa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sz w:val="12"/>
                <w:szCs w:val="12"/>
              </w:rPr>
              <w:t>Deaths</w:t>
            </w:r>
          </w:p>
        </w:tc>
        <w:tc>
          <w:tcPr>
            <w:tcW w:w="552" w:type="dxa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sz w:val="12"/>
                <w:szCs w:val="12"/>
              </w:rPr>
              <w:t>Years of life lost</w:t>
            </w:r>
          </w:p>
        </w:tc>
        <w:tc>
          <w:tcPr>
            <w:tcW w:w="627" w:type="dxa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sz w:val="12"/>
                <w:szCs w:val="12"/>
              </w:rPr>
              <w:t>Cases</w:t>
            </w:r>
          </w:p>
        </w:tc>
        <w:tc>
          <w:tcPr>
            <w:tcW w:w="622" w:type="dxa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sz w:val="12"/>
                <w:szCs w:val="12"/>
              </w:rPr>
              <w:t>Severe disease</w:t>
            </w:r>
          </w:p>
        </w:tc>
        <w:tc>
          <w:tcPr>
            <w:tcW w:w="990" w:type="dxa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sz w:val="12"/>
                <w:szCs w:val="12"/>
              </w:rPr>
              <w:t>Hospitalisations</w:t>
            </w:r>
          </w:p>
        </w:tc>
        <w:tc>
          <w:tcPr>
            <w:tcW w:w="621" w:type="dxa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sz w:val="12"/>
                <w:szCs w:val="12"/>
              </w:rPr>
              <w:t>Deaths</w:t>
            </w:r>
          </w:p>
        </w:tc>
        <w:tc>
          <w:tcPr>
            <w:tcW w:w="621" w:type="dxa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sz w:val="12"/>
                <w:szCs w:val="12"/>
              </w:rPr>
              <w:t>Years of life lost</w:t>
            </w:r>
          </w:p>
        </w:tc>
        <w:tc>
          <w:tcPr>
            <w:tcW w:w="627" w:type="dxa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sz w:val="12"/>
                <w:szCs w:val="12"/>
              </w:rPr>
              <w:t>Cases</w:t>
            </w:r>
          </w:p>
        </w:tc>
        <w:tc>
          <w:tcPr>
            <w:tcW w:w="592" w:type="dxa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sz w:val="12"/>
                <w:szCs w:val="12"/>
              </w:rPr>
              <w:t>Severe disease</w:t>
            </w:r>
          </w:p>
        </w:tc>
        <w:tc>
          <w:tcPr>
            <w:tcW w:w="990" w:type="dxa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sz w:val="12"/>
                <w:szCs w:val="12"/>
              </w:rPr>
              <w:t>Hospitalisations</w:t>
            </w:r>
          </w:p>
        </w:tc>
        <w:tc>
          <w:tcPr>
            <w:tcW w:w="579" w:type="dxa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sz w:val="12"/>
                <w:szCs w:val="12"/>
              </w:rPr>
              <w:t>Deaths</w:t>
            </w:r>
          </w:p>
        </w:tc>
        <w:tc>
          <w:tcPr>
            <w:tcW w:w="552" w:type="dxa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sz w:val="12"/>
                <w:szCs w:val="12"/>
              </w:rPr>
              <w:t>Years of life lost</w:t>
            </w:r>
          </w:p>
        </w:tc>
        <w:tc>
          <w:tcPr>
            <w:tcW w:w="627" w:type="dxa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sz w:val="12"/>
                <w:szCs w:val="12"/>
              </w:rPr>
              <w:t>Cases</w:t>
            </w:r>
          </w:p>
        </w:tc>
        <w:tc>
          <w:tcPr>
            <w:tcW w:w="592" w:type="dxa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sz w:val="12"/>
                <w:szCs w:val="12"/>
              </w:rPr>
              <w:t>Severe disease</w:t>
            </w:r>
          </w:p>
        </w:tc>
        <w:tc>
          <w:tcPr>
            <w:tcW w:w="990" w:type="dxa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sz w:val="12"/>
                <w:szCs w:val="12"/>
              </w:rPr>
              <w:t>Hospitalisations</w:t>
            </w:r>
          </w:p>
        </w:tc>
        <w:tc>
          <w:tcPr>
            <w:tcW w:w="579" w:type="dxa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sz w:val="12"/>
                <w:szCs w:val="12"/>
              </w:rPr>
              <w:t>Deaths</w:t>
            </w:r>
          </w:p>
        </w:tc>
        <w:tc>
          <w:tcPr>
            <w:tcW w:w="552" w:type="dxa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sz w:val="12"/>
                <w:szCs w:val="12"/>
              </w:rPr>
              <w:t>Years of life lost</w:t>
            </w:r>
          </w:p>
        </w:tc>
      </w:tr>
      <w:tr w:rsidR="009D222B" w:rsidRPr="00D82D39" w:rsidTr="00A52FCF">
        <w:tc>
          <w:tcPr>
            <w:tcW w:w="13948" w:type="dxa"/>
            <w:gridSpan w:val="21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Expanding to children concurrently with the adult rollout</w:t>
            </w:r>
          </w:p>
        </w:tc>
      </w:tr>
      <w:tr w:rsidR="009D222B" w:rsidRPr="00D82D39" w:rsidTr="00A52FCF">
        <w:tc>
          <w:tcPr>
            <w:tcW w:w="515" w:type="dxa"/>
            <w:vMerge w:val="restart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sz w:val="12"/>
                <w:szCs w:val="12"/>
              </w:rPr>
              <w:t>51.6%</w:t>
            </w:r>
          </w:p>
        </w:tc>
        <w:tc>
          <w:tcPr>
            <w:tcW w:w="559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2790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0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35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0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4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-60801</w:t>
            </w:r>
          </w:p>
        </w:tc>
        <w:tc>
          <w:tcPr>
            <w:tcW w:w="62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-46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-2759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-5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-246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53917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1329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4123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94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1107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-4093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1284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1398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90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865</w:t>
            </w:r>
          </w:p>
        </w:tc>
      </w:tr>
      <w:tr w:rsidR="009D222B" w:rsidRPr="00D82D39" w:rsidTr="00A52FCF">
        <w:tc>
          <w:tcPr>
            <w:tcW w:w="515" w:type="dxa"/>
            <w:vMerge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</w:p>
        </w:tc>
        <w:tc>
          <w:tcPr>
            <w:tcW w:w="559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0.2%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0.3%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0.3%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0.3%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0.3%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-2.0%</w:t>
            </w:r>
          </w:p>
        </w:tc>
        <w:tc>
          <w:tcPr>
            <w:tcW w:w="62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-8.0%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-8.0%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-8.0%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-8.0%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1.0%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4.9%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4.8%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5.0%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4.9%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0.0%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4.6%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1.0%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4.5%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3.2%</w:t>
            </w:r>
          </w:p>
        </w:tc>
      </w:tr>
      <w:tr w:rsidR="009D222B" w:rsidRPr="00D82D39" w:rsidTr="00A52FCF">
        <w:tc>
          <w:tcPr>
            <w:tcW w:w="515" w:type="dxa"/>
            <w:vMerge w:val="restart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sz w:val="12"/>
                <w:szCs w:val="12"/>
              </w:rPr>
              <w:t>60%</w:t>
            </w:r>
          </w:p>
        </w:tc>
        <w:tc>
          <w:tcPr>
            <w:tcW w:w="55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-51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0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6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0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1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-107210</w:t>
            </w:r>
          </w:p>
        </w:tc>
        <w:tc>
          <w:tcPr>
            <w:tcW w:w="62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-69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-4151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-7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-370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35117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962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3041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65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786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-72144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893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-1104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58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417</w:t>
            </w:r>
          </w:p>
        </w:tc>
      </w:tr>
      <w:tr w:rsidR="009D222B" w:rsidRPr="00D82D39" w:rsidTr="00A52FCF">
        <w:tc>
          <w:tcPr>
            <w:tcW w:w="515" w:type="dxa"/>
            <w:vMerge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</w:p>
        </w:tc>
        <w:tc>
          <w:tcPr>
            <w:tcW w:w="55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0.0%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0.0%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0.0%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0.0%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0.0%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-3.5%</w:t>
            </w:r>
          </w:p>
        </w:tc>
        <w:tc>
          <w:tcPr>
            <w:tcW w:w="62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-12.1%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-12.1%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-12.1%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-12.0%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0.6%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3.5%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3.6%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3.4%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3.5%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-0.7%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3.2%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-0.8%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2.9%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1.5%</w:t>
            </w:r>
          </w:p>
        </w:tc>
      </w:tr>
      <w:tr w:rsidR="009D222B" w:rsidRPr="00D82D39" w:rsidTr="00A52FCF">
        <w:tc>
          <w:tcPr>
            <w:tcW w:w="515" w:type="dxa"/>
            <w:vMerge w:val="restart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sz w:val="12"/>
                <w:szCs w:val="12"/>
              </w:rPr>
              <w:t>70%</w:t>
            </w:r>
          </w:p>
        </w:tc>
        <w:tc>
          <w:tcPr>
            <w:tcW w:w="55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-15519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-179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0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-21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-205546</w:t>
            </w:r>
          </w:p>
        </w:tc>
        <w:tc>
          <w:tcPr>
            <w:tcW w:w="62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-98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-5882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-10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-524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-41563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299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1085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12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211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-262628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200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-4975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2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-333</w:t>
            </w:r>
          </w:p>
        </w:tc>
      </w:tr>
      <w:tr w:rsidR="009D222B" w:rsidRPr="00D82D39" w:rsidTr="00A52FCF">
        <w:tc>
          <w:tcPr>
            <w:tcW w:w="515" w:type="dxa"/>
            <w:vMerge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</w:p>
        </w:tc>
        <w:tc>
          <w:tcPr>
            <w:tcW w:w="55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-1.4%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-1.3%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-1.3%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-1.3%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-1.3%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-6.8%</w:t>
            </w:r>
          </w:p>
        </w:tc>
        <w:tc>
          <w:tcPr>
            <w:tcW w:w="62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color w:val="000000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-17.2%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-17.1%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-17.1%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-17.1%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-0.8%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1.1%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1.3%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0.7%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0.9%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-2.7%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5D74F9" w:rsidRDefault="009D222B" w:rsidP="00A52FCF">
            <w:pPr>
              <w:jc w:val="right"/>
              <w:rPr>
                <w:rFonts w:asciiTheme="majorHAnsi" w:hAnsiTheme="majorHAnsi" w:cstheme="majorHAnsi"/>
                <w:b/>
                <w:sz w:val="12"/>
                <w:szCs w:val="12"/>
              </w:rPr>
            </w:pPr>
            <w:r w:rsidRPr="005D74F9">
              <w:rPr>
                <w:rFonts w:asciiTheme="majorHAnsi" w:hAnsiTheme="majorHAnsi" w:cstheme="majorHAnsi"/>
                <w:b/>
                <w:color w:val="000000"/>
                <w:sz w:val="12"/>
                <w:szCs w:val="12"/>
              </w:rPr>
              <w:t>0.7%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-3.7%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0.1%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-1.2%</w:t>
            </w:r>
          </w:p>
        </w:tc>
      </w:tr>
      <w:tr w:rsidR="009D222B" w:rsidRPr="00D82D39" w:rsidTr="00A52FCF">
        <w:tc>
          <w:tcPr>
            <w:tcW w:w="515" w:type="dxa"/>
            <w:vMerge w:val="restart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sz w:val="12"/>
                <w:szCs w:val="12"/>
              </w:rPr>
              <w:t>75.5%</w:t>
            </w:r>
          </w:p>
        </w:tc>
        <w:tc>
          <w:tcPr>
            <w:tcW w:w="55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-27741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-3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-328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-38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-273888</w:t>
            </w:r>
          </w:p>
        </w:tc>
        <w:tc>
          <w:tcPr>
            <w:tcW w:w="62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-112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-6765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-11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-603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-105237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-122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-183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-20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-149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-406866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-237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-7276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-32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-790</w:t>
            </w:r>
          </w:p>
        </w:tc>
      </w:tr>
      <w:tr w:rsidR="009D222B" w:rsidRPr="00D82D39" w:rsidTr="00A52FCF">
        <w:tc>
          <w:tcPr>
            <w:tcW w:w="515" w:type="dxa"/>
            <w:vMerge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</w:p>
        </w:tc>
        <w:tc>
          <w:tcPr>
            <w:tcW w:w="55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-2.5%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-2.4%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-2.4%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-2.4%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-2.4%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-9.1%</w:t>
            </w:r>
          </w:p>
        </w:tc>
        <w:tc>
          <w:tcPr>
            <w:tcW w:w="62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-19.8%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-19.7%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-19.6%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-19.6%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-1.9%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-0.4%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-0.2%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-1.0%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-0.7%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-4.2%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-0.9%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-5.5%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-1.6%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-2.9%</w:t>
            </w:r>
          </w:p>
        </w:tc>
      </w:tr>
      <w:tr w:rsidR="009D222B" w:rsidRPr="00D82D39" w:rsidTr="00A52FCF">
        <w:tc>
          <w:tcPr>
            <w:tcW w:w="13948" w:type="dxa"/>
            <w:gridSpan w:val="21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Expanding to children after adult rollout</w:t>
            </w:r>
          </w:p>
        </w:tc>
      </w:tr>
      <w:tr w:rsidR="009D222B" w:rsidRPr="00D82D39" w:rsidTr="00A52FCF">
        <w:tc>
          <w:tcPr>
            <w:tcW w:w="515" w:type="dxa"/>
            <w:vMerge w:val="restart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sz w:val="12"/>
                <w:szCs w:val="12"/>
              </w:rPr>
              <w:t>60%</w:t>
            </w:r>
          </w:p>
        </w:tc>
        <w:tc>
          <w:tcPr>
            <w:tcW w:w="55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-2895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0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-30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0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-3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-82360</w:t>
            </w:r>
          </w:p>
        </w:tc>
        <w:tc>
          <w:tcPr>
            <w:tcW w:w="62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-48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-2877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-5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-256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-4420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-41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-62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-7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-51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-89674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-89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-2969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-12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-310</w:t>
            </w:r>
          </w:p>
        </w:tc>
      </w:tr>
      <w:tr w:rsidR="009D222B" w:rsidRPr="00D82D39" w:rsidTr="00A52FCF">
        <w:tc>
          <w:tcPr>
            <w:tcW w:w="515" w:type="dxa"/>
            <w:vMerge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</w:p>
        </w:tc>
        <w:tc>
          <w:tcPr>
            <w:tcW w:w="55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-0.3%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-0.2%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-0.2%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-0.2%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-0.2%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-2.7%</w:t>
            </w:r>
          </w:p>
        </w:tc>
        <w:tc>
          <w:tcPr>
            <w:tcW w:w="62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-8.4%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-8.4%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-8.4%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-8.3%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-0.1%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-0.1%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-0.1%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-0.4%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-0.2%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-0.9%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-0.3%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-2.2%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-0.6%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-1.1%</w:t>
            </w:r>
          </w:p>
        </w:tc>
      </w:tr>
      <w:tr w:rsidR="009D222B" w:rsidRPr="00D82D39" w:rsidTr="00A52FCF">
        <w:tc>
          <w:tcPr>
            <w:tcW w:w="515" w:type="dxa"/>
            <w:vMerge w:val="restart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sz w:val="12"/>
                <w:szCs w:val="12"/>
              </w:rPr>
              <w:t>70%</w:t>
            </w:r>
          </w:p>
        </w:tc>
        <w:tc>
          <w:tcPr>
            <w:tcW w:w="55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-15776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-184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0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-21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-195029</w:t>
            </w:r>
          </w:p>
        </w:tc>
        <w:tc>
          <w:tcPr>
            <w:tcW w:w="62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-83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-5005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-8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-446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-52769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-325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-858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-32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-308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-263574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-410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-6047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-41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-775</w:t>
            </w:r>
          </w:p>
        </w:tc>
      </w:tr>
      <w:tr w:rsidR="009D222B" w:rsidRPr="00D82D39" w:rsidTr="00A52FCF">
        <w:tc>
          <w:tcPr>
            <w:tcW w:w="515" w:type="dxa"/>
            <w:vMerge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</w:p>
        </w:tc>
        <w:tc>
          <w:tcPr>
            <w:tcW w:w="55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-1.4%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-1.3%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-1.3%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-1.3%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-1.3%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-6.4%</w:t>
            </w:r>
          </w:p>
        </w:tc>
        <w:tc>
          <w:tcPr>
            <w:tcW w:w="62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-14.6%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-14.6%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-14.5%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-14.5%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-1.0%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-1.2%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-1.0%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-1.7%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-1.4%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-2.7%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-1.5%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-4.5%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-2.1%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-2.9%</w:t>
            </w:r>
          </w:p>
        </w:tc>
      </w:tr>
      <w:tr w:rsidR="009D222B" w:rsidRPr="00D82D39" w:rsidTr="00A52FCF">
        <w:tc>
          <w:tcPr>
            <w:tcW w:w="515" w:type="dxa"/>
            <w:vMerge w:val="restart"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sz w:val="12"/>
                <w:szCs w:val="12"/>
              </w:rPr>
              <w:t>75.5%</w:t>
            </w:r>
          </w:p>
        </w:tc>
        <w:tc>
          <w:tcPr>
            <w:tcW w:w="55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-25347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-3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-301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-35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-268761</w:t>
            </w:r>
          </w:p>
        </w:tc>
        <w:tc>
          <w:tcPr>
            <w:tcW w:w="62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-100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-6015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-10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-536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-93522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-551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-1523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-50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-506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-387630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-654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-7838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-61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-1076</w:t>
            </w:r>
          </w:p>
        </w:tc>
      </w:tr>
      <w:tr w:rsidR="009D222B" w:rsidRPr="00D82D39" w:rsidTr="00A52FCF">
        <w:tc>
          <w:tcPr>
            <w:tcW w:w="515" w:type="dxa"/>
            <w:vMerge/>
            <w:shd w:val="clear" w:color="auto" w:fill="auto"/>
          </w:tcPr>
          <w:p w:rsidR="009D222B" w:rsidRPr="00D82D39" w:rsidRDefault="009D222B" w:rsidP="00A52FCF">
            <w:pPr>
              <w:rPr>
                <w:rFonts w:asciiTheme="majorHAnsi" w:hAnsiTheme="majorHAnsi" w:cstheme="majorHAnsi"/>
                <w:sz w:val="12"/>
                <w:szCs w:val="12"/>
              </w:rPr>
            </w:pPr>
          </w:p>
        </w:tc>
        <w:tc>
          <w:tcPr>
            <w:tcW w:w="55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-2.3%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-2.2%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-2.2%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-2.2%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-2.2%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-8.9%</w:t>
            </w:r>
          </w:p>
        </w:tc>
        <w:tc>
          <w:tcPr>
            <w:tcW w:w="62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-17.6%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-17.5%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-17.5%</w:t>
            </w:r>
          </w:p>
        </w:tc>
        <w:tc>
          <w:tcPr>
            <w:tcW w:w="621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-17.4%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-1.7%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-2.0%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-1.8%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-2.7%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-2.3%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-4.0%</w:t>
            </w:r>
          </w:p>
        </w:tc>
        <w:tc>
          <w:tcPr>
            <w:tcW w:w="59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-2.3%</w:t>
            </w:r>
          </w:p>
        </w:tc>
        <w:tc>
          <w:tcPr>
            <w:tcW w:w="990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-5.9%</w:t>
            </w:r>
          </w:p>
        </w:tc>
        <w:tc>
          <w:tcPr>
            <w:tcW w:w="579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-3.1%</w:t>
            </w:r>
          </w:p>
        </w:tc>
        <w:tc>
          <w:tcPr>
            <w:tcW w:w="552" w:type="dxa"/>
            <w:shd w:val="clear" w:color="auto" w:fill="auto"/>
            <w:vAlign w:val="bottom"/>
          </w:tcPr>
          <w:p w:rsidR="009D222B" w:rsidRPr="00D82D39" w:rsidRDefault="009D222B" w:rsidP="00A52FCF">
            <w:pPr>
              <w:jc w:val="right"/>
              <w:rPr>
                <w:rFonts w:asciiTheme="majorHAnsi" w:hAnsiTheme="majorHAnsi" w:cstheme="majorHAnsi"/>
                <w:sz w:val="12"/>
                <w:szCs w:val="12"/>
              </w:rPr>
            </w:pPr>
            <w:r w:rsidRPr="00D82D39">
              <w:rPr>
                <w:rFonts w:asciiTheme="majorHAnsi" w:hAnsiTheme="majorHAnsi" w:cstheme="majorHAnsi"/>
                <w:color w:val="000000"/>
                <w:sz w:val="12"/>
                <w:szCs w:val="12"/>
              </w:rPr>
              <w:t>-4.0%</w:t>
            </w:r>
          </w:p>
        </w:tc>
      </w:tr>
    </w:tbl>
    <w:p w:rsidR="00D171AF" w:rsidRPr="009D222B" w:rsidRDefault="009D222B" w:rsidP="009D222B">
      <w:r w:rsidRPr="00AD763D">
        <w:rPr>
          <w:rFonts w:ascii="Arial" w:hAnsi="Arial" w:cs="Arial"/>
          <w:sz w:val="18"/>
          <w:szCs w:val="20"/>
        </w:rPr>
        <w:t xml:space="preserve">Outcomes prevented calculated relative to current adult vaccination program with a population coverage target of 51.6%, with </w:t>
      </w:r>
      <w:r w:rsidRPr="00AD763D">
        <w:rPr>
          <w:rFonts w:ascii="Arial" w:hAnsi="Arial" w:cs="Arial"/>
          <w:b/>
          <w:sz w:val="18"/>
          <w:szCs w:val="20"/>
        </w:rPr>
        <w:t xml:space="preserve">bold text </w:t>
      </w:r>
      <w:r w:rsidRPr="00AD763D">
        <w:rPr>
          <w:rFonts w:ascii="Arial" w:hAnsi="Arial" w:cs="Arial"/>
          <w:sz w:val="18"/>
          <w:szCs w:val="20"/>
        </w:rPr>
        <w:t>indicating that the intervention leads to increases in an outcome. Note</w:t>
      </w:r>
      <w:r>
        <w:rPr>
          <w:rFonts w:ascii="Arial" w:hAnsi="Arial" w:cs="Arial"/>
          <w:sz w:val="18"/>
          <w:szCs w:val="20"/>
        </w:rPr>
        <w:t xml:space="preserve"> that</w:t>
      </w:r>
      <w:r w:rsidRPr="00AD763D">
        <w:rPr>
          <w:rFonts w:ascii="Arial" w:hAnsi="Arial" w:cs="Arial"/>
          <w:sz w:val="18"/>
          <w:szCs w:val="20"/>
        </w:rPr>
        <w:t xml:space="preserve"> 75.5% coverage is the maximum coverage possible with eligibility expanded to 5+ years with 88% vaccine acceptance.</w:t>
      </w:r>
      <w:bookmarkStart w:id="1" w:name="_GoBack"/>
      <w:bookmarkEnd w:id="1"/>
    </w:p>
    <w:sectPr w:rsidR="00D171AF" w:rsidRPr="009D222B" w:rsidSect="00A50BB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5ED"/>
    <w:rsid w:val="000755ED"/>
    <w:rsid w:val="004857F0"/>
    <w:rsid w:val="009D222B"/>
    <w:rsid w:val="00A50BB2"/>
    <w:rsid w:val="00D17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DC7C31-0A41-4E59-B39E-B7C3A58D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22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55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Australian National University</Company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Gizem Bilgin</dc:creator>
  <cp:keywords/>
  <dc:description/>
  <cp:lastModifiedBy>Gizem Bilgin</cp:lastModifiedBy>
  <cp:revision>4</cp:revision>
  <dcterms:created xsi:type="dcterms:W3CDTF">2022-11-22T23:21:00Z</dcterms:created>
  <dcterms:modified xsi:type="dcterms:W3CDTF">2022-12-14T23:40:00Z</dcterms:modified>
</cp:coreProperties>
</file>