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162" w:rsidRPr="00954640" w:rsidRDefault="005D5162" w:rsidP="008F7509">
      <w:pPr>
        <w:pStyle w:val="Title"/>
        <w:rPr>
          <w:rFonts w:ascii="Arial" w:hAnsi="Arial" w:cs="Arial"/>
          <w:b/>
          <w:color w:val="000000" w:themeColor="text1"/>
          <w:sz w:val="40"/>
          <w:szCs w:val="40"/>
        </w:rPr>
      </w:pPr>
      <w:r w:rsidRPr="00954640">
        <w:rPr>
          <w:rFonts w:ascii="Arial" w:hAnsi="Arial" w:cs="Arial"/>
          <w:b/>
          <w:color w:val="000000" w:themeColor="text1"/>
          <w:sz w:val="40"/>
          <w:szCs w:val="40"/>
        </w:rPr>
        <w:t>COVID-19 vaccination strategies in settings with limited rollout capacity: a mathematical modelling case study in Sierra Leone</w:t>
      </w:r>
    </w:p>
    <w:p w:rsidR="005D5162" w:rsidRPr="00954640" w:rsidRDefault="005D5162" w:rsidP="00CD723B">
      <w:pPr>
        <w:spacing w:before="120" w:after="120"/>
        <w:rPr>
          <w:rFonts w:ascii="Arial" w:hAnsi="Arial" w:cs="Arial"/>
          <w:i/>
          <w:iCs/>
          <w:color w:val="000000" w:themeColor="text1"/>
          <w:sz w:val="28"/>
          <w:szCs w:val="36"/>
        </w:rPr>
      </w:pPr>
      <w:r w:rsidRPr="00954640">
        <w:rPr>
          <w:rFonts w:ascii="Arial" w:hAnsi="Arial" w:cs="Arial"/>
          <w:i/>
          <w:iCs/>
          <w:color w:val="000000" w:themeColor="text1"/>
          <w:sz w:val="28"/>
          <w:szCs w:val="36"/>
        </w:rPr>
        <w:t>Supplementary Material</w:t>
      </w:r>
    </w:p>
    <w:sdt>
      <w:sdtPr>
        <w:rPr>
          <w:rFonts w:ascii="Arial" w:eastAsiaTheme="minorHAnsi" w:hAnsi="Arial" w:cs="Arial"/>
          <w:color w:val="auto"/>
          <w:sz w:val="22"/>
          <w:szCs w:val="22"/>
          <w:lang w:val="en-AU"/>
        </w:rPr>
        <w:id w:val="-831832818"/>
        <w:docPartObj>
          <w:docPartGallery w:val="Table of Contents"/>
          <w:docPartUnique/>
        </w:docPartObj>
      </w:sdtPr>
      <w:sdtEndPr>
        <w:rPr>
          <w:b/>
          <w:bCs/>
          <w:noProof/>
        </w:rPr>
      </w:sdtEndPr>
      <w:sdtContent>
        <w:p w:rsidR="005D5162" w:rsidRPr="00954640" w:rsidRDefault="005D5162">
          <w:pPr>
            <w:pStyle w:val="TOCHeading"/>
            <w:rPr>
              <w:rFonts w:ascii="Arial" w:hAnsi="Arial" w:cs="Arial"/>
              <w:b/>
              <w:color w:val="000000" w:themeColor="text1"/>
              <w:sz w:val="24"/>
            </w:rPr>
          </w:pPr>
          <w:r w:rsidRPr="00954640">
            <w:rPr>
              <w:rFonts w:ascii="Arial" w:hAnsi="Arial" w:cs="Arial"/>
              <w:b/>
              <w:color w:val="000000" w:themeColor="text1"/>
              <w:sz w:val="24"/>
            </w:rPr>
            <w:t>Table of Contents</w:t>
          </w:r>
        </w:p>
        <w:p w:rsidR="005D5162" w:rsidRPr="00954640" w:rsidRDefault="005D5162">
          <w:pPr>
            <w:pStyle w:val="TOC1"/>
            <w:tabs>
              <w:tab w:val="right" w:leader="dot" w:pos="9016"/>
            </w:tabs>
            <w:rPr>
              <w:rFonts w:ascii="Arial" w:eastAsiaTheme="minorEastAsia" w:hAnsi="Arial" w:cs="Arial"/>
              <w:noProof/>
              <w:sz w:val="20"/>
              <w:lang w:eastAsia="en-AU"/>
            </w:rPr>
          </w:pPr>
          <w:r w:rsidRPr="00954640">
            <w:rPr>
              <w:rFonts w:ascii="Arial" w:hAnsi="Arial" w:cs="Arial"/>
              <w:sz w:val="20"/>
            </w:rPr>
            <w:fldChar w:fldCharType="begin"/>
          </w:r>
          <w:r w:rsidRPr="00954640">
            <w:rPr>
              <w:rFonts w:ascii="Arial" w:hAnsi="Arial" w:cs="Arial"/>
              <w:sz w:val="20"/>
            </w:rPr>
            <w:instrText xml:space="preserve"> TOC \o "1-3" \h \z \u </w:instrText>
          </w:r>
          <w:r w:rsidRPr="00954640">
            <w:rPr>
              <w:rFonts w:ascii="Arial" w:hAnsi="Arial" w:cs="Arial"/>
              <w:sz w:val="20"/>
            </w:rPr>
            <w:fldChar w:fldCharType="separate"/>
          </w:r>
          <w:hyperlink w:anchor="_Toc117859585" w:history="1">
            <w:r w:rsidRPr="00954640">
              <w:rPr>
                <w:rStyle w:val="Hyperlink"/>
                <w:rFonts w:ascii="Arial" w:hAnsi="Arial" w:cs="Arial"/>
                <w:noProof/>
                <w:sz w:val="20"/>
              </w:rPr>
              <w:t>S1. Parameter Estimates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_Toc117859585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86" w:history="1">
            <w:r w:rsidRPr="00954640">
              <w:rPr>
                <w:rStyle w:val="Hyperlink"/>
                <w:rFonts w:ascii="Arial" w:hAnsi="Arial" w:cs="Arial"/>
                <w:noProof/>
                <w:sz w:val="20"/>
              </w:rPr>
              <w:t>S1.1 Parameters associated with transmission</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_Toc117859586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87" w:history="1">
            <w:r w:rsidRPr="00954640">
              <w:rPr>
                <w:rStyle w:val="Hyperlink"/>
                <w:rFonts w:ascii="Arial" w:hAnsi="Arial" w:cs="Arial"/>
                <w:noProof/>
                <w:sz w:val="20"/>
              </w:rPr>
              <w:t>S1.2 Vaccine effectiveness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_Toc117859587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88" w:history="1">
            <w:r w:rsidRPr="00954640">
              <w:rPr>
                <w:rStyle w:val="Hyperlink"/>
                <w:rFonts w:ascii="Arial" w:hAnsi="Arial" w:cs="Arial"/>
                <w:noProof/>
                <w:sz w:val="20"/>
              </w:rPr>
              <w:t>S1.3 Infection-derived immunity</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_Toc117859588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5</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89" w:history="1">
            <w:r w:rsidRPr="00954640">
              <w:rPr>
                <w:rStyle w:val="Hyperlink"/>
                <w:rFonts w:ascii="Arial" w:hAnsi="Arial" w:cs="Arial"/>
                <w:noProof/>
                <w:sz w:val="20"/>
              </w:rPr>
              <w:t>S1.4 Severe outcome projections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_Toc117859589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7</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0" w:history="1">
            <w:r w:rsidRPr="00954640">
              <w:rPr>
                <w:rStyle w:val="Hyperlink"/>
                <w:rFonts w:ascii="Arial" w:hAnsi="Arial" w:cs="Arial"/>
                <w:noProof/>
                <w:sz w:val="20"/>
              </w:rPr>
              <w:t>S1.5 Characterising high-risk groups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_Toc117859590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8</w:t>
            </w:r>
            <w:r w:rsidRPr="00954640">
              <w:rPr>
                <w:rFonts w:ascii="Arial" w:hAnsi="Arial" w:cs="Arial"/>
                <w:noProof/>
                <w:webHidden/>
                <w:sz w:val="20"/>
              </w:rPr>
              <w:fldChar w:fldCharType="end"/>
            </w:r>
          </w:hyperlink>
        </w:p>
        <w:p w:rsidR="005D5162" w:rsidRPr="00954640" w:rsidRDefault="005D5162">
          <w:pPr>
            <w:pStyle w:val="TOC1"/>
            <w:tabs>
              <w:tab w:val="right" w:leader="dot" w:pos="9016"/>
            </w:tabs>
            <w:rPr>
              <w:rFonts w:ascii="Arial" w:eastAsiaTheme="minorEastAsia" w:hAnsi="Arial" w:cs="Arial"/>
              <w:noProof/>
              <w:sz w:val="20"/>
              <w:lang w:eastAsia="en-AU"/>
            </w:rPr>
          </w:pPr>
          <w:hyperlink w:anchor="_Toc117859591" w:history="1">
            <w:r w:rsidRPr="00954640">
              <w:rPr>
                <w:rStyle w:val="Hyperlink"/>
                <w:rFonts w:ascii="Arial" w:hAnsi="Arial" w:cs="Arial"/>
                <w:noProof/>
                <w:sz w:val="20"/>
              </w:rPr>
              <w:t>S2. Model Structure</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_Toc117859591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10</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2" w:history="1">
            <w:r w:rsidRPr="00954640">
              <w:rPr>
                <w:rStyle w:val="Hyperlink"/>
                <w:rFonts w:ascii="Arial" w:hAnsi="Arial" w:cs="Arial"/>
                <w:noProof/>
                <w:sz w:val="20"/>
              </w:rPr>
              <w:t>S2.1 Modelling transmission</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_Toc117859592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10</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3" w:history="1">
            <w:r w:rsidRPr="00954640">
              <w:rPr>
                <w:rStyle w:val="Hyperlink"/>
                <w:rFonts w:ascii="Arial" w:hAnsi="Arial" w:cs="Arial"/>
                <w:noProof/>
                <w:sz w:val="20"/>
              </w:rPr>
              <w:t>S2.2 Fitting to the basic reproduction number</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_Toc117859593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10</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4" w:history="1">
            <w:r w:rsidRPr="00954640">
              <w:rPr>
                <w:rStyle w:val="Hyperlink"/>
                <w:rFonts w:ascii="Arial" w:hAnsi="Arial" w:cs="Arial"/>
                <w:noProof/>
                <w:sz w:val="20"/>
              </w:rPr>
              <w:t>S2.3 Tracking the effective reproduction number</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_Toc117859594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10</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5" w:history="1">
            <w:r w:rsidRPr="00954640">
              <w:rPr>
                <w:rStyle w:val="Hyperlink"/>
                <w:rFonts w:ascii="Arial" w:hAnsi="Arial" w:cs="Arial"/>
                <w:noProof/>
                <w:sz w:val="20"/>
              </w:rPr>
              <w:t>S2.4 Modification of severe outcome projections with high-risk group</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_Toc117859595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11</w:t>
            </w:r>
            <w:r w:rsidRPr="00954640">
              <w:rPr>
                <w:rFonts w:ascii="Arial" w:hAnsi="Arial" w:cs="Arial"/>
                <w:noProof/>
                <w:webHidden/>
                <w:sz w:val="20"/>
              </w:rPr>
              <w:fldChar w:fldCharType="end"/>
            </w:r>
          </w:hyperlink>
        </w:p>
        <w:p w:rsidR="005D5162" w:rsidRPr="00954640" w:rsidRDefault="005D5162">
          <w:pPr>
            <w:pStyle w:val="TOC1"/>
            <w:tabs>
              <w:tab w:val="right" w:leader="dot" w:pos="9016"/>
            </w:tabs>
            <w:rPr>
              <w:rFonts w:ascii="Arial" w:eastAsiaTheme="minorEastAsia" w:hAnsi="Arial" w:cs="Arial"/>
              <w:noProof/>
              <w:sz w:val="20"/>
              <w:lang w:eastAsia="en-AU"/>
            </w:rPr>
          </w:pPr>
          <w:hyperlink w:anchor="_Toc117859596" w:history="1">
            <w:r w:rsidRPr="00954640">
              <w:rPr>
                <w:rStyle w:val="Hyperlink"/>
                <w:rFonts w:ascii="Arial" w:hAnsi="Arial" w:cs="Arial"/>
                <w:noProof/>
                <w:sz w:val="20"/>
              </w:rPr>
              <w:t>S3. Model Fit</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_Toc117859596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12</w:t>
            </w:r>
            <w:r w:rsidRPr="00954640">
              <w:rPr>
                <w:rFonts w:ascii="Arial" w:hAnsi="Arial" w:cs="Arial"/>
                <w:noProof/>
                <w:webHidden/>
                <w:sz w:val="20"/>
              </w:rPr>
              <w:fldChar w:fldCharType="end"/>
            </w:r>
          </w:hyperlink>
        </w:p>
        <w:p w:rsidR="005D5162" w:rsidRPr="00954640" w:rsidRDefault="005D5162">
          <w:pPr>
            <w:pStyle w:val="TOC1"/>
            <w:tabs>
              <w:tab w:val="right" w:leader="dot" w:pos="9016"/>
            </w:tabs>
            <w:rPr>
              <w:rFonts w:ascii="Arial" w:eastAsiaTheme="minorEastAsia" w:hAnsi="Arial" w:cs="Arial"/>
              <w:noProof/>
              <w:sz w:val="20"/>
              <w:lang w:eastAsia="en-AU"/>
            </w:rPr>
          </w:pPr>
          <w:hyperlink w:anchor="_Toc117859597" w:history="1">
            <w:r w:rsidRPr="00954640">
              <w:rPr>
                <w:rStyle w:val="Hyperlink"/>
                <w:rFonts w:ascii="Arial" w:hAnsi="Arial" w:cs="Arial"/>
                <w:noProof/>
                <w:sz w:val="20"/>
              </w:rPr>
              <w:t>S4. Sensitivity Analysis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_Toc117859597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14</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8" w:history="1">
            <w:r w:rsidRPr="00954640">
              <w:rPr>
                <w:rStyle w:val="Hyperlink"/>
                <w:rFonts w:ascii="Arial" w:hAnsi="Arial" w:cs="Arial"/>
                <w:noProof/>
                <w:sz w:val="20"/>
              </w:rPr>
              <w:t>S4.1 Outbreak of a new immune-escape variant</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_Toc117859598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14</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599" w:history="1">
            <w:r w:rsidRPr="00954640">
              <w:rPr>
                <w:rStyle w:val="Hyperlink"/>
                <w:rFonts w:ascii="Arial" w:hAnsi="Arial" w:cs="Arial"/>
                <w:noProof/>
                <w:sz w:val="20"/>
              </w:rPr>
              <w:t>S4.2 Prioritisation of a double-dose vaccine</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_Toc117859599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16</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600" w:history="1">
            <w:r w:rsidRPr="00954640">
              <w:rPr>
                <w:rStyle w:val="Hyperlink"/>
                <w:rFonts w:ascii="Arial" w:hAnsi="Arial" w:cs="Arial"/>
                <w:noProof/>
                <w:sz w:val="20"/>
              </w:rPr>
              <w:t>S4.3 Prioritisation of a larger number of doses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_Toc117859600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18</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601" w:history="1">
            <w:r w:rsidRPr="00954640">
              <w:rPr>
                <w:rStyle w:val="Hyperlink"/>
                <w:rFonts w:ascii="Arial" w:hAnsi="Arial" w:cs="Arial"/>
                <w:noProof/>
                <w:sz w:val="20"/>
              </w:rPr>
              <w:t>S4.4 Increased vaccine hesitancy in pregnant women</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_Toc117859601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19</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602" w:history="1">
            <w:r w:rsidRPr="00954640">
              <w:rPr>
                <w:rStyle w:val="Hyperlink"/>
                <w:rFonts w:ascii="Arial" w:hAnsi="Arial" w:cs="Arial"/>
                <w:noProof/>
                <w:sz w:val="20"/>
              </w:rPr>
              <w:t>S4.5 Reduced vaccine effectiveness in older adults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_Toc117859602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19</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603" w:history="1">
            <w:r w:rsidRPr="00954640">
              <w:rPr>
                <w:rStyle w:val="Hyperlink"/>
                <w:rFonts w:ascii="Arial" w:hAnsi="Arial" w:cs="Arial"/>
                <w:noProof/>
                <w:sz w:val="20"/>
              </w:rPr>
              <w:t>S4.6 Reduced vaccine effectiveness in older adults and adults with comorbidities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_Toc117859603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23</w:t>
            </w:r>
            <w:r w:rsidRPr="00954640">
              <w:rPr>
                <w:rFonts w:ascii="Arial" w:hAnsi="Arial" w:cs="Arial"/>
                <w:noProof/>
                <w:webHidden/>
                <w:sz w:val="20"/>
              </w:rPr>
              <w:fldChar w:fldCharType="end"/>
            </w:r>
          </w:hyperlink>
        </w:p>
        <w:p w:rsidR="005D5162" w:rsidRPr="00954640" w:rsidRDefault="005D5162">
          <w:pPr>
            <w:pStyle w:val="TOC2"/>
            <w:tabs>
              <w:tab w:val="right" w:leader="dot" w:pos="9016"/>
            </w:tabs>
            <w:rPr>
              <w:rFonts w:ascii="Arial" w:eastAsiaTheme="minorEastAsia" w:hAnsi="Arial" w:cs="Arial"/>
              <w:noProof/>
              <w:sz w:val="20"/>
              <w:lang w:eastAsia="en-AU"/>
            </w:rPr>
          </w:pPr>
          <w:hyperlink w:anchor="_Toc117859604" w:history="1">
            <w:r w:rsidRPr="00954640">
              <w:rPr>
                <w:rStyle w:val="Hyperlink"/>
                <w:rFonts w:ascii="Arial" w:hAnsi="Arial" w:cs="Arial"/>
                <w:noProof/>
                <w:sz w:val="20"/>
              </w:rPr>
              <w:t>S4.7 Increased or decreased risk of high-risk groups</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_Toc117859604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23</w:t>
            </w:r>
            <w:r w:rsidRPr="00954640">
              <w:rPr>
                <w:rFonts w:ascii="Arial" w:hAnsi="Arial" w:cs="Arial"/>
                <w:noProof/>
                <w:webHidden/>
                <w:sz w:val="20"/>
              </w:rPr>
              <w:fldChar w:fldCharType="end"/>
            </w:r>
          </w:hyperlink>
        </w:p>
        <w:p w:rsidR="005D5162" w:rsidRPr="00954640" w:rsidRDefault="005D5162">
          <w:pPr>
            <w:pStyle w:val="TOC1"/>
            <w:tabs>
              <w:tab w:val="right" w:leader="dot" w:pos="9016"/>
            </w:tabs>
            <w:rPr>
              <w:rFonts w:ascii="Arial" w:eastAsiaTheme="minorEastAsia" w:hAnsi="Arial" w:cs="Arial"/>
              <w:noProof/>
              <w:sz w:val="20"/>
              <w:lang w:eastAsia="en-AU"/>
            </w:rPr>
          </w:pPr>
          <w:hyperlink w:anchor="_Toc117859605" w:history="1">
            <w:r w:rsidRPr="00954640">
              <w:rPr>
                <w:rStyle w:val="Hyperlink"/>
                <w:rFonts w:ascii="Arial" w:hAnsi="Arial" w:cs="Arial"/>
                <w:noProof/>
                <w:sz w:val="20"/>
              </w:rPr>
              <w:t>Reference List</w:t>
            </w:r>
            <w:r w:rsidRPr="00954640">
              <w:rPr>
                <w:rFonts w:ascii="Arial" w:hAnsi="Arial" w:cs="Arial"/>
                <w:noProof/>
                <w:webHidden/>
                <w:sz w:val="20"/>
              </w:rPr>
              <w:tab/>
            </w:r>
            <w:r w:rsidRPr="00954640">
              <w:rPr>
                <w:rFonts w:ascii="Arial" w:hAnsi="Arial" w:cs="Arial"/>
                <w:noProof/>
                <w:webHidden/>
                <w:sz w:val="20"/>
              </w:rPr>
              <w:fldChar w:fldCharType="begin"/>
            </w:r>
            <w:r w:rsidRPr="00954640">
              <w:rPr>
                <w:rFonts w:ascii="Arial" w:hAnsi="Arial" w:cs="Arial"/>
                <w:noProof/>
                <w:webHidden/>
                <w:sz w:val="20"/>
              </w:rPr>
              <w:instrText xml:space="preserve"> PAGEREF _Toc117859605 \h </w:instrText>
            </w:r>
            <w:r w:rsidRPr="00954640">
              <w:rPr>
                <w:rFonts w:ascii="Arial" w:hAnsi="Arial" w:cs="Arial"/>
                <w:noProof/>
                <w:webHidden/>
                <w:sz w:val="20"/>
              </w:rPr>
            </w:r>
            <w:r w:rsidRPr="00954640">
              <w:rPr>
                <w:rFonts w:ascii="Arial" w:hAnsi="Arial" w:cs="Arial"/>
                <w:noProof/>
                <w:webHidden/>
                <w:sz w:val="20"/>
              </w:rPr>
              <w:fldChar w:fldCharType="separate"/>
            </w:r>
            <w:r w:rsidRPr="00954640">
              <w:rPr>
                <w:rFonts w:ascii="Arial" w:hAnsi="Arial" w:cs="Arial"/>
                <w:noProof/>
                <w:webHidden/>
                <w:sz w:val="20"/>
              </w:rPr>
              <w:t>27</w:t>
            </w:r>
            <w:r w:rsidRPr="00954640">
              <w:rPr>
                <w:rFonts w:ascii="Arial" w:hAnsi="Arial" w:cs="Arial"/>
                <w:noProof/>
                <w:webHidden/>
                <w:sz w:val="20"/>
              </w:rPr>
              <w:fldChar w:fldCharType="end"/>
            </w:r>
          </w:hyperlink>
        </w:p>
        <w:p w:rsidR="005D5162" w:rsidRPr="00954640" w:rsidRDefault="005D5162">
          <w:pPr>
            <w:rPr>
              <w:rFonts w:ascii="Arial" w:hAnsi="Arial" w:cs="Arial"/>
            </w:rPr>
          </w:pPr>
          <w:r w:rsidRPr="00954640">
            <w:rPr>
              <w:rFonts w:ascii="Arial" w:hAnsi="Arial" w:cs="Arial"/>
              <w:b/>
              <w:bCs/>
              <w:noProof/>
              <w:sz w:val="20"/>
            </w:rPr>
            <w:fldChar w:fldCharType="end"/>
          </w:r>
        </w:p>
      </w:sdtContent>
    </w:sdt>
    <w:p w:rsidR="005D5162" w:rsidRPr="00954640" w:rsidRDefault="005D5162">
      <w:pPr>
        <w:rPr>
          <w:rFonts w:ascii="Arial" w:eastAsiaTheme="minorEastAsia" w:hAnsi="Arial" w:cs="Arial"/>
          <w:color w:val="5A5A5A" w:themeColor="text1" w:themeTint="A5"/>
          <w:spacing w:val="15"/>
        </w:rPr>
      </w:pPr>
      <w:r w:rsidRPr="00954640">
        <w:rPr>
          <w:rFonts w:ascii="Arial" w:hAnsi="Arial" w:cs="Arial"/>
        </w:rPr>
        <w:br w:type="page"/>
      </w:r>
    </w:p>
    <w:p w:rsidR="005D5162" w:rsidRPr="00954640" w:rsidRDefault="005D5162" w:rsidP="00CD723B">
      <w:pPr>
        <w:pStyle w:val="Heading1"/>
        <w:rPr>
          <w:rFonts w:ascii="Arial" w:hAnsi="Arial" w:cs="Arial"/>
          <w:b/>
          <w:color w:val="000000" w:themeColor="text1"/>
        </w:rPr>
      </w:pPr>
      <w:bookmarkStart w:id="0" w:name="_Toc117859585"/>
      <w:r w:rsidRPr="00954640">
        <w:rPr>
          <w:rFonts w:ascii="Arial" w:hAnsi="Arial" w:cs="Arial"/>
          <w:b/>
          <w:color w:val="000000" w:themeColor="text1"/>
        </w:rPr>
        <w:lastRenderedPageBreak/>
        <w:t>S1. Parameter Estimates</w:t>
      </w:r>
      <w:bookmarkEnd w:id="0"/>
      <w:r w:rsidRPr="00954640">
        <w:rPr>
          <w:rFonts w:ascii="Arial" w:hAnsi="Arial" w:cs="Arial"/>
          <w:b/>
          <w:color w:val="000000" w:themeColor="text1"/>
        </w:rPr>
        <w:t xml:space="preserve"> </w:t>
      </w:r>
    </w:p>
    <w:p w:rsidR="005D5162" w:rsidRPr="00954640" w:rsidRDefault="005D5162" w:rsidP="00062865">
      <w:pPr>
        <w:pStyle w:val="Heading2"/>
        <w:rPr>
          <w:rFonts w:ascii="Arial" w:hAnsi="Arial" w:cs="Arial"/>
          <w:b/>
          <w:color w:val="000000" w:themeColor="text1"/>
        </w:rPr>
      </w:pPr>
      <w:bookmarkStart w:id="1" w:name="_Toc117859586"/>
      <w:r w:rsidRPr="00954640">
        <w:rPr>
          <w:rFonts w:ascii="Arial" w:hAnsi="Arial" w:cs="Arial"/>
          <w:b/>
          <w:color w:val="000000" w:themeColor="text1"/>
        </w:rPr>
        <w:t>S1.1 Parameters associated with transmission</w:t>
      </w:r>
      <w:bookmarkEnd w:id="1"/>
      <w:r w:rsidRPr="00954640">
        <w:rPr>
          <w:rFonts w:ascii="Arial" w:hAnsi="Arial" w:cs="Arial"/>
          <w:b/>
          <w:color w:val="000000" w:themeColor="text1"/>
        </w:rPr>
        <w:t xml:space="preserve"> </w:t>
      </w:r>
    </w:p>
    <w:p w:rsidR="005D5162" w:rsidRPr="00954640" w:rsidRDefault="005D5162" w:rsidP="00046BA1">
      <w:pPr>
        <w:spacing w:after="0"/>
        <w:rPr>
          <w:rFonts w:ascii="Arial" w:hAnsi="Arial" w:cs="Arial"/>
          <w:sz w:val="20"/>
          <w:szCs w:val="20"/>
        </w:rPr>
      </w:pPr>
      <w:r w:rsidRPr="00954640">
        <w:rPr>
          <w:rFonts w:ascii="Arial" w:hAnsi="Arial" w:cs="Arial"/>
          <w:b/>
          <w:bCs/>
          <w:sz w:val="20"/>
          <w:szCs w:val="20"/>
        </w:rPr>
        <w:t xml:space="preserve">Table S1.1 </w:t>
      </w:r>
      <w:r w:rsidRPr="00954640">
        <w:rPr>
          <w:rFonts w:ascii="Arial" w:hAnsi="Arial" w:cs="Arial"/>
          <w:sz w:val="20"/>
          <w:szCs w:val="20"/>
        </w:rPr>
        <w:t xml:space="preserve">Model parameters with symbols, descriptions, values, and sources. </w:t>
      </w:r>
    </w:p>
    <w:tbl>
      <w:tblPr>
        <w:tblStyle w:val="TableGrid"/>
        <w:tblW w:w="8790" w:type="dxa"/>
        <w:tblLayout w:type="fixed"/>
        <w:tblLook w:val="04A0" w:firstRow="1" w:lastRow="0" w:firstColumn="1" w:lastColumn="0" w:noHBand="0" w:noVBand="1"/>
      </w:tblPr>
      <w:tblGrid>
        <w:gridCol w:w="936"/>
        <w:gridCol w:w="3312"/>
        <w:gridCol w:w="2551"/>
        <w:gridCol w:w="1991"/>
      </w:tblGrid>
      <w:tr w:rsidR="005D5162" w:rsidRPr="009456C6" w:rsidTr="00820F7C">
        <w:trPr>
          <w:tblHeader/>
        </w:trPr>
        <w:tc>
          <w:tcPr>
            <w:tcW w:w="936" w:type="dxa"/>
            <w:tcBorders>
              <w:top w:val="single" w:sz="4" w:space="0" w:color="auto"/>
              <w:left w:val="single" w:sz="4" w:space="0" w:color="auto"/>
              <w:bottom w:val="single" w:sz="4" w:space="0" w:color="auto"/>
              <w:right w:val="single" w:sz="4" w:space="0" w:color="auto"/>
            </w:tcBorders>
            <w:hideMark/>
          </w:tcPr>
          <w:p w:rsidR="005D5162" w:rsidRPr="009456C6" w:rsidRDefault="005D5162" w:rsidP="004B717D">
            <w:pPr>
              <w:rPr>
                <w:rFonts w:ascii="Arial" w:hAnsi="Arial" w:cs="Arial"/>
                <w:b/>
                <w:sz w:val="18"/>
                <w:szCs w:val="16"/>
              </w:rPr>
            </w:pPr>
            <w:r w:rsidRPr="009456C6">
              <w:rPr>
                <w:rFonts w:ascii="Arial" w:hAnsi="Arial" w:cs="Arial"/>
                <w:b/>
                <w:sz w:val="18"/>
                <w:szCs w:val="16"/>
              </w:rPr>
              <w:t>Symbol</w:t>
            </w:r>
          </w:p>
        </w:tc>
        <w:tc>
          <w:tcPr>
            <w:tcW w:w="3312" w:type="dxa"/>
            <w:tcBorders>
              <w:top w:val="single" w:sz="4" w:space="0" w:color="auto"/>
              <w:left w:val="single" w:sz="4" w:space="0" w:color="auto"/>
              <w:bottom w:val="single" w:sz="4" w:space="0" w:color="auto"/>
              <w:right w:val="single" w:sz="4" w:space="0" w:color="auto"/>
            </w:tcBorders>
            <w:hideMark/>
          </w:tcPr>
          <w:p w:rsidR="005D5162" w:rsidRPr="009456C6" w:rsidRDefault="005D5162" w:rsidP="004B717D">
            <w:pPr>
              <w:rPr>
                <w:rFonts w:ascii="Arial" w:hAnsi="Arial" w:cs="Arial"/>
                <w:b/>
                <w:sz w:val="18"/>
                <w:szCs w:val="16"/>
              </w:rPr>
            </w:pPr>
            <w:r w:rsidRPr="009456C6">
              <w:rPr>
                <w:rFonts w:ascii="Arial" w:hAnsi="Arial" w:cs="Arial"/>
                <w:b/>
                <w:sz w:val="18"/>
                <w:szCs w:val="16"/>
              </w:rPr>
              <w:t>Description</w:t>
            </w:r>
          </w:p>
        </w:tc>
        <w:tc>
          <w:tcPr>
            <w:tcW w:w="255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4B717D">
            <w:pPr>
              <w:rPr>
                <w:rFonts w:ascii="Arial" w:hAnsi="Arial" w:cs="Arial"/>
                <w:b/>
                <w:sz w:val="18"/>
                <w:szCs w:val="16"/>
              </w:rPr>
            </w:pPr>
            <w:r w:rsidRPr="009456C6">
              <w:rPr>
                <w:rFonts w:ascii="Arial" w:hAnsi="Arial" w:cs="Arial"/>
                <w:b/>
                <w:sz w:val="18"/>
                <w:szCs w:val="16"/>
              </w:rPr>
              <w:t xml:space="preserve">Value </w:t>
            </w:r>
          </w:p>
        </w:tc>
        <w:tc>
          <w:tcPr>
            <w:tcW w:w="199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4B717D">
            <w:pPr>
              <w:rPr>
                <w:rFonts w:ascii="Arial" w:hAnsi="Arial" w:cs="Arial"/>
                <w:b/>
                <w:sz w:val="18"/>
                <w:szCs w:val="16"/>
              </w:rPr>
            </w:pPr>
            <w:r w:rsidRPr="009456C6">
              <w:rPr>
                <w:rFonts w:ascii="Arial" w:hAnsi="Arial" w:cs="Arial"/>
                <w:b/>
                <w:sz w:val="18"/>
                <w:szCs w:val="16"/>
              </w:rPr>
              <w:t>Source(s)</w:t>
            </w:r>
          </w:p>
        </w:tc>
      </w:tr>
      <w:tr w:rsidR="005D5162" w:rsidRPr="009456C6" w:rsidTr="00820F7C">
        <w:trPr>
          <w:tblHeader/>
        </w:trPr>
        <w:tc>
          <w:tcPr>
            <w:tcW w:w="936"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jc w:val="both"/>
              <w:rPr>
                <w:rFonts w:ascii="Arial" w:hAnsi="Arial" w:cs="Arial"/>
                <w:sz w:val="18"/>
                <w:szCs w:val="16"/>
                <w:lang w:val="it-IT"/>
              </w:rPr>
            </w:pPr>
            <m:oMathPara>
              <m:oMathParaPr>
                <m:jc m:val="left"/>
              </m:oMathParaPr>
              <m:oMath>
                <m:r>
                  <w:rPr>
                    <w:rFonts w:ascii="Cambria Math" w:hAnsi="Cambria Math" w:cs="Arial"/>
                    <w:sz w:val="18"/>
                    <w:szCs w:val="16"/>
                  </w:rPr>
                  <m:t>ι</m:t>
                </m:r>
              </m:oMath>
            </m:oMathPara>
          </w:p>
        </w:tc>
        <w:tc>
          <w:tcPr>
            <w:tcW w:w="3312"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Modification factor on infectiousness of asymptomatic cases</w:t>
            </w:r>
          </w:p>
        </w:tc>
        <w:tc>
          <w:tcPr>
            <w:tcW w:w="255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0.50</w:t>
            </w:r>
          </w:p>
        </w:tc>
        <w:tc>
          <w:tcPr>
            <w:tcW w:w="199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5D5162">
            <w:pPr>
              <w:rPr>
                <w:rFonts w:ascii="Arial" w:hAnsi="Arial" w:cs="Arial"/>
                <w:sz w:val="18"/>
                <w:szCs w:val="16"/>
              </w:rPr>
            </w:pPr>
            <w:r w:rsidRPr="009456C6">
              <w:rPr>
                <w:rFonts w:ascii="Arial" w:hAnsi="Arial" w:cs="Arial"/>
                <w:sz w:val="18"/>
                <w:szCs w:val="16"/>
              </w:rPr>
              <w:t xml:space="preserve">Common modelling estimate see </w:t>
            </w:r>
            <w:r>
              <w:rPr>
                <w:rFonts w:ascii="Arial" w:hAnsi="Arial" w:cs="Arial"/>
                <w:noProof/>
                <w:sz w:val="18"/>
                <w:szCs w:val="16"/>
              </w:rPr>
              <w:t>[1-3]</w:t>
            </w:r>
          </w:p>
        </w:tc>
      </w:tr>
      <w:tr w:rsidR="005D5162" w:rsidRPr="009456C6" w:rsidTr="00820F7C">
        <w:trPr>
          <w:tblHeader/>
        </w:trPr>
        <w:tc>
          <w:tcPr>
            <w:tcW w:w="936"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jc w:val="both"/>
              <w:rPr>
                <w:rFonts w:ascii="Arial" w:eastAsia="Calibri" w:hAnsi="Arial" w:cs="Arial"/>
                <w:sz w:val="18"/>
                <w:szCs w:val="16"/>
              </w:rPr>
            </w:pPr>
            <m:oMathPara>
              <m:oMathParaPr>
                <m:jc m:val="left"/>
              </m:oMathParaPr>
              <m:oMath>
                <m:r>
                  <w:rPr>
                    <w:rFonts w:ascii="Cambria Math" w:hAnsi="Cambria Math" w:cs="Arial"/>
                    <w:sz w:val="18"/>
                    <w:szCs w:val="16"/>
                  </w:rPr>
                  <m:t>u</m:t>
                </m:r>
              </m:oMath>
            </m:oMathPara>
          </w:p>
        </w:tc>
        <w:tc>
          <w:tcPr>
            <w:tcW w:w="3312"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Age-specific susceptibility to infection</w:t>
            </w:r>
          </w:p>
        </w:tc>
        <w:tc>
          <w:tcPr>
            <w:tcW w:w="255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40% (0-9 years)</w:t>
            </w:r>
          </w:p>
          <w:p w:rsidR="005D5162" w:rsidRPr="009456C6" w:rsidRDefault="005D5162" w:rsidP="00954640">
            <w:pPr>
              <w:rPr>
                <w:rFonts w:ascii="Arial" w:hAnsi="Arial" w:cs="Arial"/>
                <w:sz w:val="18"/>
                <w:szCs w:val="16"/>
              </w:rPr>
            </w:pPr>
            <w:r w:rsidRPr="009456C6">
              <w:rPr>
                <w:rFonts w:ascii="Arial" w:hAnsi="Arial" w:cs="Arial"/>
                <w:sz w:val="18"/>
                <w:szCs w:val="16"/>
              </w:rPr>
              <w:t>38% (10-19 years)</w:t>
            </w:r>
          </w:p>
          <w:p w:rsidR="005D5162" w:rsidRPr="009456C6" w:rsidRDefault="005D5162" w:rsidP="00954640">
            <w:pPr>
              <w:rPr>
                <w:rFonts w:ascii="Arial" w:hAnsi="Arial" w:cs="Arial"/>
                <w:sz w:val="18"/>
                <w:szCs w:val="16"/>
              </w:rPr>
            </w:pPr>
            <w:r w:rsidRPr="009456C6">
              <w:rPr>
                <w:rFonts w:ascii="Arial" w:hAnsi="Arial" w:cs="Arial"/>
                <w:sz w:val="18"/>
                <w:szCs w:val="16"/>
              </w:rPr>
              <w:t>79% (20-29 years)</w:t>
            </w:r>
          </w:p>
          <w:p w:rsidR="005D5162" w:rsidRPr="009456C6" w:rsidRDefault="005D5162" w:rsidP="00954640">
            <w:pPr>
              <w:rPr>
                <w:rFonts w:ascii="Arial" w:hAnsi="Arial" w:cs="Arial"/>
                <w:sz w:val="18"/>
                <w:szCs w:val="16"/>
              </w:rPr>
            </w:pPr>
            <w:r w:rsidRPr="009456C6">
              <w:rPr>
                <w:rFonts w:ascii="Arial" w:hAnsi="Arial" w:cs="Arial"/>
                <w:sz w:val="18"/>
                <w:szCs w:val="16"/>
              </w:rPr>
              <w:t>86% (30-39 years)</w:t>
            </w:r>
          </w:p>
          <w:p w:rsidR="005D5162" w:rsidRPr="009456C6" w:rsidRDefault="005D5162" w:rsidP="00954640">
            <w:pPr>
              <w:rPr>
                <w:rFonts w:ascii="Arial" w:hAnsi="Arial" w:cs="Arial"/>
                <w:sz w:val="18"/>
                <w:szCs w:val="16"/>
              </w:rPr>
            </w:pPr>
            <w:r w:rsidRPr="009456C6">
              <w:rPr>
                <w:rFonts w:ascii="Arial" w:hAnsi="Arial" w:cs="Arial"/>
                <w:sz w:val="18"/>
                <w:szCs w:val="16"/>
              </w:rPr>
              <w:t>80% (40-49 years)</w:t>
            </w:r>
          </w:p>
          <w:p w:rsidR="005D5162" w:rsidRPr="009456C6" w:rsidRDefault="005D5162" w:rsidP="00954640">
            <w:pPr>
              <w:rPr>
                <w:rFonts w:ascii="Arial" w:hAnsi="Arial" w:cs="Arial"/>
                <w:sz w:val="18"/>
                <w:szCs w:val="16"/>
              </w:rPr>
            </w:pPr>
            <w:r w:rsidRPr="009456C6">
              <w:rPr>
                <w:rFonts w:ascii="Arial" w:hAnsi="Arial" w:cs="Arial"/>
                <w:sz w:val="18"/>
                <w:szCs w:val="16"/>
              </w:rPr>
              <w:t>82% (50-59 years)</w:t>
            </w:r>
          </w:p>
          <w:p w:rsidR="005D5162" w:rsidRPr="009456C6" w:rsidRDefault="005D5162" w:rsidP="00954640">
            <w:pPr>
              <w:rPr>
                <w:rFonts w:ascii="Arial" w:hAnsi="Arial" w:cs="Arial"/>
                <w:sz w:val="18"/>
                <w:szCs w:val="16"/>
              </w:rPr>
            </w:pPr>
            <w:r w:rsidRPr="009456C6">
              <w:rPr>
                <w:rFonts w:ascii="Arial" w:hAnsi="Arial" w:cs="Arial"/>
                <w:sz w:val="18"/>
                <w:szCs w:val="16"/>
              </w:rPr>
              <w:t>88% (60-69 years)</w:t>
            </w:r>
          </w:p>
          <w:p w:rsidR="005D5162" w:rsidRPr="009456C6" w:rsidRDefault="005D5162" w:rsidP="00954640">
            <w:pPr>
              <w:rPr>
                <w:rFonts w:ascii="Arial" w:hAnsi="Arial" w:cs="Arial"/>
                <w:sz w:val="18"/>
                <w:szCs w:val="16"/>
              </w:rPr>
            </w:pPr>
            <w:r w:rsidRPr="009456C6">
              <w:rPr>
                <w:rFonts w:ascii="Arial" w:hAnsi="Arial" w:cs="Arial"/>
                <w:sz w:val="18"/>
                <w:szCs w:val="16"/>
              </w:rPr>
              <w:t>74% (70+ years)</w:t>
            </w:r>
          </w:p>
        </w:tc>
        <w:tc>
          <w:tcPr>
            <w:tcW w:w="199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820F7C">
            <w:pPr>
              <w:rPr>
                <w:rFonts w:ascii="Arial" w:hAnsi="Arial" w:cs="Arial"/>
                <w:sz w:val="18"/>
                <w:szCs w:val="16"/>
              </w:rPr>
            </w:pPr>
            <w:r>
              <w:rPr>
                <w:rFonts w:ascii="Arial" w:hAnsi="Arial" w:cs="Arial"/>
                <w:noProof/>
                <w:sz w:val="18"/>
                <w:szCs w:val="16"/>
              </w:rPr>
              <w:t xml:space="preserve"> [4]</w:t>
            </w:r>
          </w:p>
        </w:tc>
      </w:tr>
      <w:tr w:rsidR="005D5162" w:rsidRPr="009456C6" w:rsidTr="00820F7C">
        <w:trPr>
          <w:tblHeader/>
        </w:trPr>
        <w:tc>
          <w:tcPr>
            <w:tcW w:w="936"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jc w:val="both"/>
              <w:rPr>
                <w:rFonts w:ascii="Arial" w:eastAsia="Calibri" w:hAnsi="Arial" w:cs="Arial"/>
                <w:sz w:val="18"/>
                <w:szCs w:val="16"/>
              </w:rPr>
            </w:pPr>
            <m:oMathPara>
              <m:oMathParaPr>
                <m:jc m:val="left"/>
              </m:oMathParaPr>
              <m:oMath>
                <m:r>
                  <w:rPr>
                    <w:rFonts w:ascii="Cambria Math" w:hAnsi="Cambria Math" w:cs="Arial"/>
                    <w:sz w:val="18"/>
                    <w:szCs w:val="16"/>
                  </w:rPr>
                  <m:t>γ</m:t>
                </m:r>
              </m:oMath>
            </m:oMathPara>
          </w:p>
        </w:tc>
        <w:tc>
          <w:tcPr>
            <w:tcW w:w="3312"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Proportion of infected individuals who are symptomatic</w:t>
            </w:r>
          </w:p>
        </w:tc>
        <w:tc>
          <w:tcPr>
            <w:tcW w:w="255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954640">
            <w:pPr>
              <w:rPr>
                <w:rFonts w:ascii="Arial" w:hAnsi="Arial" w:cs="Arial"/>
                <w:sz w:val="18"/>
                <w:szCs w:val="16"/>
              </w:rPr>
            </w:pPr>
            <w:r w:rsidRPr="009456C6">
              <w:rPr>
                <w:rFonts w:ascii="Arial" w:hAnsi="Arial" w:cs="Arial"/>
                <w:sz w:val="18"/>
                <w:szCs w:val="16"/>
              </w:rPr>
              <w:t>29% (0-9 years)</w:t>
            </w:r>
          </w:p>
          <w:p w:rsidR="005D5162" w:rsidRPr="009456C6" w:rsidRDefault="005D5162" w:rsidP="00954640">
            <w:pPr>
              <w:rPr>
                <w:rFonts w:ascii="Arial" w:hAnsi="Arial" w:cs="Arial"/>
                <w:sz w:val="18"/>
                <w:szCs w:val="16"/>
              </w:rPr>
            </w:pPr>
            <w:r w:rsidRPr="009456C6">
              <w:rPr>
                <w:rFonts w:ascii="Arial" w:hAnsi="Arial" w:cs="Arial"/>
                <w:sz w:val="18"/>
                <w:szCs w:val="16"/>
              </w:rPr>
              <w:t>21% (10-19 years)</w:t>
            </w:r>
          </w:p>
          <w:p w:rsidR="005D5162" w:rsidRPr="009456C6" w:rsidRDefault="005D5162" w:rsidP="00954640">
            <w:pPr>
              <w:rPr>
                <w:rFonts w:ascii="Arial" w:hAnsi="Arial" w:cs="Arial"/>
                <w:sz w:val="18"/>
                <w:szCs w:val="16"/>
              </w:rPr>
            </w:pPr>
            <w:r w:rsidRPr="009456C6">
              <w:rPr>
                <w:rFonts w:ascii="Arial" w:hAnsi="Arial" w:cs="Arial"/>
                <w:sz w:val="18"/>
                <w:szCs w:val="16"/>
              </w:rPr>
              <w:t>27% (20-29 years)</w:t>
            </w:r>
          </w:p>
          <w:p w:rsidR="005D5162" w:rsidRPr="009456C6" w:rsidRDefault="005D5162" w:rsidP="00954640">
            <w:pPr>
              <w:rPr>
                <w:rFonts w:ascii="Arial" w:hAnsi="Arial" w:cs="Arial"/>
                <w:sz w:val="18"/>
                <w:szCs w:val="16"/>
              </w:rPr>
            </w:pPr>
            <w:r w:rsidRPr="009456C6">
              <w:rPr>
                <w:rFonts w:ascii="Arial" w:hAnsi="Arial" w:cs="Arial"/>
                <w:sz w:val="18"/>
                <w:szCs w:val="16"/>
              </w:rPr>
              <w:t>33% (30-39 years)</w:t>
            </w:r>
          </w:p>
          <w:p w:rsidR="005D5162" w:rsidRPr="009456C6" w:rsidRDefault="005D5162" w:rsidP="00954640">
            <w:pPr>
              <w:rPr>
                <w:rFonts w:ascii="Arial" w:hAnsi="Arial" w:cs="Arial"/>
                <w:sz w:val="18"/>
                <w:szCs w:val="16"/>
              </w:rPr>
            </w:pPr>
            <w:r w:rsidRPr="009456C6">
              <w:rPr>
                <w:rFonts w:ascii="Arial" w:hAnsi="Arial" w:cs="Arial"/>
                <w:sz w:val="18"/>
                <w:szCs w:val="16"/>
              </w:rPr>
              <w:t>40% (40-49 years)</w:t>
            </w:r>
          </w:p>
          <w:p w:rsidR="005D5162" w:rsidRPr="009456C6" w:rsidRDefault="005D5162" w:rsidP="00954640">
            <w:pPr>
              <w:rPr>
                <w:rFonts w:ascii="Arial" w:hAnsi="Arial" w:cs="Arial"/>
                <w:sz w:val="18"/>
                <w:szCs w:val="16"/>
              </w:rPr>
            </w:pPr>
            <w:r w:rsidRPr="009456C6">
              <w:rPr>
                <w:rFonts w:ascii="Arial" w:hAnsi="Arial" w:cs="Arial"/>
                <w:sz w:val="18"/>
                <w:szCs w:val="16"/>
              </w:rPr>
              <w:t>49% (50-59 years)</w:t>
            </w:r>
          </w:p>
          <w:p w:rsidR="005D5162" w:rsidRPr="009456C6" w:rsidRDefault="005D5162" w:rsidP="00954640">
            <w:pPr>
              <w:rPr>
                <w:rFonts w:ascii="Arial" w:hAnsi="Arial" w:cs="Arial"/>
                <w:sz w:val="18"/>
                <w:szCs w:val="16"/>
              </w:rPr>
            </w:pPr>
            <w:r w:rsidRPr="009456C6">
              <w:rPr>
                <w:rFonts w:ascii="Arial" w:hAnsi="Arial" w:cs="Arial"/>
                <w:sz w:val="18"/>
                <w:szCs w:val="16"/>
              </w:rPr>
              <w:t>63% (60-69 years)</w:t>
            </w:r>
          </w:p>
          <w:p w:rsidR="005D5162" w:rsidRPr="009456C6" w:rsidRDefault="005D5162" w:rsidP="00954640">
            <w:pPr>
              <w:rPr>
                <w:rFonts w:ascii="Arial" w:hAnsi="Arial" w:cs="Arial"/>
                <w:sz w:val="18"/>
                <w:szCs w:val="16"/>
              </w:rPr>
            </w:pPr>
            <w:r w:rsidRPr="009456C6">
              <w:rPr>
                <w:rFonts w:ascii="Arial" w:hAnsi="Arial" w:cs="Arial"/>
                <w:sz w:val="18"/>
                <w:szCs w:val="16"/>
              </w:rPr>
              <w:t>69% (70+ years)</w:t>
            </w:r>
          </w:p>
        </w:tc>
        <w:tc>
          <w:tcPr>
            <w:tcW w:w="1991" w:type="dxa"/>
            <w:tcBorders>
              <w:top w:val="single" w:sz="4" w:space="0" w:color="auto"/>
              <w:left w:val="single" w:sz="4" w:space="0" w:color="auto"/>
              <w:bottom w:val="single" w:sz="4" w:space="0" w:color="auto"/>
              <w:right w:val="single" w:sz="4" w:space="0" w:color="auto"/>
            </w:tcBorders>
            <w:hideMark/>
          </w:tcPr>
          <w:p w:rsidR="005D5162" w:rsidRPr="009456C6" w:rsidRDefault="005D5162" w:rsidP="00820F7C">
            <w:pPr>
              <w:rPr>
                <w:rFonts w:ascii="Arial" w:hAnsi="Arial" w:cs="Arial"/>
                <w:sz w:val="18"/>
                <w:szCs w:val="16"/>
              </w:rPr>
            </w:pPr>
            <w:r>
              <w:rPr>
                <w:rFonts w:ascii="Arial" w:hAnsi="Arial" w:cs="Arial"/>
                <w:noProof/>
                <w:sz w:val="18"/>
                <w:szCs w:val="16"/>
              </w:rPr>
              <w:t xml:space="preserve"> [4]</w:t>
            </w:r>
          </w:p>
        </w:tc>
      </w:tr>
    </w:tbl>
    <w:p w:rsidR="005D5162" w:rsidRPr="00954640" w:rsidRDefault="005D5162" w:rsidP="00F1472D">
      <w:pPr>
        <w:spacing w:after="0"/>
        <w:rPr>
          <w:rFonts w:ascii="Arial" w:hAnsi="Arial" w:cs="Arial"/>
          <w:b/>
          <w:bCs/>
          <w:sz w:val="20"/>
          <w:szCs w:val="20"/>
        </w:rPr>
      </w:pPr>
    </w:p>
    <w:p w:rsidR="005D5162" w:rsidRPr="00954640" w:rsidRDefault="005D5162" w:rsidP="00F1472D">
      <w:pPr>
        <w:spacing w:after="0"/>
        <w:rPr>
          <w:rFonts w:ascii="Arial" w:hAnsi="Arial" w:cs="Arial"/>
          <w:b/>
          <w:bCs/>
          <w:sz w:val="20"/>
          <w:szCs w:val="20"/>
        </w:rPr>
      </w:pPr>
      <w:r w:rsidRPr="00954640">
        <w:rPr>
          <w:rFonts w:ascii="Arial" w:hAnsi="Arial" w:cs="Arial"/>
          <w:b/>
          <w:bCs/>
          <w:sz w:val="20"/>
          <w:szCs w:val="20"/>
        </w:rPr>
        <w:t xml:space="preserve">Table S1.2 </w:t>
      </w:r>
      <w:r w:rsidRPr="00954640">
        <w:rPr>
          <w:rFonts w:ascii="Arial" w:hAnsi="Arial" w:cs="Arial"/>
          <w:sz w:val="20"/>
          <w:szCs w:val="20"/>
        </w:rPr>
        <w:t>Daily age-specific contact patterns for Sierra Leone, adapted from</w:t>
      </w:r>
      <w:r>
        <w:rPr>
          <w:rFonts w:ascii="Arial" w:hAnsi="Arial" w:cs="Arial"/>
          <w:sz w:val="20"/>
          <w:szCs w:val="20"/>
        </w:rPr>
        <w:t xml:space="preserve"> </w:t>
      </w:r>
      <w:r>
        <w:rPr>
          <w:rFonts w:ascii="Arial" w:hAnsi="Arial" w:cs="Arial"/>
          <w:noProof/>
          <w:sz w:val="20"/>
          <w:szCs w:val="20"/>
        </w:rPr>
        <w:t>[5]</w:t>
      </w:r>
    </w:p>
    <w:tbl>
      <w:tblPr>
        <w:tblW w:w="9016"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10"/>
        <w:gridCol w:w="701"/>
        <w:gridCol w:w="823"/>
        <w:gridCol w:w="940"/>
        <w:gridCol w:w="940"/>
        <w:gridCol w:w="940"/>
        <w:gridCol w:w="941"/>
        <w:gridCol w:w="940"/>
        <w:gridCol w:w="808"/>
        <w:gridCol w:w="1073"/>
      </w:tblGrid>
      <w:tr w:rsidR="005D5162" w:rsidRPr="009456C6" w:rsidTr="004B717D">
        <w:trPr>
          <w:trHeight w:val="290"/>
        </w:trPr>
        <w:tc>
          <w:tcPr>
            <w:tcW w:w="910" w:type="dxa"/>
            <w:tcBorders>
              <w:top w:val="single" w:sz="4" w:space="0" w:color="auto"/>
              <w:bottom w:val="single" w:sz="4" w:space="0" w:color="auto"/>
              <w:right w:val="single" w:sz="4" w:space="0" w:color="auto"/>
            </w:tcBorders>
            <w:shd w:val="clear" w:color="auto" w:fill="auto"/>
            <w:noWrap/>
            <w:vAlign w:val="bottom"/>
          </w:tcPr>
          <w:p w:rsidR="005D5162" w:rsidRPr="009456C6" w:rsidRDefault="005D5162" w:rsidP="00661349">
            <w:pPr>
              <w:spacing w:after="0" w:line="240" w:lineRule="auto"/>
              <w:rPr>
                <w:rFonts w:ascii="Arial" w:eastAsia="Times New Roman" w:hAnsi="Arial" w:cs="Arial"/>
                <w:b/>
                <w:sz w:val="18"/>
                <w:szCs w:val="16"/>
                <w:lang w:eastAsia="en-AU"/>
              </w:rPr>
            </w:pPr>
          </w:p>
        </w:tc>
        <w:tc>
          <w:tcPr>
            <w:tcW w:w="7033" w:type="dxa"/>
            <w:gridSpan w:val="8"/>
            <w:tcBorders>
              <w:top w:val="single" w:sz="4" w:space="0" w:color="auto"/>
              <w:bottom w:val="single" w:sz="4" w:space="0" w:color="auto"/>
              <w:right w:val="single" w:sz="4" w:space="0" w:color="auto"/>
            </w:tcBorders>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Age group of contact</w:t>
            </w:r>
          </w:p>
        </w:tc>
        <w:tc>
          <w:tcPr>
            <w:tcW w:w="1073" w:type="dxa"/>
            <w:vMerge w:val="restart"/>
            <w:tcBorders>
              <w:top w:val="single" w:sz="4" w:space="0" w:color="auto"/>
              <w:left w:val="single" w:sz="4" w:space="0" w:color="auto"/>
            </w:tcBorders>
            <w:shd w:val="clear" w:color="auto" w:fill="auto"/>
            <w:noWrap/>
            <w:vAlign w:val="bottom"/>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Total daily contacts</w:t>
            </w:r>
          </w:p>
        </w:tc>
      </w:tr>
      <w:tr w:rsidR="005D5162" w:rsidRPr="009456C6" w:rsidTr="00B1090C">
        <w:trPr>
          <w:trHeight w:val="290"/>
        </w:trPr>
        <w:tc>
          <w:tcPr>
            <w:tcW w:w="910" w:type="dxa"/>
            <w:tcBorders>
              <w:top w:val="single" w:sz="4" w:space="0" w:color="auto"/>
              <w:bottom w:val="single" w:sz="4" w:space="0" w:color="auto"/>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sz w:val="18"/>
                <w:szCs w:val="16"/>
                <w:lang w:eastAsia="en-AU"/>
              </w:rPr>
            </w:pPr>
            <w:r w:rsidRPr="009456C6">
              <w:rPr>
                <w:rFonts w:ascii="Arial" w:eastAsia="Times New Roman" w:hAnsi="Arial" w:cs="Arial"/>
                <w:b/>
                <w:sz w:val="18"/>
                <w:szCs w:val="16"/>
                <w:lang w:eastAsia="en-AU"/>
              </w:rPr>
              <w:t>Age group</w:t>
            </w:r>
          </w:p>
        </w:tc>
        <w:tc>
          <w:tcPr>
            <w:tcW w:w="701" w:type="dxa"/>
            <w:tcBorders>
              <w:top w:val="single" w:sz="4" w:space="0" w:color="auto"/>
              <w:left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0 to 4</w:t>
            </w:r>
          </w:p>
        </w:tc>
        <w:tc>
          <w:tcPr>
            <w:tcW w:w="823" w:type="dxa"/>
            <w:tcBorders>
              <w:top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5 to 9</w:t>
            </w:r>
          </w:p>
        </w:tc>
        <w:tc>
          <w:tcPr>
            <w:tcW w:w="940" w:type="dxa"/>
            <w:tcBorders>
              <w:top w:val="single" w:sz="4" w:space="0" w:color="auto"/>
              <w:bottom w:val="single" w:sz="4" w:space="0" w:color="auto"/>
            </w:tcBorders>
            <w:vAlign w:val="bottom"/>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10 to 17</w:t>
            </w:r>
          </w:p>
        </w:tc>
        <w:tc>
          <w:tcPr>
            <w:tcW w:w="940" w:type="dxa"/>
            <w:tcBorders>
              <w:top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18 to 29</w:t>
            </w:r>
          </w:p>
        </w:tc>
        <w:tc>
          <w:tcPr>
            <w:tcW w:w="940" w:type="dxa"/>
            <w:tcBorders>
              <w:top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30 to 44</w:t>
            </w:r>
          </w:p>
        </w:tc>
        <w:tc>
          <w:tcPr>
            <w:tcW w:w="941" w:type="dxa"/>
            <w:tcBorders>
              <w:top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45 to 59</w:t>
            </w:r>
          </w:p>
        </w:tc>
        <w:tc>
          <w:tcPr>
            <w:tcW w:w="940" w:type="dxa"/>
            <w:tcBorders>
              <w:top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60 to 69</w:t>
            </w:r>
          </w:p>
        </w:tc>
        <w:tc>
          <w:tcPr>
            <w:tcW w:w="808" w:type="dxa"/>
            <w:tcBorders>
              <w:top w:val="single" w:sz="4" w:space="0" w:color="auto"/>
              <w:bottom w:val="single" w:sz="4" w:space="0" w:color="auto"/>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b/>
                <w:color w:val="000000"/>
                <w:sz w:val="18"/>
                <w:szCs w:val="16"/>
                <w:lang w:eastAsia="en-AU"/>
              </w:rPr>
            </w:pPr>
            <w:r w:rsidRPr="009456C6">
              <w:rPr>
                <w:rFonts w:ascii="Arial" w:eastAsia="Times New Roman" w:hAnsi="Arial" w:cs="Arial"/>
                <w:b/>
                <w:color w:val="000000"/>
                <w:sz w:val="18"/>
                <w:szCs w:val="16"/>
                <w:lang w:eastAsia="en-AU"/>
              </w:rPr>
              <w:t>70+</w:t>
            </w:r>
          </w:p>
        </w:tc>
        <w:tc>
          <w:tcPr>
            <w:tcW w:w="1073" w:type="dxa"/>
            <w:vMerge/>
            <w:tcBorders>
              <w:left w:val="single" w:sz="4" w:space="0" w:color="auto"/>
              <w:bottom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p>
        </w:tc>
      </w:tr>
      <w:tr w:rsidR="005D5162" w:rsidRPr="009456C6" w:rsidTr="00B1090C">
        <w:trPr>
          <w:trHeight w:val="290"/>
        </w:trPr>
        <w:tc>
          <w:tcPr>
            <w:tcW w:w="910" w:type="dxa"/>
            <w:tcBorders>
              <w:top w:val="single" w:sz="4" w:space="0" w:color="auto"/>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 to 4</w:t>
            </w:r>
          </w:p>
        </w:tc>
        <w:tc>
          <w:tcPr>
            <w:tcW w:w="701" w:type="dxa"/>
            <w:tcBorders>
              <w:top w:val="single" w:sz="4" w:space="0" w:color="auto"/>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2.5</w:t>
            </w:r>
          </w:p>
        </w:tc>
        <w:tc>
          <w:tcPr>
            <w:tcW w:w="823" w:type="dxa"/>
            <w:tcBorders>
              <w:top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1.9</w:t>
            </w:r>
          </w:p>
        </w:tc>
        <w:tc>
          <w:tcPr>
            <w:tcW w:w="940" w:type="dxa"/>
            <w:tcBorders>
              <w:top w:val="single" w:sz="4" w:space="0" w:color="auto"/>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1.6</w:t>
            </w:r>
          </w:p>
        </w:tc>
        <w:tc>
          <w:tcPr>
            <w:tcW w:w="940" w:type="dxa"/>
            <w:tcBorders>
              <w:top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2.7</w:t>
            </w:r>
          </w:p>
        </w:tc>
        <w:tc>
          <w:tcPr>
            <w:tcW w:w="940" w:type="dxa"/>
            <w:tcBorders>
              <w:top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3.9</w:t>
            </w:r>
          </w:p>
        </w:tc>
        <w:tc>
          <w:tcPr>
            <w:tcW w:w="941" w:type="dxa"/>
            <w:tcBorders>
              <w:top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2.3</w:t>
            </w:r>
          </w:p>
        </w:tc>
        <w:tc>
          <w:tcPr>
            <w:tcW w:w="940" w:type="dxa"/>
            <w:tcBorders>
              <w:top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1.0</w:t>
            </w:r>
          </w:p>
        </w:tc>
        <w:tc>
          <w:tcPr>
            <w:tcW w:w="808" w:type="dxa"/>
            <w:tcBorders>
              <w:top w:val="single" w:sz="4" w:space="0" w:color="auto"/>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0.4</w:t>
            </w:r>
          </w:p>
        </w:tc>
        <w:tc>
          <w:tcPr>
            <w:tcW w:w="1073" w:type="dxa"/>
            <w:tcBorders>
              <w:top w:val="single" w:sz="4" w:space="0" w:color="auto"/>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16.5</w:t>
            </w:r>
          </w:p>
        </w:tc>
      </w:tr>
      <w:tr w:rsidR="005D5162" w:rsidRPr="009456C6" w:rsidTr="00B1090C">
        <w:trPr>
          <w:trHeight w:val="290"/>
        </w:trPr>
        <w:tc>
          <w:tcPr>
            <w:tcW w:w="910" w:type="dxa"/>
            <w:tcBorders>
              <w:right w:val="single" w:sz="4" w:space="0" w:color="auto"/>
            </w:tcBorders>
            <w:shd w:val="clear" w:color="auto" w:fill="auto"/>
            <w:noWrap/>
            <w:vAlign w:val="bottom"/>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5 to 9</w:t>
            </w:r>
          </w:p>
        </w:tc>
        <w:tc>
          <w:tcPr>
            <w:tcW w:w="701" w:type="dxa"/>
            <w:tcBorders>
              <w:top w:val="nil"/>
              <w:left w:val="single" w:sz="4" w:space="0" w:color="auto"/>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2.4</w:t>
            </w:r>
          </w:p>
        </w:tc>
        <w:tc>
          <w:tcPr>
            <w:tcW w:w="823" w:type="dxa"/>
            <w:tcBorders>
              <w:top w:val="nil"/>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9.4</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2.7</w:t>
            </w:r>
          </w:p>
        </w:tc>
        <w:tc>
          <w:tcPr>
            <w:tcW w:w="940" w:type="dxa"/>
            <w:tcBorders>
              <w:top w:val="nil"/>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2.1</w:t>
            </w:r>
          </w:p>
        </w:tc>
        <w:tc>
          <w:tcPr>
            <w:tcW w:w="940" w:type="dxa"/>
            <w:tcBorders>
              <w:top w:val="nil"/>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4.4</w:t>
            </w:r>
          </w:p>
        </w:tc>
        <w:tc>
          <w:tcPr>
            <w:tcW w:w="941" w:type="dxa"/>
            <w:tcBorders>
              <w:top w:val="nil"/>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2.1</w:t>
            </w:r>
          </w:p>
        </w:tc>
        <w:tc>
          <w:tcPr>
            <w:tcW w:w="940" w:type="dxa"/>
            <w:tcBorders>
              <w:top w:val="nil"/>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0.9</w:t>
            </w:r>
          </w:p>
        </w:tc>
        <w:tc>
          <w:tcPr>
            <w:tcW w:w="808" w:type="dxa"/>
            <w:tcBorders>
              <w:top w:val="nil"/>
              <w:bottom w:val="nil"/>
              <w:right w:val="single" w:sz="4" w:space="0" w:color="auto"/>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0.3</w:t>
            </w:r>
          </w:p>
        </w:tc>
        <w:tc>
          <w:tcPr>
            <w:tcW w:w="1073" w:type="dxa"/>
            <w:tcBorders>
              <w:top w:val="nil"/>
              <w:left w:val="single" w:sz="4" w:space="0" w:color="auto"/>
              <w:bottom w:val="nil"/>
            </w:tcBorders>
            <w:shd w:val="clear" w:color="auto" w:fill="auto"/>
            <w:noWrap/>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24.3</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10 to 17</w:t>
            </w:r>
          </w:p>
        </w:tc>
        <w:tc>
          <w:tcPr>
            <w:tcW w:w="701"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0.8</w:t>
            </w:r>
          </w:p>
        </w:tc>
        <w:tc>
          <w:tcPr>
            <w:tcW w:w="823"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2.5</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11.1</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3.7</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3.3</w:t>
            </w:r>
          </w:p>
        </w:tc>
        <w:tc>
          <w:tcPr>
            <w:tcW w:w="941"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1.9</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0.5</w:t>
            </w:r>
          </w:p>
        </w:tc>
        <w:tc>
          <w:tcPr>
            <w:tcW w:w="808" w:type="dxa"/>
            <w:tcBorders>
              <w:top w:val="nil"/>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0.3</w:t>
            </w:r>
          </w:p>
        </w:tc>
        <w:tc>
          <w:tcPr>
            <w:tcW w:w="1073"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24.2</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18 to 29</w:t>
            </w:r>
          </w:p>
        </w:tc>
        <w:tc>
          <w:tcPr>
            <w:tcW w:w="701"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0.9</w:t>
            </w:r>
          </w:p>
        </w:tc>
        <w:tc>
          <w:tcPr>
            <w:tcW w:w="823"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0.7</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3.0</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5.9</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3.6</w:t>
            </w:r>
          </w:p>
        </w:tc>
        <w:tc>
          <w:tcPr>
            <w:tcW w:w="941"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2.2</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0.4</w:t>
            </w:r>
          </w:p>
        </w:tc>
        <w:tc>
          <w:tcPr>
            <w:tcW w:w="808" w:type="dxa"/>
            <w:tcBorders>
              <w:top w:val="nil"/>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0.2</w:t>
            </w:r>
          </w:p>
        </w:tc>
        <w:tc>
          <w:tcPr>
            <w:tcW w:w="1073"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16.9</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30 to 44</w:t>
            </w:r>
          </w:p>
        </w:tc>
        <w:tc>
          <w:tcPr>
            <w:tcW w:w="701"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1.0</w:t>
            </w:r>
          </w:p>
        </w:tc>
        <w:tc>
          <w:tcPr>
            <w:tcW w:w="823"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1.2</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1.2</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2.3</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5.2</w:t>
            </w:r>
          </w:p>
        </w:tc>
        <w:tc>
          <w:tcPr>
            <w:tcW w:w="941"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2.8</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0.6</w:t>
            </w:r>
          </w:p>
        </w:tc>
        <w:tc>
          <w:tcPr>
            <w:tcW w:w="808" w:type="dxa"/>
            <w:tcBorders>
              <w:top w:val="nil"/>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0.2</w:t>
            </w:r>
          </w:p>
        </w:tc>
        <w:tc>
          <w:tcPr>
            <w:tcW w:w="1073"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14.6</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45 to 59</w:t>
            </w:r>
          </w:p>
        </w:tc>
        <w:tc>
          <w:tcPr>
            <w:tcW w:w="701"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0.8</w:t>
            </w:r>
          </w:p>
        </w:tc>
        <w:tc>
          <w:tcPr>
            <w:tcW w:w="823"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0.8</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1.1</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1.8</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3.5</w:t>
            </w:r>
          </w:p>
        </w:tc>
        <w:tc>
          <w:tcPr>
            <w:tcW w:w="941"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2.9</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0.5</w:t>
            </w:r>
          </w:p>
        </w:tc>
        <w:tc>
          <w:tcPr>
            <w:tcW w:w="808" w:type="dxa"/>
            <w:tcBorders>
              <w:top w:val="nil"/>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0.1</w:t>
            </w:r>
          </w:p>
        </w:tc>
        <w:tc>
          <w:tcPr>
            <w:tcW w:w="1073"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11.6</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60 to 69</w:t>
            </w:r>
          </w:p>
        </w:tc>
        <w:tc>
          <w:tcPr>
            <w:tcW w:w="701"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1.1</w:t>
            </w:r>
          </w:p>
        </w:tc>
        <w:tc>
          <w:tcPr>
            <w:tcW w:w="823"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1.1</w:t>
            </w:r>
          </w:p>
        </w:tc>
        <w:tc>
          <w:tcPr>
            <w:tcW w:w="940" w:type="dxa"/>
            <w:tcBorders>
              <w:top w:val="nil"/>
              <w:bottom w:val="nil"/>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0.9</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1.2</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2.4</w:t>
            </w:r>
          </w:p>
        </w:tc>
        <w:tc>
          <w:tcPr>
            <w:tcW w:w="941"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1.9</w:t>
            </w:r>
          </w:p>
        </w:tc>
        <w:tc>
          <w:tcPr>
            <w:tcW w:w="940" w:type="dxa"/>
            <w:tcBorders>
              <w:top w:val="nil"/>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0.5</w:t>
            </w:r>
          </w:p>
        </w:tc>
        <w:tc>
          <w:tcPr>
            <w:tcW w:w="808" w:type="dxa"/>
            <w:tcBorders>
              <w:top w:val="nil"/>
              <w:bottom w:val="nil"/>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0.1</w:t>
            </w:r>
          </w:p>
        </w:tc>
        <w:tc>
          <w:tcPr>
            <w:tcW w:w="1073" w:type="dxa"/>
            <w:tcBorders>
              <w:top w:val="nil"/>
              <w:left w:val="single" w:sz="4" w:space="0" w:color="auto"/>
              <w:bottom w:val="nil"/>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9.4</w:t>
            </w:r>
          </w:p>
        </w:tc>
      </w:tr>
      <w:tr w:rsidR="005D5162" w:rsidRPr="009456C6" w:rsidTr="00B1090C">
        <w:trPr>
          <w:trHeight w:val="290"/>
        </w:trPr>
        <w:tc>
          <w:tcPr>
            <w:tcW w:w="910" w:type="dxa"/>
            <w:tcBorders>
              <w:right w:val="single" w:sz="4" w:space="0" w:color="auto"/>
            </w:tcBorders>
            <w:shd w:val="clear" w:color="auto" w:fill="auto"/>
            <w:noWrap/>
            <w:vAlign w:val="bottom"/>
            <w:hideMark/>
          </w:tcPr>
          <w:p w:rsidR="005D5162" w:rsidRPr="009456C6" w:rsidRDefault="005D5162" w:rsidP="00661349">
            <w:pPr>
              <w:spacing w:after="0" w:line="240" w:lineRule="auto"/>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70+</w:t>
            </w:r>
          </w:p>
        </w:tc>
        <w:tc>
          <w:tcPr>
            <w:tcW w:w="701" w:type="dxa"/>
            <w:tcBorders>
              <w:top w:val="nil"/>
              <w:left w:val="single" w:sz="4" w:space="0" w:color="auto"/>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0.4</w:t>
            </w:r>
          </w:p>
        </w:tc>
        <w:tc>
          <w:tcPr>
            <w:tcW w:w="823" w:type="dxa"/>
            <w:tcBorders>
              <w:top w:val="nil"/>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0.7</w:t>
            </w:r>
          </w:p>
        </w:tc>
        <w:tc>
          <w:tcPr>
            <w:tcW w:w="940" w:type="dxa"/>
            <w:tcBorders>
              <w:top w:val="nil"/>
              <w:bottom w:val="single" w:sz="4" w:space="0" w:color="auto"/>
            </w:tcBorders>
            <w:vAlign w:val="center"/>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0.9</w:t>
            </w:r>
          </w:p>
        </w:tc>
        <w:tc>
          <w:tcPr>
            <w:tcW w:w="940" w:type="dxa"/>
            <w:tcBorders>
              <w:top w:val="nil"/>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0.5</w:t>
            </w:r>
          </w:p>
        </w:tc>
        <w:tc>
          <w:tcPr>
            <w:tcW w:w="940" w:type="dxa"/>
            <w:tcBorders>
              <w:top w:val="nil"/>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0.8</w:t>
            </w:r>
          </w:p>
        </w:tc>
        <w:tc>
          <w:tcPr>
            <w:tcW w:w="941" w:type="dxa"/>
            <w:tcBorders>
              <w:top w:val="nil"/>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0.7</w:t>
            </w:r>
          </w:p>
        </w:tc>
        <w:tc>
          <w:tcPr>
            <w:tcW w:w="940" w:type="dxa"/>
            <w:tcBorders>
              <w:top w:val="nil"/>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0.3</w:t>
            </w:r>
          </w:p>
        </w:tc>
        <w:tc>
          <w:tcPr>
            <w:tcW w:w="808" w:type="dxa"/>
            <w:tcBorders>
              <w:top w:val="nil"/>
              <w:bottom w:val="single" w:sz="4" w:space="0" w:color="auto"/>
              <w:right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0.2</w:t>
            </w:r>
          </w:p>
        </w:tc>
        <w:tc>
          <w:tcPr>
            <w:tcW w:w="1073" w:type="dxa"/>
            <w:tcBorders>
              <w:top w:val="nil"/>
              <w:left w:val="single" w:sz="4" w:space="0" w:color="auto"/>
              <w:bottom w:val="single" w:sz="4" w:space="0" w:color="auto"/>
            </w:tcBorders>
            <w:shd w:val="clear" w:color="auto" w:fill="auto"/>
            <w:noWrap/>
            <w:vAlign w:val="center"/>
            <w:hideMark/>
          </w:tcPr>
          <w:p w:rsidR="005D5162" w:rsidRPr="009456C6" w:rsidRDefault="005D5162" w:rsidP="00661349">
            <w:pPr>
              <w:spacing w:after="0" w:line="240" w:lineRule="auto"/>
              <w:jc w:val="right"/>
              <w:rPr>
                <w:rFonts w:ascii="Arial" w:eastAsia="Times New Roman" w:hAnsi="Arial" w:cs="Arial"/>
                <w:color w:val="000000"/>
                <w:sz w:val="18"/>
                <w:szCs w:val="16"/>
                <w:lang w:eastAsia="en-AU"/>
              </w:rPr>
            </w:pPr>
            <w:r w:rsidRPr="009456C6">
              <w:rPr>
                <w:rFonts w:ascii="Arial" w:eastAsia="Times New Roman" w:hAnsi="Arial" w:cs="Arial"/>
                <w:color w:val="000000"/>
                <w:sz w:val="18"/>
                <w:szCs w:val="16"/>
                <w:lang w:eastAsia="en-AU"/>
              </w:rPr>
              <w:t>4.5</w:t>
            </w:r>
          </w:p>
        </w:tc>
      </w:tr>
    </w:tbl>
    <w:p w:rsidR="005D5162" w:rsidRPr="00954640" w:rsidRDefault="005D5162" w:rsidP="000A61AF">
      <w:pPr>
        <w:spacing w:after="0"/>
        <w:rPr>
          <w:rFonts w:ascii="Arial" w:hAnsi="Arial" w:cs="Arial"/>
          <w:b/>
          <w:bCs/>
        </w:rPr>
      </w:pPr>
    </w:p>
    <w:p w:rsidR="005D5162" w:rsidRPr="00954640" w:rsidRDefault="005D5162" w:rsidP="00046BA1">
      <w:pPr>
        <w:pStyle w:val="Heading2"/>
        <w:spacing w:before="0"/>
        <w:rPr>
          <w:rFonts w:ascii="Arial" w:hAnsi="Arial" w:cs="Arial"/>
          <w:b/>
        </w:rPr>
      </w:pPr>
      <w:bookmarkStart w:id="2" w:name="_Toc117859587"/>
      <w:r w:rsidRPr="00954640">
        <w:rPr>
          <w:rFonts w:ascii="Arial" w:hAnsi="Arial" w:cs="Arial"/>
          <w:b/>
          <w:color w:val="000000" w:themeColor="text1"/>
        </w:rPr>
        <w:t>S1.2 Vaccine effectiveness</w:t>
      </w:r>
      <w:bookmarkEnd w:id="2"/>
    </w:p>
    <w:p w:rsidR="005D5162" w:rsidRPr="00954640" w:rsidRDefault="005D5162" w:rsidP="00402834">
      <w:pPr>
        <w:tabs>
          <w:tab w:val="left" w:pos="2190"/>
        </w:tabs>
        <w:spacing w:after="0"/>
        <w:jc w:val="both"/>
        <w:rPr>
          <w:rFonts w:ascii="Arial" w:hAnsi="Arial" w:cs="Arial"/>
        </w:rPr>
      </w:pPr>
      <w:r w:rsidRPr="00954640">
        <w:rPr>
          <w:rFonts w:ascii="Arial" w:hAnsi="Arial" w:cs="Arial"/>
        </w:rPr>
        <w:t xml:space="preserve">Our model includes vaccine effectiveness (VE) against infection, severe disease, and death. We modelled individuals as gaining immunity 21 days after their first dose, and 14 days after all subsequent doses. We estimated VE by vaccine type, dose, outcome, and circulating strain using the ongoing systematic review jointly conducted by the </w:t>
      </w:r>
      <w:r>
        <w:rPr>
          <w:rFonts w:ascii="Arial" w:hAnsi="Arial" w:cs="Arial"/>
          <w:noProof/>
        </w:rPr>
        <w:t>International Vaccine Access Center and World Health Organisation [6]</w:t>
      </w:r>
      <w:r>
        <w:rPr>
          <w:rFonts w:ascii="Arial" w:hAnsi="Arial" w:cs="Arial"/>
        </w:rPr>
        <w:t>.</w:t>
      </w:r>
      <w:r w:rsidRPr="00954640">
        <w:rPr>
          <w:rFonts w:ascii="Arial" w:hAnsi="Arial" w:cs="Arial"/>
        </w:rPr>
        <w:t xml:space="preserve"> This systematic review does not provide pooled estimates due to differences in study population and length of follow-up. We examined the studies which met the inclusion criteria of the systematic review and selected estimates that were most representative of a general population, i.e., not limited to subgroups such as healthcare workers. We checked that the chosen estimates aligned broadly with the other estimates provided in the systematic review. When multiple time intervals of follow-up were reported, we chose the earliest interval to minimise the effects of waning immunity since waning was included using a distribution in a later step. We assumed VE against Omicron sub-lineages to be equal (supported to date</w:t>
      </w:r>
      <w:r>
        <w:rPr>
          <w:rFonts w:ascii="Arial" w:hAnsi="Arial" w:cs="Arial"/>
        </w:rPr>
        <w:t xml:space="preserve"> by </w:t>
      </w:r>
      <w:r>
        <w:rPr>
          <w:rFonts w:ascii="Arial" w:hAnsi="Arial" w:cs="Arial"/>
          <w:noProof/>
        </w:rPr>
        <w:t>[7, 8]</w:t>
      </w:r>
      <w:r w:rsidRPr="00954640">
        <w:rPr>
          <w:rFonts w:ascii="Arial" w:hAnsi="Arial" w:cs="Arial"/>
        </w:rPr>
        <w:t>).</w:t>
      </w:r>
    </w:p>
    <w:p w:rsidR="005D5162" w:rsidRPr="00954640" w:rsidRDefault="005D5162" w:rsidP="00402834">
      <w:pPr>
        <w:tabs>
          <w:tab w:val="left" w:pos="2190"/>
        </w:tabs>
        <w:spacing w:after="0"/>
        <w:jc w:val="both"/>
        <w:rPr>
          <w:rFonts w:ascii="Arial" w:hAnsi="Arial" w:cs="Arial"/>
        </w:rPr>
      </w:pPr>
    </w:p>
    <w:p w:rsidR="005D5162" w:rsidRPr="00954640" w:rsidRDefault="005D5162" w:rsidP="00402834">
      <w:pPr>
        <w:spacing w:after="0"/>
        <w:jc w:val="both"/>
        <w:rPr>
          <w:rFonts w:ascii="Arial" w:hAnsi="Arial" w:cs="Arial"/>
        </w:rPr>
      </w:pPr>
      <w:r w:rsidRPr="00954640">
        <w:rPr>
          <w:rFonts w:ascii="Arial" w:hAnsi="Arial" w:cs="Arial"/>
        </w:rPr>
        <w:t>Where an estimate of VE was not available, an estimate was imputed from the most relevant available estimate in the following order: dose, outcome, strain.</w:t>
      </w:r>
      <w:r w:rsidRPr="00954640">
        <w:rPr>
          <w:rFonts w:ascii="Arial" w:hAnsi="Arial" w:cs="Arial"/>
          <w:b/>
          <w:bCs/>
        </w:rPr>
        <w:t xml:space="preserve"> </w:t>
      </w:r>
      <w:r w:rsidRPr="00954640">
        <w:rPr>
          <w:rFonts w:ascii="Arial" w:hAnsi="Arial" w:cs="Arial"/>
        </w:rPr>
        <w:t xml:space="preserve">The ratio of effectiveness between dose one and two was kept consistent between strains and vaccine types but varied </w:t>
      </w:r>
      <w:r w:rsidRPr="00954640">
        <w:rPr>
          <w:rFonts w:ascii="Arial" w:hAnsi="Arial" w:cs="Arial"/>
        </w:rPr>
        <w:lastRenderedPageBreak/>
        <w:t xml:space="preserve">by outcome. The ratio of effectiveness between dose one and two was 0.70 against any infection (standard deviation (σ) 0.15), 0.60 against symptomatic infection (σ 0.11), 0.83 against severe disease (σ 0.13), and 0.89 against death (σ 0.05). VE against death and VE against severe outcomes aligned broadly (ratio 1.02, σ 0.02). VE against infection aligned with VE against symptomatic disease for the Delta variant (ratio 1.03, σ 0.11), but not Omicron (ratio 0.53, σ 0.05). The reduction in effectiveness against the Delta and Omicron variants varied by outcome: any infection (0.45, σ 0.02), severe disease (0.62, σ 0.16), and symptomatic disease (0.71, σ 0.11). </w:t>
      </w:r>
    </w:p>
    <w:p w:rsidR="005D5162" w:rsidRPr="00954640" w:rsidRDefault="005D5162" w:rsidP="00402834">
      <w:pPr>
        <w:spacing w:after="0"/>
        <w:jc w:val="both"/>
        <w:rPr>
          <w:rFonts w:ascii="Arial" w:hAnsi="Arial" w:cs="Arial"/>
        </w:rPr>
      </w:pPr>
    </w:p>
    <w:p w:rsidR="005D5162" w:rsidRPr="00954640" w:rsidRDefault="005D5162" w:rsidP="00402834">
      <w:pPr>
        <w:spacing w:after="0"/>
        <w:jc w:val="both"/>
        <w:rPr>
          <w:rFonts w:ascii="Arial" w:hAnsi="Arial" w:cs="Arial"/>
        </w:rPr>
      </w:pPr>
      <w:r w:rsidRPr="00954640">
        <w:rPr>
          <w:rFonts w:ascii="Arial" w:hAnsi="Arial" w:cs="Arial"/>
        </w:rPr>
        <w:t xml:space="preserve">We estimated the effectiveness of a booster dose by averaging across estimates of heterologous combinations as expected in our study setting. That is, to estimate the effectiveness of Pfizer booster doses we considered VE studies where Pfizer boosters were delivered to individuals who had received AstraZeneca, Sinopharm, or Pfizer primary schedules (Figure S1.3). Similar protection against severe outcomes was provided by a Pfizer booster dose across all heterologous combinations. There was insufficient data to consider heterologous combinations with a Johnson &amp; Johnson booster. Hence, we assumed all individuals had protection equal to a Johnson &amp; Johnson primary schedule + Johnson &amp; Johnson booster dose regardless of their primary schedule. </w:t>
      </w:r>
    </w:p>
    <w:p w:rsidR="005D5162" w:rsidRPr="00954640" w:rsidRDefault="005D5162" w:rsidP="00402834">
      <w:pPr>
        <w:spacing w:after="0"/>
        <w:jc w:val="both"/>
        <w:rPr>
          <w:rFonts w:ascii="Arial" w:hAnsi="Arial" w:cs="Arial"/>
        </w:rPr>
      </w:pPr>
    </w:p>
    <w:p w:rsidR="005D5162" w:rsidRPr="00954640" w:rsidRDefault="005D5162" w:rsidP="002443D2">
      <w:pPr>
        <w:spacing w:after="80"/>
        <w:rPr>
          <w:rFonts w:ascii="Arial" w:hAnsi="Arial" w:cs="Arial"/>
          <w:sz w:val="20"/>
          <w:szCs w:val="20"/>
        </w:rPr>
      </w:pPr>
      <w:r w:rsidRPr="00954640">
        <w:rPr>
          <w:rFonts w:ascii="Arial" w:hAnsi="Arial" w:cs="Arial"/>
          <w:noProof/>
          <w:sz w:val="20"/>
          <w:szCs w:val="20"/>
          <w:lang w:eastAsia="en-AU"/>
        </w:rPr>
        <w:drawing>
          <wp:inline distT="0" distB="0" distL="0" distR="0" wp14:anchorId="0F9D1816" wp14:editId="57F132CB">
            <wp:extent cx="5546785" cy="3091107"/>
            <wp:effectExtent l="0" t="0" r="0" b="0"/>
            <wp:docPr id="10" name="Picture 10"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scatter chart&#10;&#10;Description automatically generated"/>
                    <pic:cNvPicPr/>
                  </pic:nvPicPr>
                  <pic:blipFill>
                    <a:blip r:embed="rId5"/>
                    <a:stretch>
                      <a:fillRect/>
                    </a:stretch>
                  </pic:blipFill>
                  <pic:spPr>
                    <a:xfrm>
                      <a:off x="0" y="0"/>
                      <a:ext cx="5553840" cy="3095039"/>
                    </a:xfrm>
                    <a:prstGeom prst="rect">
                      <a:avLst/>
                    </a:prstGeom>
                  </pic:spPr>
                </pic:pic>
              </a:graphicData>
            </a:graphic>
          </wp:inline>
        </w:drawing>
      </w:r>
      <w:r w:rsidRPr="00954640">
        <w:rPr>
          <w:rFonts w:ascii="Arial" w:hAnsi="Arial" w:cs="Arial"/>
          <w:noProof/>
          <w:sz w:val="20"/>
          <w:szCs w:val="20"/>
        </w:rPr>
        <w:t xml:space="preserve"> </w:t>
      </w:r>
      <w:r w:rsidRPr="00954640">
        <w:rPr>
          <w:rFonts w:ascii="Arial" w:hAnsi="Arial" w:cs="Arial"/>
          <w:b/>
          <w:bCs/>
          <w:sz w:val="20"/>
          <w:szCs w:val="20"/>
        </w:rPr>
        <w:t xml:space="preserve">Figure S1.1 </w:t>
      </w:r>
      <w:r w:rsidRPr="00954640">
        <w:rPr>
          <w:rFonts w:ascii="Arial" w:hAnsi="Arial" w:cs="Arial"/>
          <w:sz w:val="20"/>
          <w:szCs w:val="20"/>
        </w:rPr>
        <w:t xml:space="preserve">Vaccine effectiveness estimates against the Delta variant </w:t>
      </w:r>
      <w:r>
        <w:rPr>
          <w:rFonts w:ascii="Arial" w:eastAsia="Times New Roman" w:hAnsi="Arial" w:cs="Arial"/>
          <w:noProof/>
          <w:color w:val="000000"/>
          <w:sz w:val="20"/>
          <w:szCs w:val="20"/>
          <w:lang w:eastAsia="en-AU"/>
        </w:rPr>
        <w:t>[9-19]</w:t>
      </w:r>
      <w:r w:rsidRPr="00954640">
        <w:rPr>
          <w:rFonts w:ascii="Arial" w:hAnsi="Arial" w:cs="Arial"/>
          <w:sz w:val="20"/>
          <w:szCs w:val="20"/>
        </w:rPr>
        <w:t xml:space="preserve"> as selected from </w:t>
      </w:r>
      <w:r>
        <w:rPr>
          <w:rFonts w:ascii="Arial" w:hAnsi="Arial" w:cs="Arial"/>
          <w:noProof/>
          <w:sz w:val="20"/>
          <w:szCs w:val="20"/>
        </w:rPr>
        <w:t>[6]</w:t>
      </w:r>
    </w:p>
    <w:p w:rsidR="005D5162" w:rsidRPr="00954640" w:rsidRDefault="005D5162" w:rsidP="00661349">
      <w:pPr>
        <w:spacing w:after="0"/>
        <w:rPr>
          <w:rFonts w:ascii="Arial" w:hAnsi="Arial" w:cs="Arial"/>
          <w:sz w:val="20"/>
          <w:szCs w:val="20"/>
        </w:rPr>
      </w:pPr>
    </w:p>
    <w:p w:rsidR="005D5162" w:rsidRPr="00954640" w:rsidRDefault="005D5162" w:rsidP="00661349">
      <w:pPr>
        <w:spacing w:after="0"/>
        <w:rPr>
          <w:rFonts w:ascii="Arial" w:hAnsi="Arial" w:cs="Arial"/>
          <w:noProof/>
        </w:rPr>
      </w:pPr>
      <w:r w:rsidRPr="00954640">
        <w:rPr>
          <w:rFonts w:ascii="Arial" w:hAnsi="Arial" w:cs="Arial"/>
          <w:noProof/>
          <w:lang w:eastAsia="en-AU"/>
        </w:rPr>
        <w:lastRenderedPageBreak/>
        <w:drawing>
          <wp:inline distT="0" distB="0" distL="0" distR="0" wp14:anchorId="3205CBD3" wp14:editId="348819AB">
            <wp:extent cx="5634549" cy="3140015"/>
            <wp:effectExtent l="0" t="0" r="4445" b="3810"/>
            <wp:docPr id="9" name="Picture 9"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 program&#10;&#10;Description automatically generated with medium confidence"/>
                    <pic:cNvPicPr/>
                  </pic:nvPicPr>
                  <pic:blipFill>
                    <a:blip r:embed="rId6"/>
                    <a:stretch>
                      <a:fillRect/>
                    </a:stretch>
                  </pic:blipFill>
                  <pic:spPr>
                    <a:xfrm>
                      <a:off x="0" y="0"/>
                      <a:ext cx="5650528" cy="3148920"/>
                    </a:xfrm>
                    <a:prstGeom prst="rect">
                      <a:avLst/>
                    </a:prstGeom>
                  </pic:spPr>
                </pic:pic>
              </a:graphicData>
            </a:graphic>
          </wp:inline>
        </w:drawing>
      </w:r>
      <w:r w:rsidRPr="00954640">
        <w:rPr>
          <w:rFonts w:ascii="Arial" w:hAnsi="Arial" w:cs="Arial"/>
          <w:noProof/>
        </w:rPr>
        <w:t xml:space="preserve"> </w:t>
      </w:r>
    </w:p>
    <w:p w:rsidR="005D5162" w:rsidRPr="00954640" w:rsidRDefault="005D5162" w:rsidP="001F45C0">
      <w:pPr>
        <w:spacing w:after="80"/>
        <w:rPr>
          <w:rFonts w:ascii="Arial" w:hAnsi="Arial" w:cs="Arial"/>
          <w:sz w:val="20"/>
          <w:szCs w:val="20"/>
        </w:rPr>
      </w:pPr>
      <w:r w:rsidRPr="00954640">
        <w:rPr>
          <w:rFonts w:ascii="Arial" w:hAnsi="Arial" w:cs="Arial"/>
          <w:b/>
          <w:bCs/>
          <w:sz w:val="20"/>
          <w:szCs w:val="20"/>
        </w:rPr>
        <w:t>Figure S1.2</w:t>
      </w:r>
      <w:r w:rsidRPr="00954640">
        <w:rPr>
          <w:rFonts w:ascii="Arial" w:hAnsi="Arial" w:cs="Arial"/>
          <w:b/>
          <w:bCs/>
        </w:rPr>
        <w:t xml:space="preserve"> </w:t>
      </w:r>
      <w:r w:rsidRPr="00954640">
        <w:rPr>
          <w:rFonts w:ascii="Arial" w:hAnsi="Arial" w:cs="Arial"/>
          <w:sz w:val="20"/>
          <w:szCs w:val="20"/>
        </w:rPr>
        <w:t>Vaccine effectiveness estimat</w:t>
      </w:r>
      <w:r>
        <w:rPr>
          <w:rFonts w:ascii="Arial" w:hAnsi="Arial" w:cs="Arial"/>
          <w:sz w:val="20"/>
          <w:szCs w:val="20"/>
        </w:rPr>
        <w:t xml:space="preserve">es against the Omicron variant </w:t>
      </w:r>
      <w:r>
        <w:rPr>
          <w:rFonts w:ascii="Arial" w:hAnsi="Arial" w:cs="Arial"/>
          <w:noProof/>
          <w:sz w:val="20"/>
          <w:szCs w:val="20"/>
        </w:rPr>
        <w:t>[9, 10, 20-25]</w:t>
      </w:r>
      <w:r w:rsidRPr="00954640">
        <w:rPr>
          <w:rFonts w:ascii="Arial" w:hAnsi="Arial" w:cs="Arial"/>
          <w:sz w:val="20"/>
          <w:szCs w:val="20"/>
        </w:rPr>
        <w:t xml:space="preserve"> as selected from </w:t>
      </w:r>
      <w:r>
        <w:rPr>
          <w:rFonts w:ascii="Arial" w:hAnsi="Arial" w:cs="Arial"/>
          <w:noProof/>
          <w:sz w:val="20"/>
          <w:szCs w:val="20"/>
        </w:rPr>
        <w:t>[6]</w:t>
      </w:r>
    </w:p>
    <w:p w:rsidR="005D5162" w:rsidRPr="00954640" w:rsidRDefault="005D5162" w:rsidP="001F45C0">
      <w:pPr>
        <w:spacing w:after="80"/>
        <w:rPr>
          <w:rFonts w:ascii="Arial" w:hAnsi="Arial" w:cs="Arial"/>
          <w:sz w:val="20"/>
          <w:szCs w:val="20"/>
        </w:rPr>
      </w:pPr>
    </w:p>
    <w:p w:rsidR="005D5162" w:rsidRPr="00954640" w:rsidRDefault="005D5162" w:rsidP="001F45C0">
      <w:pPr>
        <w:spacing w:after="80"/>
        <w:rPr>
          <w:rFonts w:ascii="Arial" w:hAnsi="Arial" w:cs="Arial"/>
        </w:rPr>
      </w:pPr>
      <w:r w:rsidRPr="00954640">
        <w:rPr>
          <w:rFonts w:ascii="Arial" w:hAnsi="Arial" w:cs="Arial"/>
          <w:noProof/>
          <w:lang w:eastAsia="en-AU"/>
        </w:rPr>
        <w:drawing>
          <wp:inline distT="0" distB="0" distL="0" distR="0" wp14:anchorId="14CBB868" wp14:editId="4E8CCF13">
            <wp:extent cx="5641254" cy="2156604"/>
            <wp:effectExtent l="0" t="0" r="0" b="0"/>
            <wp:docPr id="22" name="Picture 2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box and whisker chart&#10;&#10;Description automatically generated"/>
                    <pic:cNvPicPr/>
                  </pic:nvPicPr>
                  <pic:blipFill rotWithShape="1">
                    <a:blip r:embed="rId7"/>
                    <a:srcRect b="6260"/>
                    <a:stretch/>
                  </pic:blipFill>
                  <pic:spPr bwMode="auto">
                    <a:xfrm>
                      <a:off x="0" y="0"/>
                      <a:ext cx="5690999" cy="2175621"/>
                    </a:xfrm>
                    <a:prstGeom prst="rect">
                      <a:avLst/>
                    </a:prstGeom>
                    <a:ln>
                      <a:noFill/>
                    </a:ln>
                    <a:extLst>
                      <a:ext uri="{53640926-AAD7-44D8-BBD7-CCE9431645EC}">
                        <a14:shadowObscured xmlns:a14="http://schemas.microsoft.com/office/drawing/2010/main"/>
                      </a:ext>
                    </a:extLst>
                  </pic:spPr>
                </pic:pic>
              </a:graphicData>
            </a:graphic>
          </wp:inline>
        </w:drawing>
      </w:r>
    </w:p>
    <w:p w:rsidR="005D5162" w:rsidRPr="00954640" w:rsidRDefault="005D5162" w:rsidP="00402834">
      <w:pPr>
        <w:spacing w:after="0"/>
        <w:rPr>
          <w:rFonts w:ascii="Arial" w:hAnsi="Arial" w:cs="Arial"/>
          <w:sz w:val="20"/>
          <w:szCs w:val="20"/>
        </w:rPr>
      </w:pPr>
      <w:r w:rsidRPr="00954640">
        <w:rPr>
          <w:rFonts w:ascii="Arial" w:hAnsi="Arial" w:cs="Arial"/>
          <w:b/>
          <w:bCs/>
          <w:sz w:val="20"/>
          <w:szCs w:val="20"/>
        </w:rPr>
        <w:t xml:space="preserve">Figure S1.3 </w:t>
      </w:r>
      <w:r w:rsidRPr="00954640">
        <w:rPr>
          <w:rFonts w:ascii="Arial" w:hAnsi="Arial" w:cs="Arial"/>
          <w:sz w:val="20"/>
          <w:szCs w:val="20"/>
        </w:rPr>
        <w:t xml:space="preserve">Vaccine effectiveness estimates for heterologous combinations of a Pfizer booster dose </w:t>
      </w:r>
      <w:r>
        <w:rPr>
          <w:rFonts w:ascii="Arial" w:hAnsi="Arial" w:cs="Arial"/>
          <w:noProof/>
          <w:sz w:val="20"/>
          <w:szCs w:val="20"/>
        </w:rPr>
        <w:t>[21, 22, 26-30]</w:t>
      </w:r>
      <w:r w:rsidRPr="00954640">
        <w:rPr>
          <w:rFonts w:ascii="Arial" w:hAnsi="Arial" w:cs="Arial"/>
          <w:sz w:val="20"/>
          <w:szCs w:val="20"/>
        </w:rPr>
        <w:t xml:space="preserve"> as selected from </w:t>
      </w:r>
      <w:r>
        <w:rPr>
          <w:rFonts w:ascii="Arial" w:hAnsi="Arial" w:cs="Arial"/>
          <w:noProof/>
          <w:sz w:val="20"/>
          <w:szCs w:val="20"/>
        </w:rPr>
        <w:t>[6]</w:t>
      </w:r>
    </w:p>
    <w:p w:rsidR="005D5162" w:rsidRPr="00954640" w:rsidRDefault="005D5162" w:rsidP="00402834">
      <w:pPr>
        <w:spacing w:after="0"/>
        <w:rPr>
          <w:rFonts w:ascii="Arial" w:hAnsi="Arial" w:cs="Arial"/>
          <w:sz w:val="20"/>
          <w:szCs w:val="20"/>
        </w:rPr>
      </w:pPr>
    </w:p>
    <w:p w:rsidR="005D5162" w:rsidRPr="00954640" w:rsidRDefault="005D5162" w:rsidP="00822F23">
      <w:pPr>
        <w:jc w:val="both"/>
        <w:rPr>
          <w:rFonts w:ascii="Arial" w:hAnsi="Arial" w:cs="Arial"/>
        </w:rPr>
      </w:pPr>
      <w:r w:rsidRPr="00954640">
        <w:rPr>
          <w:rFonts w:ascii="Arial" w:hAnsi="Arial" w:cs="Arial"/>
        </w:rPr>
        <w:t>We estimated the speed of waning VE against infection by fitting an exponential distribution to data by</w:t>
      </w:r>
      <w:r>
        <w:rPr>
          <w:rFonts w:ascii="Arial" w:hAnsi="Arial" w:cs="Arial"/>
        </w:rPr>
        <w:t xml:space="preserve"> Andrews et al.</w:t>
      </w:r>
      <w:r w:rsidRPr="00954640">
        <w:rPr>
          <w:rFonts w:ascii="Arial" w:hAnsi="Arial" w:cs="Arial"/>
        </w:rPr>
        <w:t xml:space="preserve"> </w:t>
      </w:r>
      <w:r>
        <w:rPr>
          <w:rFonts w:ascii="Arial" w:hAnsi="Arial" w:cs="Arial"/>
          <w:noProof/>
        </w:rPr>
        <w:t>[30]</w:t>
      </w:r>
      <w:r w:rsidRPr="00954640">
        <w:rPr>
          <w:rFonts w:ascii="Arial" w:hAnsi="Arial" w:cs="Arial"/>
        </w:rPr>
        <w:t xml:space="preserve"> (R</w:t>
      </w:r>
      <w:r w:rsidRPr="00954640">
        <w:rPr>
          <w:rFonts w:ascii="Arial" w:hAnsi="Arial" w:cs="Arial"/>
          <w:vertAlign w:val="superscript"/>
        </w:rPr>
        <w:t>2</w:t>
      </w:r>
      <w:r w:rsidRPr="00954640">
        <w:rPr>
          <w:rFonts w:ascii="Arial" w:hAnsi="Arial" w:cs="Arial"/>
        </w:rPr>
        <w:t xml:space="preserve"> 0.97 Moderna, 0.98 Pfizer and 0.8 AstraZeneca; Figure S1.4). Due to an absence of data, the waning of all viral (viral-vector and inactivated cell) vaccines was assumed to follow the waning of AstraZeneca. We also assumed that all doses of vaccination waned at this speed. </w:t>
      </w:r>
    </w:p>
    <w:p w:rsidR="005D5162" w:rsidRPr="00954640" w:rsidRDefault="005D5162" w:rsidP="009443FA">
      <w:pPr>
        <w:spacing w:after="0"/>
        <w:jc w:val="both"/>
        <w:rPr>
          <w:rFonts w:ascii="Arial" w:hAnsi="Arial" w:cs="Arial"/>
          <w:b/>
          <w:bCs/>
        </w:rPr>
      </w:pPr>
      <w:r w:rsidRPr="00954640">
        <w:rPr>
          <w:rFonts w:ascii="Arial" w:hAnsi="Arial" w:cs="Arial"/>
          <w:noProof/>
          <w:lang w:eastAsia="en-AU"/>
        </w:rPr>
        <w:lastRenderedPageBreak/>
        <w:drawing>
          <wp:inline distT="0" distB="0" distL="0" distR="0" wp14:anchorId="374252D5" wp14:editId="54B8DCF0">
            <wp:extent cx="5731510" cy="3829894"/>
            <wp:effectExtent l="0" t="0" r="2540" b="0"/>
            <wp:docPr id="15" name="Picture 15"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graphical user interface&#10;&#10;Description automatically generated"/>
                    <pic:cNvPicPr/>
                  </pic:nvPicPr>
                  <pic:blipFill rotWithShape="1">
                    <a:blip r:embed="rId8"/>
                    <a:srcRect t="3607"/>
                    <a:stretch/>
                  </pic:blipFill>
                  <pic:spPr bwMode="auto">
                    <a:xfrm>
                      <a:off x="0" y="0"/>
                      <a:ext cx="5731510" cy="3829894"/>
                    </a:xfrm>
                    <a:prstGeom prst="rect">
                      <a:avLst/>
                    </a:prstGeom>
                    <a:ln>
                      <a:noFill/>
                    </a:ln>
                    <a:extLst>
                      <a:ext uri="{53640926-AAD7-44D8-BBD7-CCE9431645EC}">
                        <a14:shadowObscured xmlns:a14="http://schemas.microsoft.com/office/drawing/2010/main"/>
                      </a:ext>
                    </a:extLst>
                  </pic:spPr>
                </pic:pic>
              </a:graphicData>
            </a:graphic>
          </wp:inline>
        </w:drawing>
      </w:r>
      <w:r w:rsidRPr="00954640">
        <w:rPr>
          <w:rFonts w:ascii="Arial" w:hAnsi="Arial" w:cs="Arial"/>
          <w:b/>
          <w:bCs/>
        </w:rPr>
        <w:t xml:space="preserve"> </w:t>
      </w:r>
    </w:p>
    <w:p w:rsidR="005D5162" w:rsidRPr="00954640" w:rsidRDefault="005D5162" w:rsidP="00786DC6">
      <w:pPr>
        <w:spacing w:after="0"/>
        <w:jc w:val="both"/>
        <w:rPr>
          <w:rFonts w:ascii="Arial" w:hAnsi="Arial" w:cs="Arial"/>
          <w:sz w:val="20"/>
          <w:szCs w:val="20"/>
        </w:rPr>
      </w:pPr>
      <w:r w:rsidRPr="00954640">
        <w:rPr>
          <w:rFonts w:ascii="Arial" w:hAnsi="Arial" w:cs="Arial"/>
          <w:b/>
          <w:bCs/>
        </w:rPr>
        <w:t xml:space="preserve">Figure S1.4 </w:t>
      </w:r>
      <w:r w:rsidRPr="00954640">
        <w:rPr>
          <w:rFonts w:ascii="Arial" w:hAnsi="Arial" w:cs="Arial"/>
        </w:rPr>
        <w:t>Exponential fit to w</w:t>
      </w:r>
      <w:r w:rsidRPr="00954640">
        <w:rPr>
          <w:rFonts w:ascii="Arial" w:hAnsi="Arial" w:cs="Arial"/>
          <w:sz w:val="20"/>
          <w:szCs w:val="20"/>
        </w:rPr>
        <w:t>aning of vaccine effectiveness against acquisition, data from</w:t>
      </w:r>
      <w:r>
        <w:rPr>
          <w:rFonts w:ascii="Arial" w:hAnsi="Arial" w:cs="Arial"/>
          <w:sz w:val="20"/>
          <w:szCs w:val="20"/>
        </w:rPr>
        <w:t xml:space="preserve"> </w:t>
      </w:r>
      <w:r>
        <w:rPr>
          <w:rFonts w:ascii="Arial" w:hAnsi="Arial" w:cs="Arial"/>
          <w:noProof/>
          <w:sz w:val="20"/>
          <w:szCs w:val="20"/>
        </w:rPr>
        <w:t>[30]</w:t>
      </w:r>
    </w:p>
    <w:p w:rsidR="005D5162" w:rsidRPr="00954640" w:rsidRDefault="005D5162" w:rsidP="009443FA">
      <w:pPr>
        <w:spacing w:after="0"/>
        <w:jc w:val="both"/>
        <w:rPr>
          <w:rFonts w:ascii="Arial" w:hAnsi="Arial" w:cs="Arial"/>
          <w:b/>
          <w:bCs/>
        </w:rPr>
      </w:pPr>
    </w:p>
    <w:p w:rsidR="005D5162" w:rsidRPr="00954640" w:rsidRDefault="005D5162" w:rsidP="00CD5058">
      <w:pPr>
        <w:spacing w:after="0"/>
        <w:jc w:val="both"/>
        <w:rPr>
          <w:rFonts w:ascii="Arial" w:hAnsi="Arial" w:cs="Arial"/>
        </w:rPr>
      </w:pPr>
      <w:r w:rsidRPr="00954640">
        <w:rPr>
          <w:rFonts w:ascii="Arial" w:hAnsi="Arial" w:cs="Arial"/>
        </w:rPr>
        <w:t xml:space="preserve">We modelled the waning of VE against severe outcomes as per Brazil data published in sequential studies by </w:t>
      </w:r>
      <w:r>
        <w:rPr>
          <w:rFonts w:ascii="Arial" w:hAnsi="Arial" w:cs="Arial"/>
        </w:rPr>
        <w:t xml:space="preserve">Cerqueira-Silva and colleagues </w:t>
      </w:r>
      <w:r>
        <w:rPr>
          <w:rFonts w:ascii="Arial" w:hAnsi="Arial" w:cs="Arial"/>
          <w:noProof/>
        </w:rPr>
        <w:t>[26, 31]</w:t>
      </w:r>
      <w:r>
        <w:rPr>
          <w:rFonts w:ascii="Arial" w:hAnsi="Arial" w:cs="Arial"/>
        </w:rPr>
        <w:t>.</w:t>
      </w:r>
      <w:r w:rsidRPr="00954640">
        <w:rPr>
          <w:rFonts w:ascii="Arial" w:hAnsi="Arial" w:cs="Arial"/>
        </w:rPr>
        <w:t xml:space="preserve"> These studies estimated the effectiveness of two doses of Sinovac CoronaVac during the circulation of Delta, and two doses of Sinovac CoronaVac with a Pfizer booster during the circulation of Omicron. The study cohorts for these test-negative studies were large (14 and 2.5 million) as all individuals over the age of 18 who reported COVID-19 like symptoms and tested for COVID-19 were included using linked administrative data. There are limited data on single dose immunity, and on double dose immunity during the circulation of Omicron due to the ongoing rollout of vaccination programs in settings conducting large VE studies</w:t>
      </w:r>
      <w:r>
        <w:rPr>
          <w:rFonts w:ascii="Arial" w:hAnsi="Arial" w:cs="Arial"/>
        </w:rPr>
        <w:t xml:space="preserve"> </w:t>
      </w:r>
      <w:r>
        <w:rPr>
          <w:rFonts w:ascii="Arial" w:hAnsi="Arial" w:cs="Arial"/>
          <w:noProof/>
        </w:rPr>
        <w:t>[6]</w:t>
      </w:r>
      <w:r>
        <w:rPr>
          <w:rFonts w:ascii="Arial" w:hAnsi="Arial" w:cs="Arial"/>
        </w:rPr>
        <w:t>.</w:t>
      </w:r>
    </w:p>
    <w:p w:rsidR="005D5162" w:rsidRPr="00954640" w:rsidRDefault="005D5162" w:rsidP="00305A42">
      <w:pPr>
        <w:spacing w:after="0"/>
        <w:jc w:val="both"/>
        <w:rPr>
          <w:rFonts w:ascii="Arial" w:hAnsi="Arial" w:cs="Arial"/>
        </w:rPr>
      </w:pPr>
    </w:p>
    <w:p w:rsidR="005D5162" w:rsidRPr="00954640" w:rsidRDefault="005D5162" w:rsidP="00062865">
      <w:pPr>
        <w:pStyle w:val="Heading2"/>
        <w:rPr>
          <w:rFonts w:ascii="Arial" w:hAnsi="Arial" w:cs="Arial"/>
          <w:b/>
          <w:color w:val="000000" w:themeColor="text1"/>
        </w:rPr>
      </w:pPr>
      <w:bookmarkStart w:id="3" w:name="_Toc117859588"/>
      <w:bookmarkStart w:id="4" w:name="_Toc95397107"/>
      <w:bookmarkStart w:id="5" w:name="_Hlk96424211"/>
      <w:r w:rsidRPr="00954640">
        <w:rPr>
          <w:rFonts w:ascii="Arial" w:hAnsi="Arial" w:cs="Arial"/>
          <w:b/>
          <w:color w:val="000000" w:themeColor="text1"/>
        </w:rPr>
        <w:t>S1.3 Infection-derived immunity</w:t>
      </w:r>
      <w:bookmarkEnd w:id="3"/>
    </w:p>
    <w:p w:rsidR="005D5162" w:rsidRPr="00954640" w:rsidRDefault="005D5162" w:rsidP="00901101">
      <w:pPr>
        <w:jc w:val="both"/>
        <w:rPr>
          <w:rFonts w:ascii="Arial" w:hAnsi="Arial" w:cs="Arial"/>
        </w:rPr>
      </w:pPr>
      <w:r w:rsidRPr="00954640">
        <w:rPr>
          <w:rFonts w:ascii="Arial" w:hAnsi="Arial" w:cs="Arial"/>
        </w:rPr>
        <w:t>We modelled infection-derived immunity as clustered into pre-Omicron variants and Omicron variants</w:t>
      </w:r>
      <w:r>
        <w:rPr>
          <w:rFonts w:ascii="Arial" w:hAnsi="Arial" w:cs="Arial"/>
        </w:rPr>
        <w:t xml:space="preserve"> </w:t>
      </w:r>
      <w:r>
        <w:rPr>
          <w:rFonts w:ascii="Arial" w:hAnsi="Arial" w:cs="Arial"/>
          <w:noProof/>
        </w:rPr>
        <w:t>[32]</w:t>
      </w:r>
      <w:r>
        <w:rPr>
          <w:rFonts w:ascii="Arial" w:hAnsi="Arial" w:cs="Arial"/>
        </w:rPr>
        <w:t>.</w:t>
      </w:r>
      <w:r w:rsidRPr="00954640">
        <w:rPr>
          <w:rFonts w:ascii="Arial" w:hAnsi="Arial" w:cs="Arial"/>
        </w:rPr>
        <w:t xml:space="preserve"> We modelled the outbreak of an immune escape variant by including lower previous-to-new protection (e.g., Delta to Omicron) than like-to-like protection (e.g., Omicron BA.1/2 to Omicron BA.1/2)</w:t>
      </w:r>
      <w:r>
        <w:rPr>
          <w:rFonts w:ascii="Arial" w:hAnsi="Arial" w:cs="Arial"/>
        </w:rPr>
        <w:t xml:space="preserve"> </w:t>
      </w:r>
      <w:r>
        <w:rPr>
          <w:rFonts w:ascii="Arial" w:hAnsi="Arial" w:cs="Arial"/>
          <w:noProof/>
        </w:rPr>
        <w:t>[33]</w:t>
      </w:r>
      <w:r>
        <w:rPr>
          <w:rFonts w:ascii="Arial" w:hAnsi="Arial" w:cs="Arial"/>
        </w:rPr>
        <w:t>.</w:t>
      </w:r>
      <w:r w:rsidRPr="00954640">
        <w:rPr>
          <w:rFonts w:ascii="Arial" w:hAnsi="Arial" w:cs="Arial"/>
        </w:rPr>
        <w:t xml:space="preserve"> The speed at which the new variant outcompeted the previously circulating variant was estimated using the switch from Delta to Omicron in sequenced African samples reported to GISAID (Figure S1.5</w:t>
      </w:r>
      <w:r>
        <w:rPr>
          <w:rFonts w:ascii="Arial" w:hAnsi="Arial" w:cs="Arial"/>
        </w:rPr>
        <w:t xml:space="preserve">) </w:t>
      </w:r>
      <w:r>
        <w:rPr>
          <w:rFonts w:ascii="Arial" w:hAnsi="Arial" w:cs="Arial"/>
          <w:noProof/>
        </w:rPr>
        <w:t>[34]</w:t>
      </w:r>
      <w:r>
        <w:rPr>
          <w:rFonts w:ascii="Arial" w:hAnsi="Arial" w:cs="Arial"/>
        </w:rPr>
        <w:t>.</w:t>
      </w:r>
    </w:p>
    <w:p w:rsidR="005D5162" w:rsidRPr="00954640" w:rsidRDefault="005D5162" w:rsidP="00985F59">
      <w:pPr>
        <w:spacing w:after="0"/>
        <w:jc w:val="both"/>
        <w:rPr>
          <w:rFonts w:ascii="Arial" w:hAnsi="Arial" w:cs="Arial"/>
        </w:rPr>
      </w:pPr>
      <w:r w:rsidRPr="00954640">
        <w:rPr>
          <w:rFonts w:ascii="Arial" w:hAnsi="Arial" w:cs="Arial"/>
          <w:noProof/>
          <w:lang w:eastAsia="en-AU"/>
        </w:rPr>
        <w:lastRenderedPageBreak/>
        <w:drawing>
          <wp:inline distT="0" distB="0" distL="0" distR="0" wp14:anchorId="08B4B88C" wp14:editId="1EBAC192">
            <wp:extent cx="5731510" cy="2865755"/>
            <wp:effectExtent l="0" t="0" r="2540" b="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9"/>
                    <a:stretch>
                      <a:fillRect/>
                    </a:stretch>
                  </pic:blipFill>
                  <pic:spPr>
                    <a:xfrm>
                      <a:off x="0" y="0"/>
                      <a:ext cx="5731510" cy="2865755"/>
                    </a:xfrm>
                    <a:prstGeom prst="rect">
                      <a:avLst/>
                    </a:prstGeom>
                  </pic:spPr>
                </pic:pic>
              </a:graphicData>
            </a:graphic>
          </wp:inline>
        </w:drawing>
      </w:r>
    </w:p>
    <w:p w:rsidR="005D5162" w:rsidRPr="00954640" w:rsidRDefault="005D5162" w:rsidP="00402834">
      <w:pPr>
        <w:spacing w:after="0"/>
        <w:jc w:val="both"/>
        <w:rPr>
          <w:rFonts w:ascii="Arial" w:hAnsi="Arial" w:cs="Arial"/>
          <w:sz w:val="20"/>
          <w:szCs w:val="20"/>
        </w:rPr>
      </w:pPr>
      <w:r w:rsidRPr="00954640">
        <w:rPr>
          <w:rFonts w:ascii="Arial" w:hAnsi="Arial" w:cs="Arial"/>
          <w:b/>
          <w:bCs/>
          <w:sz w:val="20"/>
          <w:szCs w:val="20"/>
        </w:rPr>
        <w:t xml:space="preserve">Figure S1.5 </w:t>
      </w:r>
      <w:r w:rsidRPr="00954640">
        <w:rPr>
          <w:rFonts w:ascii="Arial" w:hAnsi="Arial" w:cs="Arial"/>
          <w:sz w:val="20"/>
          <w:szCs w:val="20"/>
        </w:rPr>
        <w:t xml:space="preserve">Model estimate of the speed of introduction of a new immune escape </w:t>
      </w:r>
      <w:r>
        <w:rPr>
          <w:rFonts w:ascii="Arial" w:hAnsi="Arial" w:cs="Arial"/>
          <w:sz w:val="20"/>
          <w:szCs w:val="20"/>
        </w:rPr>
        <w:t xml:space="preserve">as </w:t>
      </w:r>
      <w:r w:rsidRPr="00954640">
        <w:rPr>
          <w:rFonts w:ascii="Arial" w:hAnsi="Arial" w:cs="Arial"/>
          <w:sz w:val="20"/>
          <w:szCs w:val="20"/>
        </w:rPr>
        <w:t>fit to Omicron in sequenced African samples</w:t>
      </w:r>
      <w:r>
        <w:rPr>
          <w:rFonts w:ascii="Arial" w:hAnsi="Arial" w:cs="Arial"/>
          <w:sz w:val="20"/>
          <w:szCs w:val="20"/>
        </w:rPr>
        <w:t xml:space="preserve"> from </w:t>
      </w:r>
      <w:r>
        <w:rPr>
          <w:rFonts w:ascii="Arial" w:hAnsi="Arial" w:cs="Arial"/>
          <w:noProof/>
          <w:sz w:val="20"/>
          <w:szCs w:val="20"/>
        </w:rPr>
        <w:t>[34]</w:t>
      </w:r>
    </w:p>
    <w:p w:rsidR="005D5162" w:rsidRPr="00954640" w:rsidRDefault="005D5162" w:rsidP="00402834">
      <w:pPr>
        <w:spacing w:after="0"/>
        <w:jc w:val="both"/>
        <w:rPr>
          <w:rFonts w:ascii="Arial" w:hAnsi="Arial" w:cs="Arial"/>
          <w:sz w:val="20"/>
          <w:szCs w:val="20"/>
        </w:rPr>
      </w:pPr>
    </w:p>
    <w:p w:rsidR="005D5162" w:rsidRPr="00954640" w:rsidRDefault="005D5162" w:rsidP="0074214F">
      <w:pPr>
        <w:jc w:val="both"/>
        <w:rPr>
          <w:rFonts w:ascii="Arial" w:hAnsi="Arial" w:cs="Arial"/>
        </w:rPr>
      </w:pPr>
      <w:r w:rsidRPr="00954640">
        <w:rPr>
          <w:rFonts w:ascii="Arial" w:hAnsi="Arial" w:cs="Arial"/>
        </w:rPr>
        <w:t xml:space="preserve">A review by </w:t>
      </w:r>
      <w:r>
        <w:rPr>
          <w:rFonts w:ascii="Arial" w:hAnsi="Arial" w:cs="Arial"/>
        </w:rPr>
        <w:t xml:space="preserve">Pilz and colleagues </w:t>
      </w:r>
      <w:r w:rsidRPr="00954640">
        <w:rPr>
          <w:rFonts w:ascii="Arial" w:hAnsi="Arial" w:cs="Arial"/>
        </w:rPr>
        <w:t>found a consensus that infection-derived protection against reinfection by the same variant appears robust over time, waning only moderately after 12 months</w:t>
      </w:r>
      <w:r>
        <w:rPr>
          <w:rFonts w:ascii="Arial" w:hAnsi="Arial" w:cs="Arial"/>
        </w:rPr>
        <w:t xml:space="preserve"> </w:t>
      </w:r>
      <w:r>
        <w:rPr>
          <w:rFonts w:ascii="Arial" w:hAnsi="Arial" w:cs="Arial"/>
          <w:noProof/>
        </w:rPr>
        <w:t>[35]</w:t>
      </w:r>
      <w:r w:rsidRPr="00954640">
        <w:rPr>
          <w:rFonts w:ascii="Arial" w:hAnsi="Arial" w:cs="Arial"/>
        </w:rPr>
        <w:t>. We estimated ‘like-to-like’ protection by fitting an exponential curve to the results of national studies in Qatar estimating infection derived protection against Delta (Figure S1.6, R</w:t>
      </w:r>
      <w:r w:rsidRPr="00954640">
        <w:rPr>
          <w:rFonts w:ascii="Arial" w:hAnsi="Arial" w:cs="Arial"/>
          <w:vertAlign w:val="superscript"/>
        </w:rPr>
        <w:t>2</w:t>
      </w:r>
      <w:r w:rsidRPr="00954640">
        <w:rPr>
          <w:rFonts w:ascii="Arial" w:hAnsi="Arial" w:cs="Arial"/>
        </w:rPr>
        <w:t>=0.98)</w:t>
      </w:r>
      <w:r>
        <w:rPr>
          <w:rFonts w:ascii="Arial" w:hAnsi="Arial" w:cs="Arial"/>
        </w:rPr>
        <w:t xml:space="preserve"> </w:t>
      </w:r>
      <w:r>
        <w:rPr>
          <w:rFonts w:ascii="Arial" w:hAnsi="Arial" w:cs="Arial"/>
          <w:noProof/>
        </w:rPr>
        <w:t>[32, 36, 37]</w:t>
      </w:r>
      <w:r>
        <w:rPr>
          <w:rFonts w:ascii="Arial" w:hAnsi="Arial" w:cs="Arial"/>
        </w:rPr>
        <w:t>.</w:t>
      </w:r>
      <w:r w:rsidRPr="00954640">
        <w:rPr>
          <w:rFonts w:ascii="Arial" w:hAnsi="Arial" w:cs="Arial"/>
        </w:rPr>
        <w:t xml:space="preserve"> We estimated ‘previous-to-new’ protection from reinfection by a new immune-escape variant by fitting an exponential to the results of national studies conducted in Brazil and Qatar on protection of infection by a pre-Omicron variant against reinfection by </w:t>
      </w:r>
      <w:r w:rsidRPr="00954640">
        <w:rPr>
          <w:rFonts w:ascii="Arial" w:hAnsi="Arial" w:cs="Arial"/>
          <w:color w:val="000000" w:themeColor="text1"/>
        </w:rPr>
        <w:t>Omicron (Figure S1.7, R</w:t>
      </w:r>
      <w:r w:rsidRPr="00954640">
        <w:rPr>
          <w:rFonts w:ascii="Arial" w:hAnsi="Arial" w:cs="Arial"/>
          <w:color w:val="000000" w:themeColor="text1"/>
          <w:vertAlign w:val="superscript"/>
        </w:rPr>
        <w:t>2</w:t>
      </w:r>
      <w:r w:rsidRPr="00954640">
        <w:rPr>
          <w:rFonts w:ascii="Arial" w:hAnsi="Arial" w:cs="Arial"/>
          <w:color w:val="000000" w:themeColor="text1"/>
        </w:rPr>
        <w:t xml:space="preserve">=0.83). </w:t>
      </w:r>
      <w:r w:rsidRPr="00954640">
        <w:rPr>
          <w:rFonts w:ascii="Arial" w:hAnsi="Arial" w:cs="Arial"/>
        </w:rPr>
        <w:t>Protection from prior infection against severe outcomes has appeared robust across variants, so we modelled infection-derived protection against severe outcomes as a constant 87.8</w:t>
      </w:r>
      <w:r>
        <w:rPr>
          <w:rFonts w:ascii="Arial" w:hAnsi="Arial" w:cs="Arial"/>
        </w:rPr>
        <w:t>%</w:t>
      </w:r>
      <w:r w:rsidRPr="00954640">
        <w:rPr>
          <w:rFonts w:ascii="Arial" w:hAnsi="Arial" w:cs="Arial"/>
        </w:rPr>
        <w:t xml:space="preserve"> (95% CI 47.5-97.1)</w:t>
      </w:r>
      <w:r>
        <w:rPr>
          <w:rFonts w:ascii="Arial" w:hAnsi="Arial" w:cs="Arial"/>
        </w:rPr>
        <w:t xml:space="preserve"> </w:t>
      </w:r>
      <w:r>
        <w:rPr>
          <w:rFonts w:ascii="Arial" w:hAnsi="Arial" w:cs="Arial"/>
          <w:noProof/>
        </w:rPr>
        <w:t>[36]</w:t>
      </w:r>
      <w:r>
        <w:rPr>
          <w:rFonts w:ascii="Arial" w:hAnsi="Arial" w:cs="Arial"/>
        </w:rPr>
        <w:t>.</w:t>
      </w:r>
      <w:r w:rsidRPr="00954640">
        <w:rPr>
          <w:rFonts w:ascii="Arial" w:hAnsi="Arial" w:cs="Arial"/>
        </w:rPr>
        <w:t xml:space="preserve"> </w:t>
      </w:r>
    </w:p>
    <w:p w:rsidR="005D5162" w:rsidRPr="00954640" w:rsidRDefault="005D5162" w:rsidP="0074214F">
      <w:pPr>
        <w:jc w:val="both"/>
        <w:rPr>
          <w:rFonts w:ascii="Arial" w:hAnsi="Arial" w:cs="Arial"/>
        </w:rPr>
      </w:pPr>
    </w:p>
    <w:p w:rsidR="005D5162" w:rsidRPr="00954640" w:rsidRDefault="005D5162" w:rsidP="0074214F">
      <w:pPr>
        <w:rPr>
          <w:rFonts w:ascii="Arial" w:hAnsi="Arial" w:cs="Arial"/>
        </w:rPr>
      </w:pPr>
      <w:r w:rsidRPr="00954640">
        <w:rPr>
          <w:rFonts w:ascii="Arial" w:hAnsi="Arial" w:cs="Arial"/>
          <w:noProof/>
          <w:lang w:eastAsia="en-AU"/>
        </w:rPr>
        <w:drawing>
          <wp:inline distT="0" distB="0" distL="0" distR="0" wp14:anchorId="6584913B" wp14:editId="6364C827">
            <wp:extent cx="5657850" cy="3045350"/>
            <wp:effectExtent l="0" t="0" r="0" b="3175"/>
            <wp:docPr id="6" name="Chart 6">
              <a:extLst xmlns:a="http://schemas.openxmlformats.org/drawingml/2006/main">
                <a:ext uri="{FF2B5EF4-FFF2-40B4-BE49-F238E27FC236}">
                  <a16:creationId xmlns:a16="http://schemas.microsoft.com/office/drawing/2014/main" id="{E15CEFC2-60FB-4363-8D46-75912A74CC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954640">
        <w:rPr>
          <w:rFonts w:ascii="Arial" w:hAnsi="Arial" w:cs="Arial"/>
          <w:b/>
          <w:bCs/>
          <w:sz w:val="20"/>
          <w:szCs w:val="20"/>
        </w:rPr>
        <w:t xml:space="preserve">Figure S1.6 </w:t>
      </w:r>
      <w:r w:rsidRPr="00954640">
        <w:rPr>
          <w:rFonts w:ascii="Arial" w:hAnsi="Arial" w:cs="Arial"/>
          <w:sz w:val="20"/>
          <w:szCs w:val="20"/>
        </w:rPr>
        <w:t>Effectiveness of infection-derived immunity against Delta infection by time since infection</w:t>
      </w:r>
    </w:p>
    <w:p w:rsidR="005D5162" w:rsidRPr="00954640" w:rsidRDefault="005D5162" w:rsidP="009135B1">
      <w:pPr>
        <w:spacing w:after="0"/>
        <w:rPr>
          <w:rFonts w:ascii="Arial" w:hAnsi="Arial" w:cs="Arial"/>
        </w:rPr>
      </w:pPr>
      <w:r w:rsidRPr="00954640">
        <w:rPr>
          <w:rFonts w:ascii="Arial" w:hAnsi="Arial" w:cs="Arial"/>
          <w:noProof/>
          <w:lang w:eastAsia="en-AU"/>
        </w:rPr>
        <w:lastRenderedPageBreak/>
        <w:drawing>
          <wp:inline distT="0" distB="0" distL="0" distR="0" wp14:anchorId="3C86DBAA" wp14:editId="34955277">
            <wp:extent cx="5657850" cy="2752725"/>
            <wp:effectExtent l="0" t="0" r="0" b="0"/>
            <wp:docPr id="5" name="Chart 5">
              <a:extLst xmlns:a="http://schemas.openxmlformats.org/drawingml/2006/main">
                <a:ext uri="{FF2B5EF4-FFF2-40B4-BE49-F238E27FC236}">
                  <a16:creationId xmlns:a16="http://schemas.microsoft.com/office/drawing/2014/main" id="{9318F793-FFCA-4081-BD11-F494DD87A4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D5162" w:rsidRPr="00954640" w:rsidRDefault="005D5162" w:rsidP="00402834">
      <w:pPr>
        <w:spacing w:after="0"/>
        <w:rPr>
          <w:rFonts w:ascii="Arial" w:hAnsi="Arial" w:cs="Arial"/>
          <w:sz w:val="20"/>
          <w:szCs w:val="20"/>
        </w:rPr>
      </w:pPr>
      <w:r w:rsidRPr="00954640">
        <w:rPr>
          <w:rFonts w:ascii="Arial" w:hAnsi="Arial" w:cs="Arial"/>
          <w:b/>
          <w:bCs/>
          <w:sz w:val="20"/>
          <w:szCs w:val="20"/>
        </w:rPr>
        <w:t xml:space="preserve">Figure S1.7 </w:t>
      </w:r>
      <w:r w:rsidRPr="00954640">
        <w:rPr>
          <w:rFonts w:ascii="Arial" w:hAnsi="Arial" w:cs="Arial"/>
          <w:sz w:val="20"/>
          <w:szCs w:val="20"/>
        </w:rPr>
        <w:t>Effectiveness of infection-derived immunity against Omicron infection by time since infection</w:t>
      </w:r>
    </w:p>
    <w:p w:rsidR="005D5162" w:rsidRPr="00954640" w:rsidRDefault="005D5162" w:rsidP="00402834">
      <w:pPr>
        <w:spacing w:after="0"/>
        <w:rPr>
          <w:rFonts w:ascii="Arial" w:hAnsi="Arial" w:cs="Arial"/>
        </w:rPr>
      </w:pPr>
    </w:p>
    <w:p w:rsidR="005D5162" w:rsidRPr="00954640" w:rsidRDefault="005D5162" w:rsidP="008058F7">
      <w:pPr>
        <w:spacing w:after="0"/>
        <w:jc w:val="both"/>
        <w:rPr>
          <w:rFonts w:ascii="Arial" w:hAnsi="Arial" w:cs="Arial"/>
        </w:rPr>
      </w:pPr>
      <w:r w:rsidRPr="00954640">
        <w:rPr>
          <w:rFonts w:ascii="Arial" w:hAnsi="Arial" w:cs="Arial"/>
        </w:rPr>
        <w:t>Thus, we calculated infection-derived immunity (</w:t>
      </w:r>
      <m:oMath>
        <m:r>
          <w:rPr>
            <w:rFonts w:ascii="Cambria Math" w:hAnsi="Cambria Math" w:cs="Arial"/>
          </w:rPr>
          <m:t>ρ</m:t>
        </m:r>
      </m:oMath>
      <w:r w:rsidRPr="00954640">
        <w:rPr>
          <w:rFonts w:ascii="Arial" w:eastAsiaTheme="minorEastAsia" w:hAnsi="Arial" w:cs="Arial"/>
        </w:rPr>
        <w:t>)</w:t>
      </w:r>
      <w:r w:rsidRPr="00954640">
        <w:rPr>
          <w:rFonts w:ascii="Arial" w:hAnsi="Arial" w:cs="Arial"/>
        </w:rPr>
        <w:t xml:space="preserve"> by considering protection against reinfection by the same variant (‘like-to-like’), and protection against reinfection by a new immune escape variant (‘previous-to-new’): </w:t>
      </w:r>
    </w:p>
    <w:p w:rsidR="005D5162" w:rsidRPr="00954640" w:rsidRDefault="005D5162" w:rsidP="009135B1">
      <w:pPr>
        <w:spacing w:after="120"/>
        <w:jc w:val="both"/>
        <w:rPr>
          <w:rFonts w:ascii="Arial" w:hAnsi="Arial" w:cs="Arial"/>
          <w:sz w:val="20"/>
          <w:szCs w:val="20"/>
        </w:rPr>
      </w:pPr>
      <m:oMathPara>
        <m:oMath>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old</m:t>
              </m:r>
            </m:sub>
          </m:sSub>
          <m:r>
            <w:rPr>
              <w:rFonts w:ascii="Cambria Math" w:hAnsi="Cambria Math" w:cs="Arial"/>
              <w:sz w:val="20"/>
              <w:szCs w:val="20"/>
            </w:rPr>
            <m:t xml:space="preserve">= </m:t>
          </m:r>
          <m:nary>
            <m:naryPr>
              <m:chr m:val="∑"/>
              <m:limLoc m:val="undOvr"/>
              <m:supHide m:val="1"/>
              <m:ctrlPr>
                <w:rPr>
                  <w:rFonts w:ascii="Cambria Math" w:hAnsi="Cambria Math" w:cs="Arial"/>
                  <w:i/>
                  <w:sz w:val="20"/>
                  <w:szCs w:val="20"/>
                </w:rPr>
              </m:ctrlPr>
            </m:naryPr>
            <m:sub>
              <m:r>
                <w:rPr>
                  <w:rFonts w:ascii="Cambria Math" w:hAnsi="Cambria Math" w:cs="Arial"/>
                  <w:sz w:val="20"/>
                  <w:szCs w:val="20"/>
                </w:rPr>
                <m:t>days since recovery</m:t>
              </m:r>
            </m:sub>
            <m:sup/>
            <m:e>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like-to-like</m:t>
                  </m:r>
                </m:sub>
              </m:sSub>
              <m:r>
                <w:rPr>
                  <w:rFonts w:ascii="Cambria Math" w:hAnsi="Cambria Math" w:cs="Arial"/>
                  <w:sz w:val="20"/>
                  <w:szCs w:val="20"/>
                </w:rPr>
                <m:t>[days]</m:t>
              </m:r>
            </m:e>
          </m:nary>
        </m:oMath>
      </m:oMathPara>
    </w:p>
    <w:p w:rsidR="005D5162" w:rsidRPr="00954640" w:rsidRDefault="005D5162" w:rsidP="009135B1">
      <w:pPr>
        <w:spacing w:after="120"/>
        <w:jc w:val="both"/>
        <w:rPr>
          <w:rFonts w:ascii="Arial" w:eastAsiaTheme="minorEastAsia" w:hAnsi="Arial" w:cs="Arial"/>
          <w:sz w:val="20"/>
          <w:szCs w:val="20"/>
        </w:rPr>
      </w:pPr>
      <m:oMathPara>
        <m:oMath>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new</m:t>
              </m:r>
            </m:sub>
          </m:sSub>
          <m:r>
            <w:rPr>
              <w:rFonts w:ascii="Cambria Math" w:hAnsi="Cambria Math" w:cs="Arial"/>
              <w:sz w:val="20"/>
              <w:szCs w:val="20"/>
            </w:rPr>
            <m:t xml:space="preserve">= </m:t>
          </m:r>
          <m:nary>
            <m:naryPr>
              <m:chr m:val="∑"/>
              <m:limLoc m:val="undOvr"/>
              <m:supHide m:val="1"/>
              <m:ctrlPr>
                <w:rPr>
                  <w:rFonts w:ascii="Cambria Math" w:hAnsi="Cambria Math" w:cs="Arial"/>
                  <w:i/>
                  <w:sz w:val="20"/>
                  <w:szCs w:val="20"/>
                </w:rPr>
              </m:ctrlPr>
            </m:naryPr>
            <m:sub>
              <m:r>
                <w:rPr>
                  <w:rFonts w:ascii="Cambria Math" w:hAnsi="Cambria Math" w:cs="Arial"/>
                  <w:sz w:val="20"/>
                  <w:szCs w:val="20"/>
                </w:rPr>
                <m:t>days since recovery</m:t>
              </m:r>
            </m:sub>
            <m:sup/>
            <m:e>
              <m:d>
                <m:dPr>
                  <m:ctrlPr>
                    <w:rPr>
                      <w:rFonts w:ascii="Cambria Math" w:hAnsi="Cambria Math" w:cs="Arial"/>
                      <w:i/>
                      <w:sz w:val="20"/>
                      <w:szCs w:val="20"/>
                    </w:rPr>
                  </m:ctrlPr>
                </m:dPr>
                <m:e>
                  <m:r>
                    <w:rPr>
                      <w:rFonts w:ascii="Cambria Math" w:hAnsi="Cambria Math" w:cs="Arial"/>
                      <w:sz w:val="20"/>
                      <w:szCs w:val="20"/>
                    </w:rPr>
                    <m:t xml:space="preserve">% individuals recovered from previous strain* </m:t>
                  </m:r>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prev-to-new</m:t>
                      </m:r>
                    </m:sub>
                  </m:sSub>
                  <m:r>
                    <w:rPr>
                      <w:rFonts w:ascii="Cambria Math" w:hAnsi="Cambria Math" w:cs="Arial"/>
                      <w:sz w:val="20"/>
                      <w:szCs w:val="20"/>
                    </w:rPr>
                    <m:t xml:space="preserve">+%  individuals recovered from current strain* </m:t>
                  </m:r>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like-to-like</m:t>
                      </m:r>
                    </m:sub>
                  </m:sSub>
                </m:e>
              </m:d>
            </m:e>
          </m:nary>
          <m:r>
            <w:rPr>
              <w:rFonts w:ascii="Cambria Math" w:hAnsi="Cambria Math" w:cs="Arial"/>
              <w:sz w:val="20"/>
              <w:szCs w:val="20"/>
            </w:rPr>
            <m:t xml:space="preserve"> </m:t>
          </m:r>
        </m:oMath>
      </m:oMathPara>
    </w:p>
    <w:p w:rsidR="005D5162" w:rsidRPr="00954640" w:rsidRDefault="005D5162" w:rsidP="00D500B1">
      <w:pPr>
        <w:jc w:val="both"/>
        <w:rPr>
          <w:rFonts w:ascii="Arial" w:eastAsiaTheme="minorEastAsia" w:hAnsi="Arial" w:cs="Arial"/>
          <w:sz w:val="20"/>
          <w:szCs w:val="20"/>
        </w:rPr>
      </w:pPr>
      <m:oMathPara>
        <m:oMath>
          <m:r>
            <w:rPr>
              <w:rFonts w:ascii="Cambria Math" w:hAnsi="Cambria Math" w:cs="Arial"/>
              <w:sz w:val="20"/>
              <w:szCs w:val="20"/>
            </w:rPr>
            <m:t>ρ=</m:t>
          </m:r>
          <m:sSub>
            <m:sSubPr>
              <m:ctrlPr>
                <w:rPr>
                  <w:rFonts w:ascii="Cambria Math" w:hAnsi="Cambria Math" w:cs="Arial"/>
                  <w:i/>
                  <w:sz w:val="20"/>
                  <w:szCs w:val="20"/>
                </w:rPr>
              </m:ctrlPr>
            </m:sSubPr>
            <m:e>
              <m:r>
                <w:rPr>
                  <w:rFonts w:ascii="Cambria Math" w:hAnsi="Cambria Math" w:cs="Arial"/>
                  <w:sz w:val="20"/>
                  <w:szCs w:val="20"/>
                </w:rPr>
                <m:t>(% of circulating strain new variant*ρ</m:t>
              </m:r>
            </m:e>
            <m:sub>
              <m:r>
                <w:rPr>
                  <w:rFonts w:ascii="Cambria Math" w:hAnsi="Cambria Math" w:cs="Arial"/>
                  <w:sz w:val="20"/>
                  <w:szCs w:val="20"/>
                </w:rPr>
                <m:t>new</m:t>
              </m:r>
            </m:sub>
          </m:sSub>
          <m:r>
            <w:rPr>
              <w:rFonts w:ascii="Cambria Math" w:hAnsi="Cambria Math" w:cs="Arial"/>
              <w:sz w:val="20"/>
              <w:szCs w:val="20"/>
            </w:rPr>
            <m:t xml:space="preserve">)+(% of circulating strain old variant* </m:t>
          </m:r>
          <m:sSub>
            <m:sSubPr>
              <m:ctrlPr>
                <w:rPr>
                  <w:rFonts w:ascii="Cambria Math" w:hAnsi="Cambria Math" w:cs="Arial"/>
                  <w:i/>
                  <w:sz w:val="20"/>
                  <w:szCs w:val="20"/>
                </w:rPr>
              </m:ctrlPr>
            </m:sSubPr>
            <m:e>
              <m:r>
                <w:rPr>
                  <w:rFonts w:ascii="Cambria Math" w:hAnsi="Cambria Math" w:cs="Arial"/>
                  <w:sz w:val="20"/>
                  <w:szCs w:val="20"/>
                </w:rPr>
                <m:t>ρ</m:t>
              </m:r>
            </m:e>
            <m:sub>
              <m:r>
                <w:rPr>
                  <w:rFonts w:ascii="Cambria Math" w:hAnsi="Cambria Math" w:cs="Arial"/>
                  <w:sz w:val="20"/>
                  <w:szCs w:val="20"/>
                </w:rPr>
                <m:t>old</m:t>
              </m:r>
            </m:sub>
          </m:sSub>
          <m:r>
            <w:rPr>
              <w:rFonts w:ascii="Cambria Math" w:hAnsi="Cambria Math" w:cs="Arial"/>
              <w:sz w:val="20"/>
              <w:szCs w:val="20"/>
            </w:rPr>
            <m:t>)</m:t>
          </m:r>
        </m:oMath>
      </m:oMathPara>
    </w:p>
    <w:p w:rsidR="005D5162" w:rsidRPr="00954640" w:rsidRDefault="005D5162" w:rsidP="00DD1516">
      <w:pPr>
        <w:spacing w:after="0"/>
        <w:jc w:val="both"/>
        <w:rPr>
          <w:rFonts w:ascii="Arial" w:eastAsiaTheme="minorEastAsia" w:hAnsi="Arial" w:cs="Arial"/>
          <w:sz w:val="20"/>
          <w:szCs w:val="20"/>
        </w:rPr>
      </w:pPr>
    </w:p>
    <w:p w:rsidR="005D5162" w:rsidRPr="00954640" w:rsidRDefault="005D5162" w:rsidP="00DD1516">
      <w:pPr>
        <w:pStyle w:val="Heading2"/>
        <w:spacing w:before="0"/>
        <w:rPr>
          <w:rFonts w:ascii="Arial" w:eastAsiaTheme="minorEastAsia" w:hAnsi="Arial" w:cs="Arial"/>
          <w:b/>
          <w:color w:val="000000" w:themeColor="text1"/>
        </w:rPr>
      </w:pPr>
      <w:bookmarkStart w:id="6" w:name="_Toc95397108"/>
      <w:bookmarkStart w:id="7" w:name="_Toc117859589"/>
      <w:bookmarkStart w:id="8" w:name="_Hlk96424579"/>
      <w:bookmarkEnd w:id="4"/>
      <w:bookmarkEnd w:id="5"/>
      <w:r w:rsidRPr="00954640">
        <w:rPr>
          <w:rFonts w:ascii="Arial" w:eastAsiaTheme="minorEastAsia" w:hAnsi="Arial" w:cs="Arial"/>
          <w:b/>
          <w:color w:val="000000" w:themeColor="text1"/>
        </w:rPr>
        <w:t>S1.4 Severe outcome projections</w:t>
      </w:r>
      <w:bookmarkEnd w:id="6"/>
      <w:bookmarkEnd w:id="7"/>
    </w:p>
    <w:bookmarkEnd w:id="8"/>
    <w:p w:rsidR="005D5162" w:rsidRPr="00954640" w:rsidRDefault="005D5162" w:rsidP="005B32D9">
      <w:pPr>
        <w:jc w:val="both"/>
        <w:rPr>
          <w:rFonts w:ascii="Arial" w:hAnsi="Arial" w:cs="Arial"/>
        </w:rPr>
      </w:pPr>
      <w:r w:rsidRPr="00954640">
        <w:rPr>
          <w:rFonts w:ascii="Arial" w:hAnsi="Arial" w:cs="Arial"/>
        </w:rPr>
        <w:t>We used estimates of infection severity in Sierra Leone to project from incidence to severe outcomes</w:t>
      </w:r>
      <w:r>
        <w:rPr>
          <w:rFonts w:ascii="Arial" w:hAnsi="Arial" w:cs="Arial"/>
        </w:rPr>
        <w:t xml:space="preserve"> </w:t>
      </w:r>
      <w:r>
        <w:rPr>
          <w:rFonts w:ascii="Arial" w:hAnsi="Arial" w:cs="Arial"/>
          <w:noProof/>
        </w:rPr>
        <w:t>[38]</w:t>
      </w:r>
      <w:r w:rsidRPr="00954640">
        <w:rPr>
          <w:rFonts w:ascii="Arial" w:hAnsi="Arial" w:cs="Arial"/>
        </w:rPr>
        <w:t xml:space="preserve">. We incorporated an age-distribution into these estimates using </w:t>
      </w:r>
      <w:r>
        <w:rPr>
          <w:rFonts w:ascii="Arial" w:hAnsi="Arial" w:cs="Arial"/>
        </w:rPr>
        <w:t>their</w:t>
      </w:r>
      <w:r w:rsidRPr="00954640">
        <w:rPr>
          <w:rFonts w:ascii="Arial" w:hAnsi="Arial" w:cs="Arial"/>
        </w:rPr>
        <w:t xml:space="preserve"> previous study (Figure S1.8)</w:t>
      </w:r>
      <w:r>
        <w:rPr>
          <w:rFonts w:ascii="Arial" w:hAnsi="Arial" w:cs="Arial"/>
        </w:rPr>
        <w:t xml:space="preserve"> </w:t>
      </w:r>
      <w:r>
        <w:rPr>
          <w:rFonts w:ascii="Arial" w:hAnsi="Arial" w:cs="Arial"/>
          <w:noProof/>
        </w:rPr>
        <w:t>[39]</w:t>
      </w:r>
      <w:r>
        <w:rPr>
          <w:rFonts w:ascii="Arial" w:hAnsi="Arial" w:cs="Arial"/>
        </w:rPr>
        <w:t>.</w:t>
      </w:r>
      <w:r w:rsidRPr="00954640">
        <w:rPr>
          <w:rFonts w:ascii="Arial" w:hAnsi="Arial" w:cs="Arial"/>
        </w:rPr>
        <w:t xml:space="preserve"> We adjusted these wild-type COVID-19 estimates to the increased severity of Delta and Omicron (Table S1.3)</w:t>
      </w:r>
      <w:r>
        <w:rPr>
          <w:rFonts w:ascii="Arial" w:hAnsi="Arial" w:cs="Arial"/>
        </w:rPr>
        <w:t xml:space="preserve"> </w:t>
      </w:r>
      <w:r>
        <w:rPr>
          <w:rFonts w:ascii="Arial" w:hAnsi="Arial" w:cs="Arial"/>
          <w:noProof/>
        </w:rPr>
        <w:t>[40, 41]</w:t>
      </w:r>
      <w:r>
        <w:rPr>
          <w:rFonts w:ascii="Arial" w:hAnsi="Arial" w:cs="Arial"/>
        </w:rPr>
        <w:t>.</w:t>
      </w:r>
      <w:r w:rsidRPr="00954640">
        <w:rPr>
          <w:rFonts w:ascii="Arial" w:hAnsi="Arial" w:cs="Arial"/>
        </w:rPr>
        <w:t xml:space="preserve"> </w:t>
      </w:r>
    </w:p>
    <w:p w:rsidR="005D5162" w:rsidRPr="00954640" w:rsidRDefault="005D5162" w:rsidP="00402834">
      <w:pPr>
        <w:spacing w:after="0"/>
        <w:rPr>
          <w:rFonts w:ascii="Arial" w:hAnsi="Arial" w:cs="Arial"/>
          <w:sz w:val="20"/>
          <w:szCs w:val="20"/>
        </w:rPr>
      </w:pPr>
      <w:r w:rsidRPr="00954640">
        <w:rPr>
          <w:rFonts w:ascii="Arial" w:hAnsi="Arial" w:cs="Arial"/>
          <w:noProof/>
          <w:lang w:eastAsia="en-AU"/>
        </w:rPr>
        <w:drawing>
          <wp:inline distT="0" distB="0" distL="0" distR="0" wp14:anchorId="4775440B" wp14:editId="1433BF15">
            <wp:extent cx="5731266" cy="2333663"/>
            <wp:effectExtent l="0" t="0" r="3175"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rotWithShape="1">
                    <a:blip r:embed="rId12"/>
                    <a:srcRect t="4169" b="6713"/>
                    <a:stretch/>
                  </pic:blipFill>
                  <pic:spPr bwMode="auto">
                    <a:xfrm>
                      <a:off x="0" y="0"/>
                      <a:ext cx="5731510" cy="2333762"/>
                    </a:xfrm>
                    <a:prstGeom prst="rect">
                      <a:avLst/>
                    </a:prstGeom>
                    <a:ln>
                      <a:noFill/>
                    </a:ln>
                    <a:extLst>
                      <a:ext uri="{53640926-AAD7-44D8-BBD7-CCE9431645EC}">
                        <a14:shadowObscured xmlns:a14="http://schemas.microsoft.com/office/drawing/2010/main"/>
                      </a:ext>
                    </a:extLst>
                  </pic:spPr>
                </pic:pic>
              </a:graphicData>
            </a:graphic>
          </wp:inline>
        </w:drawing>
      </w:r>
      <w:r w:rsidRPr="00954640">
        <w:rPr>
          <w:rFonts w:ascii="Arial" w:hAnsi="Arial" w:cs="Arial"/>
          <w:b/>
          <w:bCs/>
        </w:rPr>
        <w:t xml:space="preserve"> </w:t>
      </w:r>
      <w:r w:rsidRPr="00954640">
        <w:rPr>
          <w:rFonts w:ascii="Arial" w:hAnsi="Arial" w:cs="Arial"/>
          <w:b/>
          <w:bCs/>
          <w:sz w:val="20"/>
          <w:szCs w:val="20"/>
        </w:rPr>
        <w:t xml:space="preserve">Figure S1.8 </w:t>
      </w:r>
      <w:r w:rsidRPr="00954640">
        <w:rPr>
          <w:rFonts w:ascii="Arial" w:hAnsi="Arial" w:cs="Arial"/>
          <w:sz w:val="20"/>
          <w:szCs w:val="20"/>
        </w:rPr>
        <w:t>Age-distribution of severe outcomes</w:t>
      </w:r>
    </w:p>
    <w:p w:rsidR="005D5162" w:rsidRPr="00954640" w:rsidRDefault="005D5162" w:rsidP="00084691">
      <w:pPr>
        <w:keepNext/>
        <w:keepLines/>
        <w:spacing w:after="0"/>
        <w:rPr>
          <w:rFonts w:ascii="Arial" w:hAnsi="Arial" w:cs="Arial"/>
          <w:sz w:val="20"/>
          <w:szCs w:val="20"/>
        </w:rPr>
      </w:pPr>
      <w:r w:rsidRPr="00954640">
        <w:rPr>
          <w:rFonts w:ascii="Arial" w:hAnsi="Arial" w:cs="Arial"/>
          <w:b/>
          <w:bCs/>
          <w:sz w:val="20"/>
          <w:szCs w:val="20"/>
        </w:rPr>
        <w:lastRenderedPageBreak/>
        <w:t xml:space="preserve">Table S1.3 </w:t>
      </w:r>
      <w:r w:rsidRPr="00954640">
        <w:rPr>
          <w:rFonts w:ascii="Arial" w:hAnsi="Arial" w:cs="Arial"/>
          <w:sz w:val="20"/>
          <w:szCs w:val="20"/>
        </w:rPr>
        <w:t>Comparison of infection severity estimates by circulating strain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1675"/>
      </w:tblGrid>
      <w:tr w:rsidR="005D5162" w:rsidRPr="009456C6" w:rsidTr="009456C6">
        <w:tc>
          <w:tcPr>
            <w:tcW w:w="4253" w:type="dxa"/>
            <w:tcBorders>
              <w:bottom w:val="single" w:sz="4" w:space="0" w:color="auto"/>
            </w:tcBorders>
          </w:tcPr>
          <w:p w:rsidR="005D5162" w:rsidRPr="009456C6" w:rsidRDefault="005D5162" w:rsidP="00084691">
            <w:pPr>
              <w:keepNext/>
              <w:keepLines/>
              <w:rPr>
                <w:rFonts w:ascii="Arial" w:hAnsi="Arial" w:cs="Arial"/>
                <w:b/>
                <w:sz w:val="20"/>
                <w:szCs w:val="16"/>
              </w:rPr>
            </w:pPr>
            <w:r w:rsidRPr="009456C6">
              <w:rPr>
                <w:rFonts w:ascii="Arial" w:hAnsi="Arial" w:cs="Arial"/>
                <w:b/>
                <w:sz w:val="20"/>
                <w:szCs w:val="16"/>
              </w:rPr>
              <w:t>Metric</w:t>
            </w:r>
          </w:p>
        </w:tc>
        <w:tc>
          <w:tcPr>
            <w:tcW w:w="1675" w:type="dxa"/>
            <w:tcBorders>
              <w:bottom w:val="single" w:sz="4" w:space="0" w:color="auto"/>
            </w:tcBorders>
          </w:tcPr>
          <w:p w:rsidR="005D5162" w:rsidRPr="009456C6" w:rsidRDefault="005D5162" w:rsidP="00084691">
            <w:pPr>
              <w:keepNext/>
              <w:keepLines/>
              <w:jc w:val="right"/>
              <w:rPr>
                <w:rFonts w:ascii="Arial" w:hAnsi="Arial" w:cs="Arial"/>
                <w:b/>
                <w:sz w:val="20"/>
                <w:szCs w:val="16"/>
              </w:rPr>
            </w:pPr>
            <w:r w:rsidRPr="009456C6">
              <w:rPr>
                <w:rFonts w:ascii="Arial" w:hAnsi="Arial" w:cs="Arial"/>
                <w:b/>
                <w:sz w:val="20"/>
                <w:szCs w:val="16"/>
              </w:rPr>
              <w:t xml:space="preserve"> (%)</w:t>
            </w:r>
          </w:p>
        </w:tc>
      </w:tr>
      <w:tr w:rsidR="005D5162" w:rsidRPr="009456C6" w:rsidTr="009456C6">
        <w:tc>
          <w:tcPr>
            <w:tcW w:w="4253" w:type="dxa"/>
            <w:tcBorders>
              <w:top w:val="single" w:sz="4" w:space="0" w:color="auto"/>
              <w:bottom w:val="nil"/>
            </w:tcBorders>
          </w:tcPr>
          <w:p w:rsidR="005D5162" w:rsidRPr="009456C6" w:rsidRDefault="005D5162" w:rsidP="00084691">
            <w:pPr>
              <w:keepNext/>
              <w:keepLines/>
              <w:rPr>
                <w:rFonts w:ascii="Arial" w:hAnsi="Arial" w:cs="Arial"/>
                <w:b/>
                <w:bCs/>
                <w:sz w:val="20"/>
                <w:szCs w:val="16"/>
              </w:rPr>
            </w:pPr>
            <w:r w:rsidRPr="009456C6">
              <w:rPr>
                <w:rFonts w:ascii="Arial" w:hAnsi="Arial" w:cs="Arial"/>
                <w:b/>
                <w:bCs/>
                <w:sz w:val="20"/>
                <w:szCs w:val="16"/>
              </w:rPr>
              <w:t>Wild type</w:t>
            </w:r>
          </w:p>
        </w:tc>
        <w:tc>
          <w:tcPr>
            <w:tcW w:w="1675" w:type="dxa"/>
            <w:tcBorders>
              <w:top w:val="single" w:sz="4" w:space="0" w:color="auto"/>
              <w:bottom w:val="nil"/>
            </w:tcBorders>
          </w:tcPr>
          <w:p w:rsidR="005D5162" w:rsidRPr="009456C6" w:rsidRDefault="005D5162" w:rsidP="00084691">
            <w:pPr>
              <w:keepNext/>
              <w:keepLines/>
              <w:jc w:val="right"/>
              <w:rPr>
                <w:rFonts w:ascii="Arial" w:hAnsi="Arial" w:cs="Arial"/>
                <w:sz w:val="20"/>
                <w:szCs w:val="16"/>
              </w:rPr>
            </w:pP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severity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0.27</w:t>
            </w: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fatality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0.034</w:t>
            </w: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acute-care bed hospitalisation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0.125</w:t>
            </w:r>
          </w:p>
        </w:tc>
      </w:tr>
      <w:tr w:rsidR="005D5162" w:rsidRPr="009456C6" w:rsidTr="009456C6">
        <w:tc>
          <w:tcPr>
            <w:tcW w:w="4253" w:type="dxa"/>
            <w:tcBorders>
              <w:top w:val="nil"/>
              <w:bottom w:val="nil"/>
            </w:tcBorders>
          </w:tcPr>
          <w:p w:rsidR="005D5162" w:rsidRPr="009456C6" w:rsidRDefault="005D5162" w:rsidP="00084691">
            <w:pPr>
              <w:keepNext/>
              <w:keepLines/>
              <w:spacing w:before="120"/>
              <w:rPr>
                <w:rFonts w:ascii="Arial" w:hAnsi="Arial" w:cs="Arial"/>
                <w:b/>
                <w:bCs/>
                <w:sz w:val="20"/>
                <w:szCs w:val="16"/>
              </w:rPr>
            </w:pPr>
            <w:r w:rsidRPr="009456C6">
              <w:rPr>
                <w:rFonts w:ascii="Arial" w:hAnsi="Arial" w:cs="Arial"/>
                <w:b/>
                <w:bCs/>
                <w:sz w:val="20"/>
                <w:szCs w:val="16"/>
              </w:rPr>
              <w:t>Delta</w:t>
            </w:r>
          </w:p>
        </w:tc>
        <w:tc>
          <w:tcPr>
            <w:tcW w:w="1675" w:type="dxa"/>
            <w:tcBorders>
              <w:top w:val="nil"/>
              <w:bottom w:val="nil"/>
            </w:tcBorders>
          </w:tcPr>
          <w:p w:rsidR="005D5162" w:rsidRPr="009456C6" w:rsidRDefault="005D5162" w:rsidP="00084691">
            <w:pPr>
              <w:keepNext/>
              <w:keepLines/>
              <w:spacing w:before="120"/>
              <w:jc w:val="right"/>
              <w:rPr>
                <w:rFonts w:ascii="Arial" w:hAnsi="Arial" w:cs="Arial"/>
                <w:sz w:val="20"/>
                <w:szCs w:val="16"/>
              </w:rPr>
            </w:pP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severity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0.90</w:t>
            </w: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fatality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0.079</w:t>
            </w: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acute-care bed hospitalisation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0.260</w:t>
            </w:r>
          </w:p>
        </w:tc>
      </w:tr>
      <w:tr w:rsidR="005D5162" w:rsidRPr="009456C6" w:rsidTr="009456C6">
        <w:tc>
          <w:tcPr>
            <w:tcW w:w="4253" w:type="dxa"/>
            <w:tcBorders>
              <w:top w:val="nil"/>
              <w:bottom w:val="nil"/>
            </w:tcBorders>
          </w:tcPr>
          <w:p w:rsidR="005D5162" w:rsidRPr="009456C6" w:rsidRDefault="005D5162" w:rsidP="00084691">
            <w:pPr>
              <w:keepNext/>
              <w:keepLines/>
              <w:spacing w:before="120"/>
              <w:rPr>
                <w:rFonts w:ascii="Arial" w:hAnsi="Arial" w:cs="Arial"/>
                <w:b/>
                <w:bCs/>
                <w:sz w:val="20"/>
                <w:szCs w:val="16"/>
              </w:rPr>
            </w:pPr>
            <w:r w:rsidRPr="009456C6">
              <w:rPr>
                <w:rFonts w:ascii="Arial" w:hAnsi="Arial" w:cs="Arial"/>
                <w:b/>
                <w:bCs/>
                <w:sz w:val="20"/>
                <w:szCs w:val="16"/>
              </w:rPr>
              <w:t>Omicron</w:t>
            </w:r>
          </w:p>
        </w:tc>
        <w:tc>
          <w:tcPr>
            <w:tcW w:w="1675" w:type="dxa"/>
            <w:tcBorders>
              <w:top w:val="nil"/>
              <w:bottom w:val="nil"/>
            </w:tcBorders>
          </w:tcPr>
          <w:p w:rsidR="005D5162" w:rsidRPr="009456C6" w:rsidRDefault="005D5162" w:rsidP="00084691">
            <w:pPr>
              <w:keepNext/>
              <w:keepLines/>
              <w:spacing w:before="120"/>
              <w:jc w:val="right"/>
              <w:rPr>
                <w:rFonts w:ascii="Arial" w:hAnsi="Arial" w:cs="Arial"/>
                <w:sz w:val="20"/>
                <w:szCs w:val="16"/>
              </w:rPr>
            </w:pP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severity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0.52</w:t>
            </w:r>
          </w:p>
        </w:tc>
      </w:tr>
      <w:tr w:rsidR="005D5162" w:rsidRPr="009456C6" w:rsidTr="009456C6">
        <w:tc>
          <w:tcPr>
            <w:tcW w:w="4253" w:type="dxa"/>
            <w:tcBorders>
              <w:top w:val="nil"/>
              <w:bottom w:val="nil"/>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fatality rate</w:t>
            </w:r>
          </w:p>
        </w:tc>
        <w:tc>
          <w:tcPr>
            <w:tcW w:w="1675" w:type="dxa"/>
            <w:tcBorders>
              <w:top w:val="nil"/>
              <w:bottom w:val="nil"/>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0.045</w:t>
            </w:r>
          </w:p>
        </w:tc>
      </w:tr>
      <w:tr w:rsidR="005D5162" w:rsidRPr="009456C6" w:rsidTr="009456C6">
        <w:tc>
          <w:tcPr>
            <w:tcW w:w="4253" w:type="dxa"/>
            <w:tcBorders>
              <w:top w:val="nil"/>
              <w:bottom w:val="single" w:sz="4" w:space="0" w:color="auto"/>
            </w:tcBorders>
          </w:tcPr>
          <w:p w:rsidR="005D5162" w:rsidRPr="009456C6" w:rsidRDefault="005D5162" w:rsidP="00084691">
            <w:pPr>
              <w:keepNext/>
              <w:keepLines/>
              <w:rPr>
                <w:rFonts w:ascii="Arial" w:hAnsi="Arial" w:cs="Arial"/>
                <w:sz w:val="20"/>
                <w:szCs w:val="16"/>
              </w:rPr>
            </w:pPr>
            <w:r w:rsidRPr="009456C6">
              <w:rPr>
                <w:rFonts w:ascii="Arial" w:hAnsi="Arial" w:cs="Arial"/>
                <w:sz w:val="20"/>
                <w:szCs w:val="16"/>
              </w:rPr>
              <w:t>Infection acute-care bed hospitalisation rate</w:t>
            </w:r>
          </w:p>
        </w:tc>
        <w:tc>
          <w:tcPr>
            <w:tcW w:w="1675" w:type="dxa"/>
            <w:tcBorders>
              <w:top w:val="nil"/>
              <w:bottom w:val="single" w:sz="4" w:space="0" w:color="auto"/>
            </w:tcBorders>
          </w:tcPr>
          <w:p w:rsidR="005D5162" w:rsidRPr="009456C6" w:rsidRDefault="005D5162" w:rsidP="00084691">
            <w:pPr>
              <w:keepNext/>
              <w:keepLines/>
              <w:jc w:val="right"/>
              <w:rPr>
                <w:rFonts w:ascii="Arial" w:hAnsi="Arial" w:cs="Arial"/>
                <w:sz w:val="20"/>
                <w:szCs w:val="16"/>
              </w:rPr>
            </w:pPr>
            <w:r w:rsidRPr="009456C6">
              <w:rPr>
                <w:rFonts w:ascii="Arial" w:hAnsi="Arial" w:cs="Arial"/>
                <w:sz w:val="20"/>
                <w:szCs w:val="16"/>
              </w:rPr>
              <w:t>0.202</w:t>
            </w:r>
          </w:p>
        </w:tc>
      </w:tr>
    </w:tbl>
    <w:p w:rsidR="005D5162" w:rsidRPr="00954640" w:rsidRDefault="005D5162" w:rsidP="00402834">
      <w:pPr>
        <w:spacing w:after="0"/>
        <w:jc w:val="both"/>
        <w:rPr>
          <w:rFonts w:ascii="Arial" w:hAnsi="Arial" w:cs="Arial"/>
        </w:rPr>
      </w:pPr>
    </w:p>
    <w:p w:rsidR="005D5162" w:rsidRPr="00954640" w:rsidRDefault="005D5162" w:rsidP="00402834">
      <w:pPr>
        <w:spacing w:after="0"/>
        <w:jc w:val="both"/>
        <w:rPr>
          <w:rFonts w:ascii="Arial" w:hAnsi="Arial" w:cs="Arial"/>
        </w:rPr>
      </w:pPr>
      <w:r w:rsidRPr="00954640">
        <w:rPr>
          <w:rFonts w:ascii="Arial" w:hAnsi="Arial" w:cs="Arial"/>
        </w:rPr>
        <w:t>We calculated Years of Life Lost (YLL) using</w:t>
      </w:r>
      <w:r>
        <w:rPr>
          <w:rFonts w:ascii="Arial" w:hAnsi="Arial" w:cs="Arial"/>
        </w:rPr>
        <w:t xml:space="preserve"> United Nations</w:t>
      </w:r>
      <w:r w:rsidRPr="00954640">
        <w:rPr>
          <w:rFonts w:ascii="Arial" w:hAnsi="Arial" w:cs="Arial"/>
        </w:rPr>
        <w:t xml:space="preserve"> estimates of life expectancy in Sierra Leone during 2022</w:t>
      </w:r>
      <w:r>
        <w:rPr>
          <w:rFonts w:ascii="Arial" w:hAnsi="Arial" w:cs="Arial"/>
        </w:rPr>
        <w:t xml:space="preserve"> </w:t>
      </w:r>
      <w:r>
        <w:rPr>
          <w:rFonts w:ascii="Arial" w:hAnsi="Arial" w:cs="Arial"/>
          <w:noProof/>
        </w:rPr>
        <w:t>[42]</w:t>
      </w:r>
      <w:r>
        <w:rPr>
          <w:rFonts w:ascii="Arial" w:hAnsi="Arial" w:cs="Arial"/>
        </w:rPr>
        <w:t>.</w:t>
      </w:r>
      <w:r w:rsidRPr="00954640">
        <w:rPr>
          <w:rFonts w:ascii="Arial" w:hAnsi="Arial" w:cs="Arial"/>
        </w:rPr>
        <w:t xml:space="preserve"> The average life expectancy per model age group was calculated using the age distribution of the study setting (Table S1.4). We did not include discounting of YLL. Adverse outcomes of pregnancy were not included in the calculation of YLL.</w:t>
      </w:r>
    </w:p>
    <w:p w:rsidR="005D5162" w:rsidRPr="00954640" w:rsidRDefault="005D5162" w:rsidP="00402834">
      <w:pPr>
        <w:spacing w:after="0"/>
        <w:jc w:val="both"/>
        <w:rPr>
          <w:rFonts w:ascii="Arial" w:hAnsi="Arial" w:cs="Arial"/>
        </w:rPr>
      </w:pPr>
    </w:p>
    <w:p w:rsidR="005D5162" w:rsidRPr="00954640" w:rsidRDefault="005D5162" w:rsidP="00402834">
      <w:pPr>
        <w:spacing w:after="0"/>
        <w:rPr>
          <w:rFonts w:ascii="Arial" w:hAnsi="Arial" w:cs="Arial"/>
          <w:sz w:val="20"/>
          <w:szCs w:val="20"/>
        </w:rPr>
      </w:pPr>
      <w:r w:rsidRPr="00954640">
        <w:rPr>
          <w:rFonts w:ascii="Arial" w:hAnsi="Arial" w:cs="Arial"/>
          <w:b/>
          <w:bCs/>
          <w:sz w:val="20"/>
          <w:szCs w:val="20"/>
        </w:rPr>
        <w:t xml:space="preserve">Table S1.4 </w:t>
      </w:r>
      <w:r w:rsidRPr="00954640">
        <w:rPr>
          <w:rFonts w:ascii="Arial" w:hAnsi="Arial" w:cs="Arial"/>
          <w:sz w:val="20"/>
          <w:szCs w:val="20"/>
        </w:rPr>
        <w:t>Calculation of years of life lost per modelled age group using</w:t>
      </w:r>
      <w:r>
        <w:rPr>
          <w:rFonts w:ascii="Arial" w:hAnsi="Arial" w:cs="Arial"/>
          <w:sz w:val="20"/>
          <w:szCs w:val="20"/>
        </w:rPr>
        <w:t xml:space="preserve"> United Nations estimates</w:t>
      </w:r>
      <w:r w:rsidRPr="00954640">
        <w:rPr>
          <w:rFonts w:ascii="Arial" w:hAnsi="Arial" w:cs="Arial"/>
          <w:sz w:val="20"/>
          <w:szCs w:val="20"/>
        </w:rPr>
        <w:t xml:space="preserve"> </w:t>
      </w:r>
      <w:r>
        <w:rPr>
          <w:rFonts w:ascii="Arial" w:hAnsi="Arial" w:cs="Arial"/>
          <w:noProof/>
          <w:sz w:val="20"/>
          <w:szCs w:val="20"/>
        </w:rPr>
        <w:t>[42]</w:t>
      </w:r>
    </w:p>
    <w:tbl>
      <w:tblPr>
        <w:tblW w:w="0" w:type="auto"/>
        <w:tblCellMar>
          <w:left w:w="0" w:type="dxa"/>
          <w:right w:w="0" w:type="dxa"/>
        </w:tblCellMar>
        <w:tblLook w:val="04A0" w:firstRow="1" w:lastRow="0" w:firstColumn="1" w:lastColumn="0" w:noHBand="0" w:noVBand="1"/>
      </w:tblPr>
      <w:tblGrid>
        <w:gridCol w:w="1276"/>
        <w:gridCol w:w="20"/>
        <w:gridCol w:w="2815"/>
      </w:tblGrid>
      <w:tr w:rsidR="005D5162" w:rsidRPr="009456C6" w:rsidTr="009456C6">
        <w:tc>
          <w:tcPr>
            <w:tcW w:w="1276" w:type="dxa"/>
            <w:tcBorders>
              <w:top w:val="single" w:sz="8" w:space="0" w:color="auto"/>
              <w:left w:val="nil"/>
              <w:bottom w:val="single" w:sz="8" w:space="0" w:color="auto"/>
              <w:right w:val="nil"/>
            </w:tcBorders>
            <w:tcMar>
              <w:top w:w="0" w:type="dxa"/>
              <w:left w:w="108" w:type="dxa"/>
              <w:bottom w:w="0" w:type="dxa"/>
              <w:right w:w="108" w:type="dxa"/>
            </w:tcMar>
            <w:hideMark/>
          </w:tcPr>
          <w:p w:rsidR="005D5162" w:rsidRPr="009456C6" w:rsidRDefault="005D5162" w:rsidP="00514B9F">
            <w:pPr>
              <w:spacing w:after="0"/>
              <w:rPr>
                <w:rFonts w:ascii="Arial" w:hAnsi="Arial" w:cs="Arial"/>
                <w:b/>
                <w:sz w:val="20"/>
                <w:szCs w:val="20"/>
              </w:rPr>
            </w:pPr>
            <w:r w:rsidRPr="009456C6">
              <w:rPr>
                <w:rFonts w:ascii="Arial" w:hAnsi="Arial" w:cs="Arial"/>
                <w:b/>
                <w:sz w:val="20"/>
                <w:szCs w:val="20"/>
              </w:rPr>
              <w:t>Age group</w:t>
            </w:r>
          </w:p>
        </w:tc>
        <w:tc>
          <w:tcPr>
            <w:tcW w:w="20" w:type="dxa"/>
            <w:tcBorders>
              <w:top w:val="single" w:sz="8" w:space="0" w:color="auto"/>
              <w:left w:val="nil"/>
              <w:bottom w:val="single" w:sz="8" w:space="0" w:color="auto"/>
              <w:right w:val="nil"/>
            </w:tcBorders>
          </w:tcPr>
          <w:p w:rsidR="005D5162" w:rsidRPr="009456C6" w:rsidRDefault="005D5162" w:rsidP="00514B9F">
            <w:pPr>
              <w:spacing w:after="0"/>
              <w:rPr>
                <w:rFonts w:ascii="Arial" w:hAnsi="Arial" w:cs="Arial"/>
                <w:b/>
                <w:sz w:val="20"/>
                <w:szCs w:val="20"/>
              </w:rPr>
            </w:pPr>
          </w:p>
        </w:tc>
        <w:tc>
          <w:tcPr>
            <w:tcW w:w="2815" w:type="dxa"/>
            <w:tcBorders>
              <w:top w:val="single" w:sz="8" w:space="0" w:color="auto"/>
              <w:left w:val="nil"/>
              <w:bottom w:val="single" w:sz="8" w:space="0" w:color="auto"/>
              <w:right w:val="nil"/>
            </w:tcBorders>
            <w:tcMar>
              <w:top w:w="0" w:type="dxa"/>
              <w:left w:w="108" w:type="dxa"/>
              <w:bottom w:w="0" w:type="dxa"/>
              <w:right w:w="108" w:type="dxa"/>
            </w:tcMar>
            <w:hideMark/>
          </w:tcPr>
          <w:p w:rsidR="005D5162" w:rsidRPr="009456C6" w:rsidRDefault="005D5162" w:rsidP="00514B9F">
            <w:pPr>
              <w:spacing w:after="0"/>
              <w:rPr>
                <w:rFonts w:ascii="Arial" w:hAnsi="Arial" w:cs="Arial"/>
                <w:b/>
                <w:sz w:val="20"/>
                <w:szCs w:val="20"/>
              </w:rPr>
            </w:pPr>
            <w:r w:rsidRPr="009456C6">
              <w:rPr>
                <w:rFonts w:ascii="Arial" w:hAnsi="Arial" w:cs="Arial"/>
                <w:b/>
                <w:sz w:val="20"/>
                <w:szCs w:val="20"/>
              </w:rPr>
              <w:t xml:space="preserve">Number of remaining years of life expected </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0 to 4</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62.7</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5 to 9</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60.1</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10 to 17</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54.2</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18 to 29</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45.4</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30 to 44</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33.7</w:t>
            </w:r>
          </w:p>
        </w:tc>
      </w:tr>
      <w:tr w:rsidR="005D5162" w:rsidRPr="009456C6" w:rsidTr="009456C6">
        <w:tc>
          <w:tcPr>
            <w:tcW w:w="1276" w:type="dxa"/>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45 to 59</w:t>
            </w:r>
          </w:p>
        </w:tc>
        <w:tc>
          <w:tcPr>
            <w:tcW w:w="20" w:type="dxa"/>
          </w:tcPr>
          <w:p w:rsidR="005D5162" w:rsidRPr="009456C6" w:rsidRDefault="005D5162" w:rsidP="00514B9F">
            <w:pPr>
              <w:spacing w:after="0"/>
              <w:jc w:val="right"/>
              <w:rPr>
                <w:rFonts w:ascii="Arial" w:hAnsi="Arial" w:cs="Arial"/>
                <w:sz w:val="20"/>
                <w:szCs w:val="20"/>
              </w:rPr>
            </w:pPr>
          </w:p>
        </w:tc>
        <w:tc>
          <w:tcPr>
            <w:tcW w:w="2815" w:type="dxa"/>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21.4</w:t>
            </w:r>
          </w:p>
        </w:tc>
      </w:tr>
      <w:tr w:rsidR="005D5162" w:rsidRPr="009456C6" w:rsidTr="009456C6">
        <w:tc>
          <w:tcPr>
            <w:tcW w:w="1276" w:type="dxa"/>
            <w:tcBorders>
              <w:top w:val="nil"/>
              <w:left w:val="nil"/>
              <w:bottom w:val="nil"/>
              <w:right w:val="nil"/>
            </w:tcBorders>
            <w:tcMar>
              <w:top w:w="0" w:type="dxa"/>
              <w:left w:w="108" w:type="dxa"/>
              <w:bottom w:w="0" w:type="dxa"/>
              <w:right w:w="108" w:type="dxa"/>
            </w:tcMar>
            <w:hideMark/>
          </w:tcPr>
          <w:p w:rsidR="005D5162" w:rsidRPr="009456C6" w:rsidRDefault="005D5162" w:rsidP="00514B9F">
            <w:pPr>
              <w:spacing w:after="0"/>
              <w:rPr>
                <w:rFonts w:ascii="Arial" w:hAnsi="Arial" w:cs="Arial"/>
                <w:sz w:val="20"/>
                <w:szCs w:val="20"/>
              </w:rPr>
            </w:pPr>
            <w:r w:rsidRPr="009456C6">
              <w:rPr>
                <w:rFonts w:ascii="Arial" w:hAnsi="Arial" w:cs="Arial"/>
                <w:sz w:val="20"/>
                <w:szCs w:val="20"/>
              </w:rPr>
              <w:t>60 to 69</w:t>
            </w:r>
          </w:p>
        </w:tc>
        <w:tc>
          <w:tcPr>
            <w:tcW w:w="20" w:type="dxa"/>
            <w:tcBorders>
              <w:top w:val="nil"/>
              <w:left w:val="nil"/>
              <w:bottom w:val="nil"/>
              <w:right w:val="nil"/>
            </w:tcBorders>
          </w:tcPr>
          <w:p w:rsidR="005D5162" w:rsidRPr="009456C6" w:rsidRDefault="005D5162" w:rsidP="00514B9F">
            <w:pPr>
              <w:spacing w:after="0"/>
              <w:jc w:val="right"/>
              <w:rPr>
                <w:rFonts w:ascii="Arial" w:hAnsi="Arial" w:cs="Arial"/>
                <w:sz w:val="20"/>
                <w:szCs w:val="20"/>
              </w:rPr>
            </w:pPr>
          </w:p>
        </w:tc>
        <w:tc>
          <w:tcPr>
            <w:tcW w:w="2815" w:type="dxa"/>
            <w:tcBorders>
              <w:top w:val="nil"/>
              <w:left w:val="nil"/>
              <w:bottom w:val="nil"/>
              <w:right w:val="nil"/>
            </w:tcBorders>
            <w:tcMar>
              <w:top w:w="0" w:type="dxa"/>
              <w:left w:w="108" w:type="dxa"/>
              <w:bottom w:w="0" w:type="dxa"/>
              <w:right w:w="108" w:type="dxa"/>
            </w:tcMar>
            <w:hideMark/>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12.3</w:t>
            </w:r>
          </w:p>
        </w:tc>
      </w:tr>
      <w:tr w:rsidR="005D5162" w:rsidRPr="009456C6" w:rsidTr="009456C6">
        <w:tc>
          <w:tcPr>
            <w:tcW w:w="1276" w:type="dxa"/>
            <w:tcBorders>
              <w:top w:val="nil"/>
              <w:left w:val="nil"/>
              <w:bottom w:val="single" w:sz="8" w:space="0" w:color="auto"/>
              <w:right w:val="nil"/>
            </w:tcBorders>
            <w:tcMar>
              <w:top w:w="0" w:type="dxa"/>
              <w:left w:w="108" w:type="dxa"/>
              <w:bottom w:w="0" w:type="dxa"/>
              <w:right w:w="108" w:type="dxa"/>
            </w:tcMar>
          </w:tcPr>
          <w:p w:rsidR="005D5162" w:rsidRPr="009456C6" w:rsidRDefault="005D5162" w:rsidP="00514B9F">
            <w:pPr>
              <w:spacing w:after="0"/>
              <w:rPr>
                <w:rFonts w:ascii="Arial" w:hAnsi="Arial" w:cs="Arial"/>
                <w:sz w:val="20"/>
                <w:szCs w:val="20"/>
              </w:rPr>
            </w:pPr>
            <w:r w:rsidRPr="009456C6">
              <w:rPr>
                <w:rFonts w:ascii="Arial" w:hAnsi="Arial" w:cs="Arial"/>
                <w:sz w:val="20"/>
                <w:szCs w:val="20"/>
              </w:rPr>
              <w:t>70+</w:t>
            </w:r>
          </w:p>
        </w:tc>
        <w:tc>
          <w:tcPr>
            <w:tcW w:w="20" w:type="dxa"/>
            <w:tcBorders>
              <w:top w:val="nil"/>
              <w:left w:val="nil"/>
              <w:bottom w:val="single" w:sz="8" w:space="0" w:color="auto"/>
              <w:right w:val="nil"/>
            </w:tcBorders>
          </w:tcPr>
          <w:p w:rsidR="005D5162" w:rsidRPr="009456C6" w:rsidRDefault="005D5162" w:rsidP="00514B9F">
            <w:pPr>
              <w:spacing w:after="0"/>
              <w:jc w:val="right"/>
              <w:rPr>
                <w:rFonts w:ascii="Arial" w:hAnsi="Arial" w:cs="Arial"/>
                <w:sz w:val="20"/>
                <w:szCs w:val="20"/>
              </w:rPr>
            </w:pPr>
          </w:p>
        </w:tc>
        <w:tc>
          <w:tcPr>
            <w:tcW w:w="2815" w:type="dxa"/>
            <w:tcBorders>
              <w:top w:val="nil"/>
              <w:left w:val="nil"/>
              <w:bottom w:val="single" w:sz="8" w:space="0" w:color="auto"/>
              <w:right w:val="nil"/>
            </w:tcBorders>
            <w:tcMar>
              <w:top w:w="0" w:type="dxa"/>
              <w:left w:w="108" w:type="dxa"/>
              <w:bottom w:w="0" w:type="dxa"/>
              <w:right w:w="108" w:type="dxa"/>
            </w:tcMar>
          </w:tcPr>
          <w:p w:rsidR="005D5162" w:rsidRPr="009456C6" w:rsidRDefault="005D5162" w:rsidP="00514B9F">
            <w:pPr>
              <w:spacing w:after="0"/>
              <w:jc w:val="right"/>
              <w:rPr>
                <w:rFonts w:ascii="Arial" w:hAnsi="Arial" w:cs="Arial"/>
                <w:sz w:val="20"/>
                <w:szCs w:val="20"/>
              </w:rPr>
            </w:pPr>
            <w:r w:rsidRPr="009456C6">
              <w:rPr>
                <w:rFonts w:ascii="Arial" w:hAnsi="Arial" w:cs="Arial"/>
                <w:sz w:val="20"/>
                <w:szCs w:val="20"/>
              </w:rPr>
              <w:t>6.6</w:t>
            </w:r>
          </w:p>
        </w:tc>
      </w:tr>
    </w:tbl>
    <w:p w:rsidR="005D5162" w:rsidRPr="00954640" w:rsidRDefault="005D5162" w:rsidP="00F923CF">
      <w:pPr>
        <w:spacing w:after="0"/>
        <w:rPr>
          <w:rFonts w:ascii="Arial" w:hAnsi="Arial" w:cs="Arial"/>
        </w:rPr>
      </w:pPr>
      <w:bookmarkStart w:id="9" w:name="_Toc95136793"/>
    </w:p>
    <w:p w:rsidR="005D5162" w:rsidRPr="00954640" w:rsidRDefault="005D5162">
      <w:pPr>
        <w:rPr>
          <w:rFonts w:ascii="Arial" w:eastAsiaTheme="minorEastAsia" w:hAnsi="Arial" w:cs="Arial"/>
          <w:color w:val="2E74B5" w:themeColor="accent1" w:themeShade="BF"/>
          <w:sz w:val="26"/>
          <w:szCs w:val="26"/>
        </w:rPr>
      </w:pPr>
      <w:r w:rsidRPr="00954640">
        <w:rPr>
          <w:rFonts w:ascii="Arial" w:eastAsiaTheme="minorEastAsia" w:hAnsi="Arial" w:cs="Arial"/>
        </w:rPr>
        <w:br w:type="page"/>
      </w:r>
    </w:p>
    <w:p w:rsidR="005D5162" w:rsidRPr="00954640" w:rsidRDefault="005D5162" w:rsidP="00F923CF">
      <w:pPr>
        <w:pStyle w:val="Heading2"/>
        <w:spacing w:before="0"/>
        <w:rPr>
          <w:rFonts w:ascii="Arial" w:eastAsiaTheme="minorEastAsia" w:hAnsi="Arial" w:cs="Arial"/>
          <w:b/>
          <w:color w:val="000000" w:themeColor="text1"/>
        </w:rPr>
      </w:pPr>
      <w:bookmarkStart w:id="10" w:name="_Toc117859590"/>
      <w:r w:rsidRPr="00954640">
        <w:rPr>
          <w:rFonts w:ascii="Arial" w:eastAsiaTheme="minorEastAsia" w:hAnsi="Arial" w:cs="Arial"/>
          <w:b/>
          <w:color w:val="000000" w:themeColor="text1"/>
        </w:rPr>
        <w:lastRenderedPageBreak/>
        <w:t>S1.5 Characterising high-risk groups</w:t>
      </w:r>
      <w:bookmarkEnd w:id="10"/>
    </w:p>
    <w:p w:rsidR="005D5162" w:rsidRPr="00954640" w:rsidRDefault="005D5162" w:rsidP="00A47B45">
      <w:pPr>
        <w:spacing w:after="0"/>
        <w:rPr>
          <w:rFonts w:ascii="Arial" w:hAnsi="Arial" w:cs="Arial"/>
          <w:b/>
          <w:color w:val="000000" w:themeColor="text1"/>
          <w:sz w:val="24"/>
          <w:szCs w:val="24"/>
        </w:rPr>
      </w:pPr>
      <w:r w:rsidRPr="00954640">
        <w:rPr>
          <w:rFonts w:ascii="Arial" w:hAnsi="Arial" w:cs="Arial"/>
          <w:b/>
          <w:color w:val="000000" w:themeColor="text1"/>
          <w:sz w:val="24"/>
          <w:szCs w:val="24"/>
        </w:rPr>
        <w:t>Adults with comorbidities</w:t>
      </w:r>
    </w:p>
    <w:p w:rsidR="005D5162" w:rsidRPr="00954640" w:rsidRDefault="005D5162" w:rsidP="00E552B4">
      <w:pPr>
        <w:spacing w:after="0"/>
        <w:jc w:val="both"/>
        <w:rPr>
          <w:rFonts w:ascii="Arial" w:hAnsi="Arial" w:cs="Arial"/>
        </w:rPr>
      </w:pPr>
      <w:r w:rsidRPr="00954640">
        <w:rPr>
          <w:rFonts w:ascii="Arial" w:hAnsi="Arial" w:cs="Arial"/>
        </w:rPr>
        <w:t>We identified adults with comorbidities as those aged 30-59 with known comorbidities (1.2%) and all adults aged over 60 (4.7%), as per phase 1 &amp; 2 of the Government of Sierra Leone’s COVAX plan</w:t>
      </w:r>
      <w:r>
        <w:rPr>
          <w:rFonts w:ascii="Arial" w:hAnsi="Arial" w:cs="Arial"/>
        </w:rPr>
        <w:t xml:space="preserve"> </w:t>
      </w:r>
      <w:r>
        <w:rPr>
          <w:rFonts w:ascii="Arial" w:hAnsi="Arial" w:cs="Arial"/>
          <w:noProof/>
        </w:rPr>
        <w:t>[43]</w:t>
      </w:r>
      <w:r>
        <w:rPr>
          <w:rFonts w:ascii="Arial" w:hAnsi="Arial" w:cs="Arial"/>
        </w:rPr>
        <w:t>,</w:t>
      </w:r>
      <w:r w:rsidRPr="00954640">
        <w:rPr>
          <w:rFonts w:ascii="Arial" w:hAnsi="Arial" w:cs="Arial"/>
        </w:rPr>
        <w:t xml:space="preserve"> and using </w:t>
      </w:r>
      <w:r>
        <w:rPr>
          <w:rFonts w:ascii="Arial" w:hAnsi="Arial" w:cs="Arial"/>
        </w:rPr>
        <w:t xml:space="preserve">United Nations </w:t>
      </w:r>
      <w:r w:rsidRPr="00954640">
        <w:rPr>
          <w:rFonts w:ascii="Arial" w:hAnsi="Arial" w:cs="Arial"/>
        </w:rPr>
        <w:t>population estimates for 2022</w:t>
      </w:r>
      <w:r>
        <w:rPr>
          <w:rFonts w:ascii="Arial" w:hAnsi="Arial" w:cs="Arial"/>
        </w:rPr>
        <w:t xml:space="preserve"> </w:t>
      </w:r>
      <w:r>
        <w:rPr>
          <w:rFonts w:ascii="Arial" w:hAnsi="Arial" w:cs="Arial"/>
          <w:noProof/>
        </w:rPr>
        <w:t>[42]</w:t>
      </w:r>
      <w:r w:rsidRPr="00954640">
        <w:rPr>
          <w:rFonts w:ascii="Arial" w:hAnsi="Arial" w:cs="Arial"/>
        </w:rPr>
        <w:t>.</w:t>
      </w:r>
      <w:r>
        <w:rPr>
          <w:rFonts w:ascii="Arial" w:hAnsi="Arial" w:cs="Arial"/>
        </w:rPr>
        <w:t xml:space="preserve"> </w:t>
      </w:r>
      <w:r w:rsidRPr="00954640">
        <w:rPr>
          <w:rFonts w:ascii="Arial" w:hAnsi="Arial" w:cs="Arial"/>
        </w:rPr>
        <w:t>There was limited literature to inform the increased risk of patients with co-morbidities. Meta-analysis to pool disparate studies has been difficult due to the use of different age-groups, and different measures - odds ratios, hazard ratios, risk ratios</w:t>
      </w:r>
      <w:r>
        <w:rPr>
          <w:rFonts w:ascii="Arial" w:hAnsi="Arial" w:cs="Arial"/>
        </w:rPr>
        <w:t xml:space="preserve"> </w:t>
      </w:r>
      <w:r>
        <w:rPr>
          <w:rFonts w:ascii="Arial" w:hAnsi="Arial" w:cs="Arial"/>
          <w:noProof/>
        </w:rPr>
        <w:t>[44]</w:t>
      </w:r>
      <w:r>
        <w:rPr>
          <w:rFonts w:ascii="Arial" w:hAnsi="Arial" w:cs="Arial"/>
        </w:rPr>
        <w:t>.</w:t>
      </w:r>
      <w:r w:rsidRPr="00954640">
        <w:rPr>
          <w:rFonts w:ascii="Arial" w:hAnsi="Arial" w:cs="Arial"/>
        </w:rPr>
        <w:t xml:space="preserve"> We used an estimate of 1.95 for the increased risk of severe COVID-19 based on WHO classification of severity as presented in  multivariable logistic regression of Qatar data (95% CI 0.99, 3.82; p = 0.052)</w:t>
      </w:r>
      <w:r>
        <w:rPr>
          <w:rFonts w:ascii="Arial" w:hAnsi="Arial" w:cs="Arial"/>
        </w:rPr>
        <w:t xml:space="preserve"> </w:t>
      </w:r>
      <w:r>
        <w:rPr>
          <w:rFonts w:ascii="Arial" w:hAnsi="Arial" w:cs="Arial"/>
          <w:noProof/>
        </w:rPr>
        <w:t>[45]</w:t>
      </w:r>
      <w:r>
        <w:rPr>
          <w:rFonts w:ascii="Arial" w:hAnsi="Arial" w:cs="Arial"/>
        </w:rPr>
        <w:t>.</w:t>
      </w:r>
    </w:p>
    <w:p w:rsidR="005D5162" w:rsidRPr="00954640" w:rsidRDefault="005D5162" w:rsidP="00E552B4">
      <w:pPr>
        <w:spacing w:after="0"/>
        <w:jc w:val="both"/>
        <w:rPr>
          <w:rFonts w:ascii="Arial" w:hAnsi="Arial" w:cs="Arial"/>
        </w:rPr>
      </w:pPr>
    </w:p>
    <w:p w:rsidR="005D5162" w:rsidRPr="00954640" w:rsidRDefault="005D5162" w:rsidP="00E552B4">
      <w:pPr>
        <w:spacing w:after="0"/>
        <w:jc w:val="both"/>
        <w:rPr>
          <w:rFonts w:ascii="Arial" w:hAnsi="Arial" w:cs="Arial"/>
        </w:rPr>
      </w:pPr>
      <w:r w:rsidRPr="00954640">
        <w:rPr>
          <w:rFonts w:ascii="Arial" w:hAnsi="Arial" w:cs="Arial"/>
        </w:rPr>
        <w:t>Access to primary care for the management of chronic conditions is limited in Sierra Leone. A national commission in 2020 reported that only 11% of health facilities offered services for diabetes and 20% for cardiovascular diseases, a majority being hospital-based services in urban settings</w:t>
      </w:r>
      <w:r>
        <w:rPr>
          <w:rFonts w:ascii="Arial" w:hAnsi="Arial" w:cs="Arial"/>
        </w:rPr>
        <w:t xml:space="preserve"> </w:t>
      </w:r>
      <w:r>
        <w:rPr>
          <w:rFonts w:ascii="Arial" w:hAnsi="Arial" w:cs="Arial"/>
          <w:noProof/>
        </w:rPr>
        <w:t>[46]</w:t>
      </w:r>
      <w:r>
        <w:rPr>
          <w:rFonts w:ascii="Arial" w:hAnsi="Arial" w:cs="Arial"/>
        </w:rPr>
        <w:t>.</w:t>
      </w:r>
      <w:r w:rsidRPr="00954640">
        <w:rPr>
          <w:rFonts w:ascii="Arial" w:hAnsi="Arial" w:cs="Arial"/>
        </w:rPr>
        <w:t xml:space="preserve"> A cross-sectional survey, also in 2020, estimated the cascade of care for diabetes and hypertension to be from 32.9% and 33.2% at diagnosis, to 19.0 and 14.7% accessing treatment, and 8.6% and 4.6% of cases achieving control of their condition</w:t>
      </w:r>
      <w:r>
        <w:rPr>
          <w:rFonts w:ascii="Arial" w:hAnsi="Arial" w:cs="Arial"/>
        </w:rPr>
        <w:t xml:space="preserve"> </w:t>
      </w:r>
      <w:r>
        <w:rPr>
          <w:rFonts w:ascii="Arial" w:hAnsi="Arial" w:cs="Arial"/>
          <w:noProof/>
        </w:rPr>
        <w:t>[47]</w:t>
      </w:r>
      <w:r>
        <w:rPr>
          <w:rFonts w:ascii="Arial" w:hAnsi="Arial" w:cs="Arial"/>
        </w:rPr>
        <w:t>.</w:t>
      </w:r>
      <w:r w:rsidRPr="00954640">
        <w:rPr>
          <w:rFonts w:ascii="Arial" w:hAnsi="Arial" w:cs="Arial"/>
        </w:rPr>
        <w:t xml:space="preserve"> The opportunistic vaccination of 10-20% of adults with comorbidities would increase the overall rate of vaccine rollout by 1.5%-3.0%. Given this small increase, we did not consider modelling a separate program for the opportunistic vaccination of adults with comorbidities who present to primary care.</w:t>
      </w:r>
    </w:p>
    <w:p w:rsidR="005D5162" w:rsidRPr="00954640" w:rsidRDefault="005D5162" w:rsidP="00E552B4">
      <w:pPr>
        <w:spacing w:after="0"/>
        <w:jc w:val="both"/>
        <w:rPr>
          <w:rFonts w:ascii="Arial" w:hAnsi="Arial" w:cs="Arial"/>
        </w:rPr>
      </w:pPr>
    </w:p>
    <w:p w:rsidR="005D5162" w:rsidRPr="00954640" w:rsidRDefault="005D5162" w:rsidP="00355AD9">
      <w:pPr>
        <w:spacing w:after="0"/>
        <w:rPr>
          <w:rFonts w:ascii="Arial" w:hAnsi="Arial" w:cs="Arial"/>
          <w:b/>
          <w:color w:val="000000" w:themeColor="text1"/>
          <w:sz w:val="24"/>
          <w:szCs w:val="24"/>
        </w:rPr>
      </w:pPr>
      <w:r w:rsidRPr="00954640">
        <w:rPr>
          <w:rFonts w:ascii="Arial" w:hAnsi="Arial" w:cs="Arial"/>
          <w:b/>
          <w:color w:val="000000" w:themeColor="text1"/>
          <w:sz w:val="24"/>
          <w:szCs w:val="24"/>
        </w:rPr>
        <w:t>Pregnant Women</w:t>
      </w:r>
    </w:p>
    <w:p w:rsidR="005D5162" w:rsidRPr="00954640" w:rsidRDefault="005D5162" w:rsidP="00402834">
      <w:pPr>
        <w:spacing w:after="0"/>
        <w:jc w:val="both"/>
        <w:rPr>
          <w:rFonts w:ascii="Arial" w:hAnsi="Arial" w:cs="Arial"/>
        </w:rPr>
      </w:pPr>
      <w:r w:rsidRPr="00954640">
        <w:rPr>
          <w:rFonts w:ascii="Arial" w:hAnsi="Arial" w:cs="Arial"/>
        </w:rPr>
        <w:t>We analysed the 2019 Demographic Health Survey of Sierra Leone to estimate the prevalence of women having given birth in the last year</w:t>
      </w:r>
      <w:r>
        <w:rPr>
          <w:rFonts w:ascii="Arial" w:hAnsi="Arial" w:cs="Arial"/>
        </w:rPr>
        <w:t xml:space="preserve"> </w:t>
      </w:r>
      <w:r>
        <w:rPr>
          <w:rFonts w:ascii="Arial" w:hAnsi="Arial" w:cs="Arial"/>
          <w:noProof/>
        </w:rPr>
        <w:t>[48]</w:t>
      </w:r>
      <w:r>
        <w:rPr>
          <w:rFonts w:ascii="Arial" w:hAnsi="Arial" w:cs="Arial"/>
        </w:rPr>
        <w:t>.</w:t>
      </w:r>
      <w:r w:rsidRPr="00954640">
        <w:rPr>
          <w:rFonts w:ascii="Arial" w:hAnsi="Arial" w:cs="Arial"/>
        </w:rPr>
        <w:t xml:space="preserve"> We utilised the R package </w:t>
      </w:r>
      <w:r w:rsidRPr="00954640">
        <w:rPr>
          <w:rFonts w:ascii="Arial" w:hAnsi="Arial" w:cs="Arial"/>
          <w:i/>
          <w:iCs/>
        </w:rPr>
        <w:t>DHS.rates</w:t>
      </w:r>
      <w:r w:rsidRPr="00954640">
        <w:rPr>
          <w:rFonts w:ascii="Arial" w:hAnsi="Arial" w:cs="Arial"/>
        </w:rPr>
        <w:t xml:space="preserve"> to estimate age-specific fertility as per the official guide to DHS Statistics (Figure S1.9</w:t>
      </w:r>
      <w:r>
        <w:rPr>
          <w:rFonts w:ascii="Arial" w:hAnsi="Arial" w:cs="Arial"/>
        </w:rPr>
        <w:t xml:space="preserve">) </w:t>
      </w:r>
      <w:r>
        <w:rPr>
          <w:rFonts w:ascii="Arial" w:hAnsi="Arial" w:cs="Arial"/>
          <w:noProof/>
        </w:rPr>
        <w:t>[49, 50]</w:t>
      </w:r>
      <w:r>
        <w:rPr>
          <w:rFonts w:ascii="Arial" w:hAnsi="Arial" w:cs="Arial"/>
        </w:rPr>
        <w:t>.</w:t>
      </w:r>
      <w:r w:rsidRPr="00954640">
        <w:rPr>
          <w:rFonts w:ascii="Arial" w:hAnsi="Arial" w:cs="Arial"/>
        </w:rPr>
        <w:t xml:space="preserve"> We then applied </w:t>
      </w:r>
      <w:r>
        <w:rPr>
          <w:rFonts w:ascii="Arial" w:hAnsi="Arial" w:cs="Arial"/>
        </w:rPr>
        <w:t>United Nations</w:t>
      </w:r>
      <w:r w:rsidRPr="00954640">
        <w:rPr>
          <w:rFonts w:ascii="Arial" w:hAnsi="Arial" w:cs="Arial"/>
        </w:rPr>
        <w:t xml:space="preserve"> sex ratio estimates to derive population level estimates of pregnant women</w:t>
      </w:r>
      <w:r>
        <w:rPr>
          <w:rFonts w:ascii="Arial" w:hAnsi="Arial" w:cs="Arial"/>
        </w:rPr>
        <w:t xml:space="preserve"> </w:t>
      </w:r>
      <w:r>
        <w:rPr>
          <w:rFonts w:ascii="Arial" w:hAnsi="Arial" w:cs="Arial"/>
          <w:noProof/>
        </w:rPr>
        <w:t>[42]</w:t>
      </w:r>
      <w:r w:rsidRPr="00954640">
        <w:rPr>
          <w:rFonts w:ascii="Arial" w:hAnsi="Arial" w:cs="Arial"/>
        </w:rPr>
        <w:t xml:space="preserve">. </w:t>
      </w:r>
    </w:p>
    <w:p w:rsidR="005D5162" w:rsidRPr="00954640" w:rsidRDefault="005D5162" w:rsidP="00402834">
      <w:pPr>
        <w:spacing w:after="0"/>
        <w:jc w:val="both"/>
        <w:rPr>
          <w:rFonts w:ascii="Arial" w:hAnsi="Arial" w:cs="Arial"/>
        </w:rPr>
      </w:pPr>
    </w:p>
    <w:p w:rsidR="005D5162" w:rsidRPr="00954640" w:rsidRDefault="005D5162" w:rsidP="008058F7">
      <w:pPr>
        <w:spacing w:after="0"/>
        <w:rPr>
          <w:rFonts w:ascii="Arial" w:hAnsi="Arial" w:cs="Arial"/>
        </w:rPr>
      </w:pPr>
      <w:r w:rsidRPr="00954640">
        <w:rPr>
          <w:rFonts w:ascii="Arial" w:hAnsi="Arial" w:cs="Arial"/>
          <w:noProof/>
          <w:lang w:eastAsia="en-AU"/>
        </w:rPr>
        <w:drawing>
          <wp:inline distT="0" distB="0" distL="0" distR="0" wp14:anchorId="0206143C" wp14:editId="013A2935">
            <wp:extent cx="5685216" cy="2552368"/>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8334" b="1877"/>
                    <a:stretch/>
                  </pic:blipFill>
                  <pic:spPr bwMode="auto">
                    <a:xfrm>
                      <a:off x="0" y="0"/>
                      <a:ext cx="5709640" cy="2563333"/>
                    </a:xfrm>
                    <a:prstGeom prst="rect">
                      <a:avLst/>
                    </a:prstGeom>
                    <a:ln>
                      <a:noFill/>
                    </a:ln>
                    <a:extLst>
                      <a:ext uri="{53640926-AAD7-44D8-BBD7-CCE9431645EC}">
                        <a14:shadowObscured xmlns:a14="http://schemas.microsoft.com/office/drawing/2010/main"/>
                      </a:ext>
                    </a:extLst>
                  </pic:spPr>
                </pic:pic>
              </a:graphicData>
            </a:graphic>
          </wp:inline>
        </w:drawing>
      </w:r>
    </w:p>
    <w:p w:rsidR="005D5162" w:rsidRPr="00954640" w:rsidRDefault="005D5162" w:rsidP="00402834">
      <w:pPr>
        <w:spacing w:after="0"/>
        <w:rPr>
          <w:rFonts w:ascii="Arial" w:hAnsi="Arial" w:cs="Arial"/>
          <w:sz w:val="20"/>
          <w:szCs w:val="20"/>
        </w:rPr>
      </w:pPr>
      <w:r w:rsidRPr="00954640">
        <w:rPr>
          <w:rFonts w:ascii="Arial" w:hAnsi="Arial" w:cs="Arial"/>
          <w:b/>
          <w:bCs/>
          <w:sz w:val="20"/>
          <w:szCs w:val="20"/>
        </w:rPr>
        <w:t xml:space="preserve">Figure S1.9 </w:t>
      </w:r>
      <w:r w:rsidRPr="00954640">
        <w:rPr>
          <w:rFonts w:ascii="Arial" w:hAnsi="Arial" w:cs="Arial"/>
          <w:sz w:val="20"/>
          <w:szCs w:val="20"/>
        </w:rPr>
        <w:t>Female age-specific fertility rates from analysis of Sierra Leone DHS 2019</w:t>
      </w:r>
      <w:r>
        <w:rPr>
          <w:rFonts w:ascii="Arial" w:hAnsi="Arial" w:cs="Arial"/>
          <w:sz w:val="20"/>
          <w:szCs w:val="20"/>
        </w:rPr>
        <w:t xml:space="preserve"> </w:t>
      </w:r>
      <w:r>
        <w:rPr>
          <w:rFonts w:ascii="Arial" w:hAnsi="Arial" w:cs="Arial"/>
          <w:noProof/>
          <w:sz w:val="20"/>
          <w:szCs w:val="20"/>
        </w:rPr>
        <w:t>[48]</w:t>
      </w:r>
      <w:r>
        <w:rPr>
          <w:rFonts w:ascii="Arial" w:hAnsi="Arial" w:cs="Arial"/>
          <w:sz w:val="20"/>
          <w:szCs w:val="20"/>
        </w:rPr>
        <w:t>.</w:t>
      </w:r>
      <w:r w:rsidRPr="00954640">
        <w:rPr>
          <w:rFonts w:ascii="Arial" w:hAnsi="Arial" w:cs="Arial"/>
          <w:sz w:val="20"/>
          <w:szCs w:val="20"/>
        </w:rPr>
        <w:t xml:space="preserve"> Rates for the 10-14 age group are based on retrospective data and are presented without uncertainty.</w:t>
      </w:r>
    </w:p>
    <w:p w:rsidR="005D5162" w:rsidRPr="00954640" w:rsidRDefault="005D5162" w:rsidP="001E2A40">
      <w:pPr>
        <w:jc w:val="both"/>
        <w:rPr>
          <w:rFonts w:ascii="Arial" w:hAnsi="Arial" w:cs="Arial"/>
        </w:rPr>
      </w:pPr>
    </w:p>
    <w:p w:rsidR="005D5162" w:rsidRPr="00954640" w:rsidRDefault="005D5162" w:rsidP="00402834">
      <w:pPr>
        <w:spacing w:after="0"/>
        <w:jc w:val="both"/>
        <w:rPr>
          <w:rFonts w:ascii="Arial" w:hAnsi="Arial" w:cs="Arial"/>
        </w:rPr>
      </w:pPr>
      <w:r w:rsidRPr="00954640">
        <w:rPr>
          <w:rFonts w:ascii="Arial" w:hAnsi="Arial" w:cs="Arial"/>
        </w:rPr>
        <w:t>We estimated that pregnant women were at 2.40 times higher risk of severe COVID-19 outcomes. This estimate comes from meta-analysis conducted by the UK</w:t>
      </w:r>
      <w:r>
        <w:rPr>
          <w:rFonts w:ascii="Arial" w:hAnsi="Arial" w:cs="Arial"/>
        </w:rPr>
        <w:t xml:space="preserve"> Royal College of Obstetricians and Gynaecologists (RCOG)</w:t>
      </w:r>
      <w:r w:rsidRPr="00954640">
        <w:rPr>
          <w:rFonts w:ascii="Arial" w:hAnsi="Arial" w:cs="Arial"/>
        </w:rPr>
        <w:t xml:space="preserve"> on the increased risk of ICU admissions for </w:t>
      </w:r>
      <w:r w:rsidRPr="00954640">
        <w:rPr>
          <w:rFonts w:ascii="Arial" w:hAnsi="Arial" w:cs="Arial"/>
        </w:rPr>
        <w:lastRenderedPageBreak/>
        <w:t>pregnant compared to non-pregnant women following COVID-19 (95% CI 2.25-2.57), including studies up to February 2022</w:t>
      </w:r>
      <w:r>
        <w:rPr>
          <w:rFonts w:ascii="Arial" w:hAnsi="Arial" w:cs="Arial"/>
        </w:rPr>
        <w:t xml:space="preserve"> </w:t>
      </w:r>
      <w:r>
        <w:rPr>
          <w:rFonts w:ascii="Arial" w:hAnsi="Arial" w:cs="Arial"/>
          <w:noProof/>
        </w:rPr>
        <w:t>[51]</w:t>
      </w:r>
      <w:r w:rsidRPr="00954640">
        <w:rPr>
          <w:rFonts w:ascii="Arial" w:hAnsi="Arial" w:cs="Arial"/>
        </w:rPr>
        <w:t>. We note that the RCOG acknowledge that most studies included in their meta-analysis were conducted when Alpha was the dominant strain, and that different variants bring variation in maternal health outcomes. While the RCOG meta-analysis includes studies from all income settings, there are a larger number of studies published in higher-income settings.</w:t>
      </w:r>
    </w:p>
    <w:p w:rsidR="005D5162" w:rsidRPr="00954640" w:rsidRDefault="005D5162" w:rsidP="00402834">
      <w:pPr>
        <w:spacing w:after="0"/>
        <w:jc w:val="both"/>
        <w:rPr>
          <w:rFonts w:ascii="Arial" w:hAnsi="Arial" w:cs="Arial"/>
        </w:rPr>
      </w:pPr>
    </w:p>
    <w:p w:rsidR="005D5162" w:rsidRPr="00954640" w:rsidRDefault="005D5162" w:rsidP="00402834">
      <w:pPr>
        <w:spacing w:after="0"/>
        <w:jc w:val="both"/>
        <w:rPr>
          <w:rFonts w:ascii="Arial" w:hAnsi="Arial" w:cs="Arial"/>
        </w:rPr>
      </w:pPr>
      <w:r w:rsidRPr="00954640">
        <w:rPr>
          <w:rFonts w:ascii="Arial" w:hAnsi="Arial" w:cs="Arial"/>
        </w:rPr>
        <w:t>We also quantified the benefits of vaccination on pregnancy outcomes, considering the impact of COVID-19 infection on two adverse pregnancy outcomes: preterm delivery and stillbirth (Table S1.5). We used the results of a nationally representative mortality survey conducted in Sierra Leone between 2018-20 to estimate the baseline prevalence of neonatal deaths caused by these two adverse pregnancy outcomes</w:t>
      </w:r>
      <w:r>
        <w:rPr>
          <w:rFonts w:ascii="Arial" w:hAnsi="Arial" w:cs="Arial"/>
        </w:rPr>
        <w:t xml:space="preserve"> </w:t>
      </w:r>
      <w:r>
        <w:rPr>
          <w:rFonts w:ascii="Arial" w:hAnsi="Arial" w:cs="Arial"/>
          <w:noProof/>
        </w:rPr>
        <w:t>[52]</w:t>
      </w:r>
      <w:r>
        <w:rPr>
          <w:rFonts w:ascii="Arial" w:hAnsi="Arial" w:cs="Arial"/>
        </w:rPr>
        <w:t>.</w:t>
      </w:r>
      <w:r w:rsidRPr="00954640">
        <w:rPr>
          <w:rFonts w:ascii="Arial" w:hAnsi="Arial" w:cs="Arial"/>
        </w:rPr>
        <w:t xml:space="preserve"> We estimated the increased risk of these adverse outcomes leading to neonatal death through the odds ratios calculated by the RCOG meta-analysis. Due to an absence of data, we assumed equal vaccine-derived protection against adverse pregnancy outcomes as protection against severe disease in pregnant women. For simplicity, we assumed all births are singleton births and assumed no maternal age dependence on adverse pregnancy outcomes due to COVID-19 infection. </w:t>
      </w:r>
    </w:p>
    <w:p w:rsidR="005D5162" w:rsidRPr="00954640" w:rsidRDefault="005D5162" w:rsidP="00402834">
      <w:pPr>
        <w:spacing w:after="0"/>
        <w:jc w:val="both"/>
        <w:rPr>
          <w:rFonts w:ascii="Arial" w:hAnsi="Arial" w:cs="Arial"/>
        </w:rPr>
      </w:pPr>
    </w:p>
    <w:p w:rsidR="005D5162" w:rsidRPr="00954640" w:rsidRDefault="005D5162" w:rsidP="00E103CB">
      <w:pPr>
        <w:spacing w:after="0"/>
        <w:rPr>
          <w:rFonts w:ascii="Arial" w:hAnsi="Arial" w:cs="Arial"/>
          <w:sz w:val="20"/>
          <w:szCs w:val="20"/>
        </w:rPr>
      </w:pPr>
      <w:r w:rsidRPr="00954640">
        <w:rPr>
          <w:rFonts w:ascii="Arial" w:hAnsi="Arial" w:cs="Arial"/>
          <w:b/>
          <w:bCs/>
          <w:sz w:val="20"/>
          <w:szCs w:val="20"/>
        </w:rPr>
        <w:t xml:space="preserve">Table S1.5 </w:t>
      </w:r>
      <w:r>
        <w:rPr>
          <w:rFonts w:ascii="Arial" w:hAnsi="Arial" w:cs="Arial"/>
          <w:sz w:val="20"/>
          <w:szCs w:val="20"/>
        </w:rPr>
        <w:t xml:space="preserve">Calculation of adverse outcomes due to COVID-19 infection during pregnancy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11"/>
        <w:gridCol w:w="3204"/>
      </w:tblGrid>
      <w:tr w:rsidR="005D5162" w:rsidRPr="009456C6" w:rsidTr="009456C6">
        <w:tc>
          <w:tcPr>
            <w:tcW w:w="1701" w:type="dxa"/>
            <w:tcBorders>
              <w:bottom w:val="single" w:sz="4" w:space="0" w:color="auto"/>
            </w:tcBorders>
          </w:tcPr>
          <w:p w:rsidR="005D5162" w:rsidRPr="009456C6" w:rsidRDefault="005D5162" w:rsidP="009456C6">
            <w:pPr>
              <w:spacing w:line="276" w:lineRule="auto"/>
              <w:rPr>
                <w:rFonts w:ascii="Arial" w:hAnsi="Arial" w:cs="Arial"/>
                <w:b/>
                <w:sz w:val="20"/>
                <w:szCs w:val="20"/>
              </w:rPr>
            </w:pPr>
            <w:r w:rsidRPr="009456C6">
              <w:rPr>
                <w:rFonts w:ascii="Arial" w:hAnsi="Arial" w:cs="Arial"/>
                <w:b/>
                <w:sz w:val="20"/>
                <w:szCs w:val="20"/>
              </w:rPr>
              <w:t>Outcome</w:t>
            </w:r>
          </w:p>
        </w:tc>
        <w:tc>
          <w:tcPr>
            <w:tcW w:w="4111" w:type="dxa"/>
            <w:tcBorders>
              <w:bottom w:val="single" w:sz="4" w:space="0" w:color="auto"/>
            </w:tcBorders>
          </w:tcPr>
          <w:p w:rsidR="005D5162" w:rsidRPr="009456C6" w:rsidRDefault="005D5162" w:rsidP="005D5162">
            <w:pPr>
              <w:spacing w:line="276" w:lineRule="auto"/>
              <w:rPr>
                <w:rFonts w:ascii="Arial" w:hAnsi="Arial" w:cs="Arial"/>
                <w:b/>
                <w:sz w:val="20"/>
                <w:szCs w:val="20"/>
              </w:rPr>
            </w:pPr>
            <w:r w:rsidRPr="009456C6">
              <w:rPr>
                <w:rFonts w:ascii="Arial" w:hAnsi="Arial" w:cs="Arial"/>
                <w:b/>
                <w:sz w:val="20"/>
                <w:szCs w:val="20"/>
              </w:rPr>
              <w:t xml:space="preserve">Baseline prevalence </w:t>
            </w:r>
            <w:r>
              <w:rPr>
                <w:rFonts w:ascii="Arial" w:hAnsi="Arial" w:cs="Arial"/>
                <w:b/>
                <w:noProof/>
                <w:sz w:val="20"/>
                <w:szCs w:val="20"/>
              </w:rPr>
              <w:t>[52]</w:t>
            </w:r>
          </w:p>
        </w:tc>
        <w:tc>
          <w:tcPr>
            <w:tcW w:w="3204" w:type="dxa"/>
            <w:tcBorders>
              <w:bottom w:val="single" w:sz="4" w:space="0" w:color="auto"/>
            </w:tcBorders>
          </w:tcPr>
          <w:p w:rsidR="005D5162" w:rsidRPr="009456C6" w:rsidRDefault="005D5162" w:rsidP="005D5162">
            <w:pPr>
              <w:spacing w:line="276" w:lineRule="auto"/>
              <w:rPr>
                <w:rFonts w:ascii="Arial" w:hAnsi="Arial" w:cs="Arial"/>
                <w:b/>
                <w:sz w:val="20"/>
                <w:szCs w:val="20"/>
              </w:rPr>
            </w:pPr>
            <w:r w:rsidRPr="009456C6">
              <w:rPr>
                <w:rFonts w:ascii="Arial" w:hAnsi="Arial" w:cs="Arial"/>
                <w:b/>
                <w:sz w:val="20"/>
                <w:szCs w:val="20"/>
              </w:rPr>
              <w:t>Increased risk</w:t>
            </w:r>
            <w:r>
              <w:rPr>
                <w:rFonts w:ascii="Arial" w:hAnsi="Arial" w:cs="Arial"/>
                <w:b/>
                <w:sz w:val="20"/>
                <w:szCs w:val="20"/>
              </w:rPr>
              <w:t xml:space="preserve"> </w:t>
            </w:r>
            <w:r>
              <w:rPr>
                <w:rFonts w:ascii="Arial" w:hAnsi="Arial" w:cs="Arial"/>
                <w:b/>
                <w:noProof/>
                <w:sz w:val="20"/>
                <w:szCs w:val="20"/>
              </w:rPr>
              <w:t>[51]</w:t>
            </w:r>
          </w:p>
        </w:tc>
      </w:tr>
      <w:tr w:rsidR="005D5162" w:rsidRPr="009456C6" w:rsidTr="009456C6">
        <w:tc>
          <w:tcPr>
            <w:tcW w:w="1701" w:type="dxa"/>
            <w:tcBorders>
              <w:top w:val="single" w:sz="4" w:space="0" w:color="auto"/>
              <w:bottom w:val="nil"/>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Preterm delivery</w:t>
            </w:r>
          </w:p>
        </w:tc>
        <w:tc>
          <w:tcPr>
            <w:tcW w:w="4111" w:type="dxa"/>
            <w:tcBorders>
              <w:top w:val="single" w:sz="4" w:space="0" w:color="auto"/>
              <w:bottom w:val="nil"/>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 xml:space="preserve">6.2 (95% CI 5.9-6.5) per 1000 livebirths </w:t>
            </w:r>
          </w:p>
        </w:tc>
        <w:tc>
          <w:tcPr>
            <w:tcW w:w="3204" w:type="dxa"/>
            <w:tcBorders>
              <w:top w:val="single" w:sz="4" w:space="0" w:color="auto"/>
              <w:bottom w:val="nil"/>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 xml:space="preserve">OR 1.47 (95% CI 1.44-1.51) </w:t>
            </w:r>
          </w:p>
        </w:tc>
      </w:tr>
      <w:tr w:rsidR="005D5162" w:rsidRPr="009456C6" w:rsidTr="009456C6">
        <w:trPr>
          <w:trHeight w:val="235"/>
        </w:trPr>
        <w:tc>
          <w:tcPr>
            <w:tcW w:w="1701" w:type="dxa"/>
            <w:tcBorders>
              <w:top w:val="nil"/>
              <w:bottom w:val="single" w:sz="4" w:space="0" w:color="auto"/>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Stillbirth</w:t>
            </w:r>
          </w:p>
        </w:tc>
        <w:tc>
          <w:tcPr>
            <w:tcW w:w="4111" w:type="dxa"/>
            <w:tcBorders>
              <w:top w:val="nil"/>
              <w:bottom w:val="single" w:sz="4" w:space="0" w:color="auto"/>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 xml:space="preserve">15.6 (95% CI 15.1-16.1) per 1000 livebirths </w:t>
            </w:r>
          </w:p>
        </w:tc>
        <w:tc>
          <w:tcPr>
            <w:tcW w:w="3204" w:type="dxa"/>
            <w:tcBorders>
              <w:top w:val="nil"/>
              <w:bottom w:val="single" w:sz="4" w:space="0" w:color="auto"/>
            </w:tcBorders>
          </w:tcPr>
          <w:p w:rsidR="005D5162" w:rsidRPr="009456C6" w:rsidRDefault="005D5162" w:rsidP="00072AF7">
            <w:pPr>
              <w:spacing w:line="360" w:lineRule="auto"/>
              <w:rPr>
                <w:rFonts w:ascii="Arial" w:hAnsi="Arial" w:cs="Arial"/>
                <w:sz w:val="20"/>
                <w:szCs w:val="20"/>
              </w:rPr>
            </w:pPr>
            <w:r w:rsidRPr="009456C6">
              <w:rPr>
                <w:rFonts w:ascii="Arial" w:hAnsi="Arial" w:cs="Arial"/>
                <w:sz w:val="20"/>
                <w:szCs w:val="20"/>
              </w:rPr>
              <w:t xml:space="preserve">OR 1.80 (95% CI 1.63-1.99) </w:t>
            </w:r>
          </w:p>
        </w:tc>
      </w:tr>
    </w:tbl>
    <w:p w:rsidR="005D5162" w:rsidRPr="00954640" w:rsidRDefault="005D5162" w:rsidP="00F068BF">
      <w:pPr>
        <w:rPr>
          <w:rFonts w:ascii="Arial" w:hAnsi="Arial" w:cs="Arial"/>
        </w:rPr>
      </w:pPr>
      <w:bookmarkStart w:id="11" w:name="_Toc95136789"/>
      <w:bookmarkStart w:id="12" w:name="_Toc95397103"/>
      <w:bookmarkStart w:id="13" w:name="_Toc95397109"/>
    </w:p>
    <w:p w:rsidR="005D5162" w:rsidRPr="00954640" w:rsidRDefault="005D5162">
      <w:pPr>
        <w:rPr>
          <w:rFonts w:ascii="Arial" w:eastAsiaTheme="majorEastAsia" w:hAnsi="Arial" w:cs="Arial"/>
          <w:color w:val="2E74B5" w:themeColor="accent1" w:themeShade="BF"/>
          <w:sz w:val="32"/>
          <w:szCs w:val="32"/>
        </w:rPr>
      </w:pPr>
      <w:r w:rsidRPr="00954640">
        <w:rPr>
          <w:rFonts w:ascii="Arial" w:hAnsi="Arial" w:cs="Arial"/>
        </w:rPr>
        <w:br w:type="page"/>
      </w:r>
    </w:p>
    <w:p w:rsidR="005D5162" w:rsidRPr="00954640" w:rsidRDefault="005D5162" w:rsidP="00062865">
      <w:pPr>
        <w:pStyle w:val="Heading1"/>
        <w:rPr>
          <w:rFonts w:ascii="Arial" w:hAnsi="Arial" w:cs="Arial"/>
          <w:b/>
          <w:color w:val="000000" w:themeColor="text1"/>
        </w:rPr>
      </w:pPr>
      <w:bookmarkStart w:id="14" w:name="_Toc117859591"/>
      <w:r w:rsidRPr="00954640">
        <w:rPr>
          <w:rFonts w:ascii="Arial" w:hAnsi="Arial" w:cs="Arial"/>
          <w:b/>
          <w:color w:val="000000" w:themeColor="text1"/>
        </w:rPr>
        <w:lastRenderedPageBreak/>
        <w:t xml:space="preserve">S2. </w:t>
      </w:r>
      <w:bookmarkEnd w:id="11"/>
      <w:bookmarkEnd w:id="12"/>
      <w:r w:rsidRPr="00954640">
        <w:rPr>
          <w:rFonts w:ascii="Arial" w:hAnsi="Arial" w:cs="Arial"/>
          <w:b/>
          <w:color w:val="000000" w:themeColor="text1"/>
        </w:rPr>
        <w:t>Model Structure</w:t>
      </w:r>
      <w:bookmarkEnd w:id="14"/>
      <w:r w:rsidRPr="00954640">
        <w:rPr>
          <w:rFonts w:ascii="Arial" w:hAnsi="Arial" w:cs="Arial"/>
          <w:b/>
          <w:color w:val="000000" w:themeColor="text1"/>
        </w:rPr>
        <w:t xml:space="preserve"> </w:t>
      </w:r>
    </w:p>
    <w:p w:rsidR="005D5162" w:rsidRPr="00954640" w:rsidRDefault="005D5162" w:rsidP="00062865">
      <w:pPr>
        <w:pStyle w:val="Heading2"/>
        <w:rPr>
          <w:rFonts w:ascii="Arial" w:hAnsi="Arial" w:cs="Arial"/>
          <w:b/>
          <w:color w:val="000000" w:themeColor="text1"/>
        </w:rPr>
      </w:pPr>
      <w:bookmarkStart w:id="15" w:name="_Toc95136790"/>
      <w:bookmarkStart w:id="16" w:name="_Toc95397104"/>
      <w:bookmarkStart w:id="17" w:name="_Toc117859592"/>
      <w:r w:rsidRPr="00954640">
        <w:rPr>
          <w:rFonts w:ascii="Arial" w:hAnsi="Arial" w:cs="Arial"/>
          <w:b/>
          <w:color w:val="000000" w:themeColor="text1"/>
        </w:rPr>
        <w:t xml:space="preserve">S2.1 </w:t>
      </w:r>
      <w:bookmarkEnd w:id="15"/>
      <w:bookmarkEnd w:id="16"/>
      <w:r w:rsidRPr="00954640">
        <w:rPr>
          <w:rFonts w:ascii="Arial" w:hAnsi="Arial" w:cs="Arial"/>
          <w:b/>
          <w:color w:val="000000" w:themeColor="text1"/>
        </w:rPr>
        <w:t>Modelling transmission</w:t>
      </w:r>
      <w:bookmarkEnd w:id="17"/>
    </w:p>
    <w:p w:rsidR="005D5162" w:rsidRPr="00954640" w:rsidRDefault="005D5162" w:rsidP="00062865">
      <w:pPr>
        <w:spacing w:after="0" w:line="276" w:lineRule="auto"/>
        <w:jc w:val="both"/>
        <w:rPr>
          <w:rFonts w:ascii="Arial" w:hAnsi="Arial" w:cs="Arial"/>
        </w:rPr>
      </w:pPr>
      <w:r w:rsidRPr="00954640">
        <w:rPr>
          <w:rFonts w:ascii="Arial" w:hAnsi="Arial" w:cs="Arial"/>
        </w:rPr>
        <w:t>Transmission (</w:t>
      </w:r>
      <m:oMath>
        <m:r>
          <w:rPr>
            <w:rFonts w:ascii="Cambria Math" w:hAnsi="Cambria Math" w:cs="Arial"/>
          </w:rPr>
          <m:t>τ)</m:t>
        </m:r>
      </m:oMath>
      <w:r w:rsidRPr="00954640">
        <w:rPr>
          <w:rFonts w:ascii="Arial" w:hAnsi="Arial" w:cs="Arial"/>
        </w:rPr>
        <w:t xml:space="preserve"> was modelled as a product of daily contacts between age-classes (</w:t>
      </w:r>
      <m:oMath>
        <m:r>
          <w:rPr>
            <w:rFonts w:ascii="Cambria Math" w:hAnsi="Cambria Math" w:cs="Arial"/>
          </w:rPr>
          <m:t>C</m:t>
        </m:r>
      </m:oMath>
      <w:r w:rsidRPr="00954640">
        <w:rPr>
          <w:rFonts w:ascii="Arial" w:hAnsi="Arial" w:cs="Arial"/>
        </w:rPr>
        <w:t xml:space="preserve">), age-specific susceptibility to infection </w:t>
      </w:r>
      <m:oMath>
        <m:r>
          <w:rPr>
            <w:rFonts w:ascii="Cambria Math" w:hAnsi="Cambria Math" w:cs="Arial"/>
          </w:rPr>
          <m:t>(u)</m:t>
        </m:r>
      </m:oMath>
      <w:r w:rsidRPr="00954640">
        <w:rPr>
          <w:rFonts w:ascii="Arial" w:hAnsi="Arial" w:cs="Arial"/>
        </w:rPr>
        <w:t xml:space="preserve">, the proportion of cases who are symptomatic </w:t>
      </w:r>
      <m:oMath>
        <m:r>
          <w:rPr>
            <w:rFonts w:ascii="Cambria Math" w:hAnsi="Cambria Math" w:cs="Arial"/>
          </w:rPr>
          <m:t>(γ)</m:t>
        </m:r>
      </m:oMath>
      <w:r w:rsidRPr="00954640">
        <w:rPr>
          <w:rFonts w:ascii="Arial" w:hAnsi="Arial" w:cs="Arial"/>
        </w:rPr>
        <w:t xml:space="preserve">, reduced infectiousness of asymptomatic cases </w:t>
      </w:r>
      <m:oMath>
        <m:r>
          <w:rPr>
            <w:rFonts w:ascii="Cambria Math" w:hAnsi="Cambria Math" w:cs="Arial"/>
          </w:rPr>
          <m:t>(ι)</m:t>
        </m:r>
      </m:oMath>
      <w:r w:rsidRPr="00954640">
        <w:rPr>
          <w:rFonts w:ascii="Arial" w:hAnsi="Arial" w:cs="Arial"/>
        </w:rPr>
        <w:t xml:space="preserve">, and effectiveness of non-pharmaceutical interventions </w:t>
      </w:r>
      <m:oMath>
        <m:r>
          <w:rPr>
            <w:rFonts w:ascii="Cambria Math" w:hAnsi="Cambria Math" w:cs="Arial"/>
          </w:rPr>
          <m:t>(NPI)</m:t>
        </m:r>
      </m:oMath>
      <w:r w:rsidRPr="00954640">
        <w:rPr>
          <w:rFonts w:ascii="Arial" w:hAnsi="Arial" w:cs="Arial"/>
        </w:rPr>
        <w:t xml:space="preserve">. Hence, the rate of daily transmission in the </w:t>
      </w:r>
      <m:oMath>
        <m:r>
          <w:rPr>
            <w:rFonts w:ascii="Cambria Math" w:hAnsi="Cambria Math" w:cs="Arial"/>
          </w:rPr>
          <m:t>i</m:t>
        </m:r>
      </m:oMath>
      <w:r w:rsidRPr="00954640">
        <w:rPr>
          <w:rFonts w:ascii="Arial" w:hAnsi="Arial" w:cs="Arial"/>
        </w:rPr>
        <w:t>’th age group was defined as the sum of possible transmissions to them from individuals of age classes ‘</w:t>
      </w:r>
      <m:oMath>
        <m:r>
          <w:rPr>
            <w:rFonts w:ascii="Cambria Math" w:hAnsi="Cambria Math" w:cs="Arial"/>
          </w:rPr>
          <m:t>j</m:t>
        </m:r>
      </m:oMath>
      <w:r w:rsidRPr="00954640">
        <w:rPr>
          <w:rFonts w:ascii="Arial" w:hAnsi="Arial" w:cs="Arial"/>
        </w:rPr>
        <w:t xml:space="preserve">’,  </w:t>
      </w:r>
    </w:p>
    <w:p w:rsidR="005D5162" w:rsidRPr="00954640" w:rsidRDefault="005D5162" w:rsidP="00062865">
      <w:pPr>
        <w:spacing w:after="0"/>
        <w:jc w:val="both"/>
        <w:rPr>
          <w:rFonts w:ascii="Arial" w:eastAsiaTheme="minorEastAsia" w:hAnsi="Arial" w:cs="Arial"/>
        </w:rPr>
      </w:pPr>
      <m:oMathPara>
        <m:oMath>
          <m:r>
            <w:rPr>
              <w:rFonts w:ascii="Cambria Math" w:hAnsi="Cambria Math" w:cs="Arial"/>
            </w:rPr>
            <m:t>τ</m:t>
          </m:r>
          <m:d>
            <m:dPr>
              <m:ctrlPr>
                <w:rPr>
                  <w:rFonts w:ascii="Cambria Math" w:hAnsi="Cambria Math" w:cs="Arial"/>
                  <w:i/>
                </w:rPr>
              </m:ctrlPr>
            </m:dPr>
            <m:e>
              <m:r>
                <w:rPr>
                  <w:rFonts w:ascii="Cambria Math" w:hAnsi="Cambria Math" w:cs="Arial"/>
                </w:rPr>
                <m:t>i</m:t>
              </m:r>
            </m:e>
          </m:d>
          <m:r>
            <w:rPr>
              <w:rFonts w:ascii="Cambria Math" w:hAnsi="Cambria Math" w:cs="Arial"/>
            </w:rPr>
            <m:t>= β*</m:t>
          </m:r>
          <m:sSub>
            <m:sSubPr>
              <m:ctrlPr>
                <w:rPr>
                  <w:rFonts w:ascii="Cambria Math" w:hAnsi="Cambria Math" w:cs="Arial"/>
                  <w:i/>
                </w:rPr>
              </m:ctrlPr>
            </m:sSubPr>
            <m:e>
              <m:r>
                <w:rPr>
                  <w:rFonts w:ascii="Cambria Math" w:hAnsi="Cambria Math" w:cs="Arial"/>
                </w:rPr>
                <m:t>u</m:t>
              </m:r>
            </m:e>
            <m:sub>
              <m:r>
                <w:rPr>
                  <w:rFonts w:ascii="Cambria Math" w:hAnsi="Cambria Math" w:cs="Arial"/>
                </w:rPr>
                <m:t>i</m:t>
              </m:r>
            </m:sub>
          </m:sSub>
          <m:r>
            <w:rPr>
              <w:rFonts w:ascii="Cambria Math" w:hAnsi="Cambria Math" w:cs="Arial"/>
            </w:rPr>
            <m:t>*(1-NPI)*</m:t>
          </m:r>
          <m:nary>
            <m:naryPr>
              <m:chr m:val="∑"/>
              <m:limLoc m:val="undOvr"/>
              <m:supHide m:val="1"/>
              <m:ctrlPr>
                <w:rPr>
                  <w:rFonts w:ascii="Cambria Math" w:hAnsi="Cambria Math" w:cs="Arial"/>
                  <w:i/>
                </w:rPr>
              </m:ctrlPr>
            </m:naryPr>
            <m:sub>
              <m:r>
                <w:rPr>
                  <w:rFonts w:ascii="Cambria Math" w:hAnsi="Cambria Math" w:cs="Arial"/>
                </w:rPr>
                <m:t>j</m:t>
              </m:r>
            </m:sub>
            <m:sup/>
            <m:e>
              <m:sSub>
                <m:sSubPr>
                  <m:ctrlPr>
                    <w:rPr>
                      <w:rFonts w:ascii="Cambria Math" w:hAnsi="Cambria Math" w:cs="Arial"/>
                      <w:i/>
                    </w:rPr>
                  </m:ctrlPr>
                </m:sSubPr>
                <m:e>
                  <m:r>
                    <w:rPr>
                      <w:rFonts w:ascii="Cambria Math" w:hAnsi="Cambria Math" w:cs="Arial"/>
                    </w:rPr>
                    <m:t>C</m:t>
                  </m:r>
                </m:e>
                <m:sub>
                  <m:r>
                    <w:rPr>
                      <w:rFonts w:ascii="Cambria Math" w:hAnsi="Cambria Math" w:cs="Arial"/>
                    </w:rPr>
                    <m:t>i,j</m:t>
                  </m:r>
                </m:sub>
              </m:sSub>
              <m:r>
                <w:rPr>
                  <w:rFonts w:ascii="Cambria Math" w:hAnsi="Cambria Math" w:cs="Arial"/>
                </w:rPr>
                <m:t>*</m:t>
              </m:r>
              <m:f>
                <m:fPr>
                  <m:ctrlPr>
                    <w:rPr>
                      <w:rFonts w:ascii="Cambria Math" w:hAnsi="Cambria Math" w:cs="Arial"/>
                      <w:i/>
                    </w:rPr>
                  </m:ctrlPr>
                </m:fPr>
                <m:num>
                  <m:r>
                    <w:rPr>
                      <w:rFonts w:ascii="Cambria Math" w:hAnsi="Cambria Math" w:cs="Arial"/>
                    </w:rPr>
                    <m:t>I</m:t>
                  </m:r>
                  <m:d>
                    <m:dPr>
                      <m:ctrlPr>
                        <w:rPr>
                          <w:rFonts w:ascii="Cambria Math" w:hAnsi="Cambria Math" w:cs="Arial"/>
                          <w:i/>
                        </w:rPr>
                      </m:ctrlPr>
                    </m:dPr>
                    <m:e>
                      <m:r>
                        <w:rPr>
                          <w:rFonts w:ascii="Cambria Math" w:hAnsi="Cambria Math" w:cs="Arial"/>
                        </w:rPr>
                        <m:t>j</m:t>
                      </m:r>
                    </m:e>
                  </m:d>
                </m:num>
                <m:den>
                  <m:r>
                    <w:rPr>
                      <w:rFonts w:ascii="Cambria Math" w:hAnsi="Cambria Math" w:cs="Arial"/>
                    </w:rPr>
                    <m:t>N</m:t>
                  </m:r>
                  <m:d>
                    <m:dPr>
                      <m:ctrlPr>
                        <w:rPr>
                          <w:rFonts w:ascii="Cambria Math" w:hAnsi="Cambria Math" w:cs="Arial"/>
                          <w:i/>
                        </w:rPr>
                      </m:ctrlPr>
                    </m:dPr>
                    <m:e>
                      <m:r>
                        <w:rPr>
                          <w:rFonts w:ascii="Cambria Math" w:hAnsi="Cambria Math" w:cs="Arial"/>
                        </w:rPr>
                        <m:t>j</m:t>
                      </m:r>
                    </m:e>
                  </m:d>
                </m:den>
              </m:f>
            </m:e>
          </m:nary>
          <m:r>
            <w:rPr>
              <w:rFonts w:ascii="Cambria Math" w:hAnsi="Cambria Math" w:cs="Arial"/>
            </w:rPr>
            <m:t>*</m:t>
          </m:r>
          <m:d>
            <m:dPr>
              <m:ctrlPr>
                <w:rPr>
                  <w:rFonts w:ascii="Cambria Math" w:hAnsi="Cambria Math" w:cs="Arial"/>
                  <w:i/>
                </w:rPr>
              </m:ctrlPr>
            </m:dPr>
            <m:e>
              <m:r>
                <w:rPr>
                  <w:rFonts w:ascii="Cambria Math" w:hAnsi="Cambria Math" w:cs="Arial"/>
                </w:rPr>
                <m:t>ι</m:t>
              </m:r>
              <m:d>
                <m:dPr>
                  <m:ctrlPr>
                    <w:rPr>
                      <w:rFonts w:ascii="Cambria Math" w:hAnsi="Cambria Math" w:cs="Arial"/>
                      <w:i/>
                    </w:rPr>
                  </m:ctrlPr>
                </m:dPr>
                <m:e>
                  <m:r>
                    <w:rPr>
                      <w:rFonts w:ascii="Cambria Math" w:hAnsi="Cambria Math" w:cs="Arial"/>
                    </w:rPr>
                    <m:t>1-γ</m:t>
                  </m:r>
                  <m:d>
                    <m:dPr>
                      <m:ctrlPr>
                        <w:rPr>
                          <w:rFonts w:ascii="Cambria Math" w:hAnsi="Cambria Math" w:cs="Arial"/>
                          <w:i/>
                        </w:rPr>
                      </m:ctrlPr>
                    </m:dPr>
                    <m:e>
                      <m:r>
                        <w:rPr>
                          <w:rFonts w:ascii="Cambria Math" w:hAnsi="Cambria Math" w:cs="Arial"/>
                        </w:rPr>
                        <m:t>j</m:t>
                      </m:r>
                    </m:e>
                  </m:d>
                </m:e>
              </m:d>
              <m:r>
                <w:rPr>
                  <w:rFonts w:ascii="Cambria Math" w:hAnsi="Cambria Math" w:cs="Arial"/>
                </w:rPr>
                <m:t>+γ(j)</m:t>
              </m:r>
            </m:e>
          </m:d>
          <m:r>
            <w:rPr>
              <w:rFonts w:ascii="Cambria Math" w:hAnsi="Cambria Math" w:cs="Arial"/>
            </w:rPr>
            <m:t xml:space="preserve">.  </m:t>
          </m:r>
        </m:oMath>
      </m:oMathPara>
    </w:p>
    <w:p w:rsidR="005D5162" w:rsidRPr="00954640" w:rsidRDefault="005D5162" w:rsidP="00062865">
      <w:pPr>
        <w:rPr>
          <w:rFonts w:ascii="Arial" w:hAnsi="Arial" w:cs="Arial"/>
          <w:iCs/>
        </w:rPr>
      </w:pPr>
      <w:r w:rsidRPr="00954640">
        <w:rPr>
          <w:rFonts w:ascii="Arial" w:hAnsi="Arial" w:cs="Arial"/>
        </w:rPr>
        <w:t>Here,</w:t>
      </w:r>
      <m:oMath>
        <m:r>
          <w:rPr>
            <w:rFonts w:ascii="Cambria Math" w:hAnsi="Cambria Math" w:cs="Arial"/>
          </w:rPr>
          <m:t xml:space="preserve"> β</m:t>
        </m:r>
      </m:oMath>
      <w:r w:rsidRPr="00954640">
        <w:rPr>
          <w:rFonts w:ascii="Arial" w:hAnsi="Arial" w:cs="Arial"/>
        </w:rPr>
        <w:t xml:space="preserve"> represents a scaling parameter used to fit transmission to the basic reproduction number of the circulating strain.</w:t>
      </w:r>
      <w:r w:rsidRPr="00954640">
        <w:rPr>
          <w:rFonts w:ascii="Arial" w:hAnsi="Arial" w:cs="Arial"/>
          <w:iCs/>
        </w:rPr>
        <w:t xml:space="preserve"> </w:t>
      </w:r>
    </w:p>
    <w:p w:rsidR="005D5162" w:rsidRPr="00954640" w:rsidRDefault="005D5162" w:rsidP="00062865">
      <w:pPr>
        <w:spacing w:after="0"/>
        <w:rPr>
          <w:rFonts w:ascii="Arial" w:hAnsi="Arial" w:cs="Arial"/>
          <w:iCs/>
        </w:rPr>
      </w:pPr>
      <w:r w:rsidRPr="00954640">
        <w:rPr>
          <w:rFonts w:ascii="Arial" w:hAnsi="Arial" w:cs="Arial"/>
          <w:iCs/>
        </w:rPr>
        <w:t>We modelled vaccination using a ‘leaky vaccine’ approach in which all vaccinated individuals have a reduced probability of infection after vaccination,</w:t>
      </w:r>
    </w:p>
    <w:p w:rsidR="005D5162" w:rsidRPr="00954640" w:rsidRDefault="005D5162" w:rsidP="00062865">
      <w:pPr>
        <w:rPr>
          <w:rFonts w:ascii="Arial" w:eastAsiaTheme="minorEastAsia" w:hAnsi="Arial" w:cs="Arial"/>
        </w:rPr>
      </w:pPr>
      <m:oMathPara>
        <m:oMath>
          <m:r>
            <w:rPr>
              <w:rFonts w:ascii="Cambria Math" w:hAnsi="Cambria Math" w:cs="Arial"/>
            </w:rPr>
            <m:t>τ</m:t>
          </m:r>
          <m:d>
            <m:dPr>
              <m:ctrlPr>
                <w:rPr>
                  <w:rFonts w:ascii="Cambria Math" w:hAnsi="Cambria Math" w:cs="Arial"/>
                  <w:i/>
                </w:rPr>
              </m:ctrlPr>
            </m:dPr>
            <m:e>
              <m:r>
                <w:rPr>
                  <w:rFonts w:ascii="Cambria Math" w:hAnsi="Cambria Math" w:cs="Arial"/>
                </w:rPr>
                <m:t>i</m:t>
              </m:r>
            </m:e>
          </m:d>
          <m:r>
            <w:rPr>
              <w:rFonts w:ascii="Cambria Math" w:hAnsi="Cambria Math" w:cs="Arial"/>
            </w:rPr>
            <m:t>=τ</m:t>
          </m:r>
          <m:d>
            <m:dPr>
              <m:ctrlPr>
                <w:rPr>
                  <w:rFonts w:ascii="Cambria Math" w:hAnsi="Cambria Math" w:cs="Arial"/>
                  <w:i/>
                </w:rPr>
              </m:ctrlPr>
            </m:dPr>
            <m:e>
              <m:r>
                <w:rPr>
                  <w:rFonts w:ascii="Cambria Math" w:hAnsi="Cambria Math" w:cs="Arial"/>
                </w:rPr>
                <m:t>i</m:t>
              </m:r>
            </m:e>
          </m:d>
          <m:r>
            <w:rPr>
              <w:rFonts w:ascii="Cambria Math" w:hAnsi="Cambria Math" w:cs="Arial"/>
            </w:rPr>
            <m:t>*</m:t>
          </m:r>
          <m:d>
            <m:dPr>
              <m:ctrlPr>
                <w:rPr>
                  <w:rFonts w:ascii="Cambria Math" w:hAnsi="Cambria Math" w:cs="Arial"/>
                  <w:i/>
                </w:rPr>
              </m:ctrlPr>
            </m:dPr>
            <m:e>
              <m:r>
                <w:rPr>
                  <w:rFonts w:ascii="Cambria Math" w:hAnsi="Cambria Math" w:cs="Arial"/>
                </w:rPr>
                <m:t>1-</m:t>
              </m:r>
              <m:sSub>
                <m:sSubPr>
                  <m:ctrlPr>
                    <w:rPr>
                      <w:rFonts w:ascii="Cambria Math" w:hAnsi="Cambria Math" w:cs="Arial"/>
                      <w:i/>
                    </w:rPr>
                  </m:ctrlPr>
                </m:sSubPr>
                <m:e>
                  <m:r>
                    <w:rPr>
                      <w:rFonts w:ascii="Cambria Math" w:hAnsi="Cambria Math" w:cs="Arial"/>
                    </w:rPr>
                    <m:t>VE</m:t>
                  </m:r>
                </m:e>
                <m:sub>
                  <m:d>
                    <m:dPr>
                      <m:begChr m:val="["/>
                      <m:endChr m:val="]"/>
                      <m:ctrlPr>
                        <w:rPr>
                          <w:rFonts w:ascii="Cambria Math" w:hAnsi="Cambria Math" w:cs="Arial"/>
                          <w:i/>
                        </w:rPr>
                      </m:ctrlPr>
                    </m:dPr>
                    <m:e>
                      <m:r>
                        <w:rPr>
                          <w:rFonts w:ascii="Cambria Math" w:hAnsi="Cambria Math" w:cs="Arial"/>
                        </w:rPr>
                        <m:t>dose,  type</m:t>
                      </m:r>
                    </m:e>
                  </m:d>
                </m:sub>
              </m:sSub>
            </m:e>
          </m:d>
          <m:r>
            <w:rPr>
              <w:rFonts w:ascii="Cambria Math" w:hAnsi="Cambria Math" w:cs="Arial"/>
            </w:rPr>
            <m:t>.</m:t>
          </m:r>
        </m:oMath>
      </m:oMathPara>
    </w:p>
    <w:p w:rsidR="005D5162" w:rsidRPr="00954640" w:rsidRDefault="005D5162" w:rsidP="00983E77">
      <w:pPr>
        <w:spacing w:after="0"/>
        <w:rPr>
          <w:rFonts w:ascii="Arial" w:eastAsiaTheme="minorEastAsia" w:hAnsi="Arial" w:cs="Arial"/>
        </w:rPr>
      </w:pPr>
    </w:p>
    <w:p w:rsidR="005D5162" w:rsidRPr="00954640" w:rsidRDefault="005D5162" w:rsidP="00062865">
      <w:pPr>
        <w:pStyle w:val="Heading2"/>
        <w:rPr>
          <w:rFonts w:ascii="Arial" w:hAnsi="Arial" w:cs="Arial"/>
          <w:b/>
          <w:color w:val="000000" w:themeColor="text1"/>
        </w:rPr>
      </w:pPr>
      <w:bookmarkStart w:id="18" w:name="_Toc95136791"/>
      <w:bookmarkStart w:id="19" w:name="_Toc95397105"/>
      <w:bookmarkStart w:id="20" w:name="_Toc117859593"/>
      <w:r w:rsidRPr="00954640">
        <w:rPr>
          <w:rFonts w:ascii="Arial" w:hAnsi="Arial" w:cs="Arial"/>
          <w:b/>
          <w:color w:val="000000" w:themeColor="text1"/>
        </w:rPr>
        <w:t>S2.2 Fit</w:t>
      </w:r>
      <w:bookmarkEnd w:id="18"/>
      <w:bookmarkEnd w:id="19"/>
      <w:r w:rsidRPr="00954640">
        <w:rPr>
          <w:rFonts w:ascii="Arial" w:hAnsi="Arial" w:cs="Arial"/>
          <w:b/>
          <w:color w:val="000000" w:themeColor="text1"/>
        </w:rPr>
        <w:t>ting to the basic reproduction number</w:t>
      </w:r>
      <w:bookmarkEnd w:id="20"/>
    </w:p>
    <w:p w:rsidR="005D5162" w:rsidRPr="00954640" w:rsidRDefault="005D5162" w:rsidP="00ED3838">
      <w:pPr>
        <w:tabs>
          <w:tab w:val="left" w:pos="5400"/>
        </w:tabs>
        <w:jc w:val="both"/>
        <w:rPr>
          <w:rFonts w:ascii="Arial" w:eastAsiaTheme="minorEastAsia" w:hAnsi="Arial" w:cs="Arial"/>
        </w:rPr>
      </w:pPr>
      <w:r w:rsidRPr="00954640">
        <w:rPr>
          <w:rFonts w:ascii="Arial" w:eastAsiaTheme="minorEastAsia" w:hAnsi="Arial" w:cs="Arial"/>
        </w:rPr>
        <w:t xml:space="preserve">The basic reproduction number </w:t>
      </w:r>
      <m:oMath>
        <m:r>
          <w:rPr>
            <w:rFonts w:ascii="Cambria Math" w:eastAsiaTheme="minorEastAsia" w:hAnsi="Cambria Math" w:cs="Arial"/>
          </w:rPr>
          <m:t>(</m:t>
        </m:r>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r>
          <w:rPr>
            <w:rFonts w:ascii="Cambria Math" w:hAnsi="Cambria Math" w:cs="Arial"/>
          </w:rPr>
          <m:t>)</m:t>
        </m:r>
      </m:oMath>
      <w:r w:rsidRPr="00954640">
        <w:rPr>
          <w:rFonts w:ascii="Arial" w:eastAsiaTheme="minorEastAsia" w:hAnsi="Arial" w:cs="Arial"/>
        </w:rPr>
        <w:t xml:space="preserve">  represents the average number of secondary infections resulting from one case interacting with an entirely susceptible population in the absence of control measures. </w:t>
      </w:r>
      <w:r w:rsidRPr="00954640">
        <w:rPr>
          <w:rFonts w:ascii="Arial" w:hAnsi="Arial" w:cs="Arial"/>
        </w:rPr>
        <w:t>W</w:t>
      </w:r>
      <w:r w:rsidRPr="00954640">
        <w:rPr>
          <w:rFonts w:ascii="Arial" w:eastAsiaTheme="minorEastAsia" w:hAnsi="Arial" w:cs="Arial"/>
        </w:rPr>
        <w:t xml:space="preserve">e calculated </w:t>
      </w:r>
      <m:oMath>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oMath>
      <w:r w:rsidRPr="00954640">
        <w:rPr>
          <w:rFonts w:ascii="Arial" w:eastAsiaTheme="minorEastAsia" w:hAnsi="Arial" w:cs="Arial"/>
        </w:rPr>
        <w:t xml:space="preserve"> as the spectral radius the next-generation matrix (NGM):</w:t>
      </w:r>
    </w:p>
    <w:p w:rsidR="005D5162" w:rsidRPr="00954640" w:rsidRDefault="005D5162" w:rsidP="00062865">
      <w:pPr>
        <w:spacing w:after="40"/>
        <w:rPr>
          <w:rFonts w:ascii="Arial" w:eastAsiaTheme="minorEastAsia" w:hAnsi="Arial" w:cs="Arial"/>
        </w:rPr>
      </w:pPr>
      <m:oMathPara>
        <m:oMath>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r>
            <w:rPr>
              <w:rFonts w:ascii="Cambria Math" w:eastAsiaTheme="minorEastAsia" w:hAnsi="Cambria Math" w:cs="Arial"/>
            </w:rPr>
            <m:t>=ρ</m:t>
          </m:r>
          <m:d>
            <m:dPr>
              <m:ctrlPr>
                <w:rPr>
                  <w:rFonts w:ascii="Cambria Math" w:eastAsiaTheme="minorEastAsia" w:hAnsi="Cambria Math" w:cs="Arial"/>
                  <w:i/>
                </w:rPr>
              </m:ctrlPr>
            </m:dPr>
            <m:e>
              <m:r>
                <w:rPr>
                  <w:rFonts w:ascii="Cambria Math" w:eastAsiaTheme="minorEastAsia" w:hAnsi="Cambria Math" w:cs="Arial"/>
                </w:rPr>
                <m:t>NGM</m:t>
              </m:r>
            </m:e>
          </m:d>
        </m:oMath>
      </m:oMathPara>
    </w:p>
    <w:p w:rsidR="005D5162" w:rsidRPr="00954640" w:rsidRDefault="005D5162" w:rsidP="00062865">
      <w:pPr>
        <w:spacing w:after="40"/>
        <w:rPr>
          <w:rFonts w:ascii="Arial" w:eastAsiaTheme="minorEastAsia" w:hAnsi="Arial" w:cs="Arial"/>
        </w:rPr>
      </w:pPr>
      <m:oMathPara>
        <m:oMath>
          <m:r>
            <w:rPr>
              <w:rFonts w:ascii="Cambria Math" w:eastAsiaTheme="minorEastAsia" w:hAnsi="Cambria Math" w:cs="Arial"/>
            </w:rPr>
            <m:t>NGM=</m:t>
          </m:r>
          <m:acc>
            <m:accPr>
              <m:chr m:val="̃"/>
              <m:ctrlPr>
                <w:rPr>
                  <w:rFonts w:ascii="Cambria Math" w:eastAsiaTheme="minorEastAsia" w:hAnsi="Cambria Math" w:cs="Arial"/>
                  <w:i/>
                </w:rPr>
              </m:ctrlPr>
            </m:accPr>
            <m:e>
              <m:r>
                <w:rPr>
                  <w:rFonts w:ascii="Cambria Math" w:eastAsiaTheme="minorEastAsia" w:hAnsi="Cambria Math" w:cs="Arial"/>
                </w:rPr>
                <m:t>C</m:t>
              </m:r>
            </m:e>
          </m:acc>
          <m:r>
            <w:rPr>
              <w:rFonts w:ascii="Cambria Math" w:eastAsiaTheme="minorEastAsia" w:hAnsi="Cambria Math" w:cs="Arial"/>
            </w:rPr>
            <m:t>*diag</m:t>
          </m:r>
          <m:d>
            <m:dPr>
              <m:begChr m:val="{"/>
              <m:endChr m:val="}"/>
              <m:ctrlPr>
                <w:rPr>
                  <w:rFonts w:ascii="Cambria Math" w:eastAsiaTheme="minorEastAsia" w:hAnsi="Cambria Math" w:cs="Arial"/>
                  <w:i/>
                </w:rPr>
              </m:ctrlPr>
            </m:dPr>
            <m:e>
              <m:r>
                <w:rPr>
                  <w:rFonts w:ascii="Cambria Math" w:eastAsiaTheme="minorEastAsia" w:hAnsi="Cambria Math" w:cs="Arial"/>
                </w:rPr>
                <m:t>β</m:t>
              </m:r>
              <m:r>
                <w:rPr>
                  <w:rFonts w:ascii="Cambria Math" w:hAnsi="Cambria Math" w:cs="Arial"/>
                </w:rPr>
                <m:t>*</m:t>
              </m:r>
              <m:sSub>
                <m:sSubPr>
                  <m:ctrlPr>
                    <w:rPr>
                      <w:rFonts w:ascii="Cambria Math" w:hAnsi="Cambria Math" w:cs="Arial"/>
                      <w:i/>
                    </w:rPr>
                  </m:ctrlPr>
                </m:sSubPr>
                <m:e>
                  <m:r>
                    <w:rPr>
                      <w:rFonts w:ascii="Cambria Math" w:hAnsi="Cambria Math" w:cs="Arial"/>
                    </w:rPr>
                    <m:t>u</m:t>
                  </m:r>
                </m:e>
                <m:sub>
                  <m:r>
                    <w:rPr>
                      <w:rFonts w:ascii="Cambria Math" w:hAnsi="Cambria Math" w:cs="Arial"/>
                    </w:rPr>
                    <m:t>i</m:t>
                  </m:r>
                </m:sub>
              </m:sSub>
              <m:r>
                <w:rPr>
                  <w:rFonts w:ascii="Cambria Math" w:eastAsiaTheme="minorEastAsia" w:hAnsi="Cambria Math" w:cs="Arial"/>
                </w:rPr>
                <m:t>*</m:t>
              </m:r>
              <m:d>
                <m:dPr>
                  <m:ctrlPr>
                    <w:rPr>
                      <w:rFonts w:ascii="Cambria Math" w:hAnsi="Cambria Math" w:cs="Arial"/>
                      <w:i/>
                    </w:rPr>
                  </m:ctrlPr>
                </m:dPr>
                <m:e>
                  <m:r>
                    <w:rPr>
                      <w:rFonts w:ascii="Cambria Math" w:hAnsi="Cambria Math" w:cs="Arial"/>
                    </w:rPr>
                    <m:t>ι</m:t>
                  </m:r>
                  <m:d>
                    <m:dPr>
                      <m:ctrlPr>
                        <w:rPr>
                          <w:rFonts w:ascii="Cambria Math" w:hAnsi="Cambria Math" w:cs="Arial"/>
                          <w:i/>
                        </w:rPr>
                      </m:ctrlPr>
                    </m:dPr>
                    <m:e>
                      <m:r>
                        <w:rPr>
                          <w:rFonts w:ascii="Cambria Math" w:hAnsi="Cambria Math" w:cs="Arial"/>
                        </w:rPr>
                        <m:t>1-γ</m:t>
                      </m:r>
                      <m:d>
                        <m:dPr>
                          <m:ctrlPr>
                            <w:rPr>
                              <w:rFonts w:ascii="Cambria Math" w:hAnsi="Cambria Math" w:cs="Arial"/>
                              <w:i/>
                            </w:rPr>
                          </m:ctrlPr>
                        </m:dPr>
                        <m:e>
                          <m:r>
                            <w:rPr>
                              <w:rFonts w:ascii="Cambria Math" w:hAnsi="Cambria Math" w:cs="Arial"/>
                            </w:rPr>
                            <m:t>j</m:t>
                          </m:r>
                        </m:e>
                      </m:d>
                    </m:e>
                  </m:d>
                  <m:r>
                    <w:rPr>
                      <w:rFonts w:ascii="Cambria Math" w:hAnsi="Cambria Math" w:cs="Arial"/>
                    </w:rPr>
                    <m:t>+γ(j)</m:t>
                  </m:r>
                </m:e>
              </m:d>
              <m:r>
                <w:rPr>
                  <w:rFonts w:ascii="Cambria Math" w:hAnsi="Cambria Math" w:cs="Arial"/>
                </w:rPr>
                <m:t>*</m:t>
              </m:r>
              <m:f>
                <m:fPr>
                  <m:type m:val="skw"/>
                  <m:ctrlPr>
                    <w:rPr>
                      <w:rFonts w:ascii="Cambria Math" w:hAnsi="Cambria Math" w:cs="Arial"/>
                      <w:i/>
                    </w:rPr>
                  </m:ctrlPr>
                </m:fPr>
                <m:num>
                  <m:r>
                    <w:rPr>
                      <w:rFonts w:ascii="Cambria Math" w:hAnsi="Cambria Math" w:cs="Arial"/>
                    </w:rPr>
                    <m:t>1</m:t>
                  </m:r>
                </m:num>
                <m:den>
                  <m:r>
                    <w:rPr>
                      <w:rFonts w:ascii="Cambria Math" w:hAnsi="Cambria Math" w:cs="Arial"/>
                    </w:rPr>
                    <m:t>δ</m:t>
                  </m:r>
                </m:den>
              </m:f>
              <m:ctrlPr>
                <w:rPr>
                  <w:rFonts w:ascii="Cambria Math" w:hAnsi="Cambria Math" w:cs="Arial"/>
                  <w:i/>
                </w:rPr>
              </m:ctrlPr>
            </m:e>
          </m:d>
        </m:oMath>
      </m:oMathPara>
    </w:p>
    <w:p w:rsidR="005D5162" w:rsidRPr="00954640" w:rsidRDefault="005D5162" w:rsidP="00062865">
      <w:pPr>
        <w:rPr>
          <w:rFonts w:ascii="Arial" w:eastAsiaTheme="minorEastAsia" w:hAnsi="Arial" w:cs="Arial"/>
        </w:rPr>
      </w:pPr>
      <m:oMathPara>
        <m:oMath>
          <m:sSub>
            <m:sSubPr>
              <m:ctrlPr>
                <w:rPr>
                  <w:rFonts w:ascii="Cambria Math" w:eastAsiaTheme="minorEastAsia" w:hAnsi="Cambria Math" w:cs="Arial"/>
                  <w:i/>
                </w:rPr>
              </m:ctrlPr>
            </m:sSubPr>
            <m:e>
              <m:acc>
                <m:accPr>
                  <m:chr m:val="̃"/>
                  <m:ctrlPr>
                    <w:rPr>
                      <w:rFonts w:ascii="Cambria Math" w:eastAsiaTheme="minorEastAsia" w:hAnsi="Cambria Math" w:cs="Arial"/>
                      <w:i/>
                    </w:rPr>
                  </m:ctrlPr>
                </m:accPr>
                <m:e>
                  <m:r>
                    <w:rPr>
                      <w:rFonts w:ascii="Cambria Math" w:eastAsiaTheme="minorEastAsia" w:hAnsi="Cambria Math" w:cs="Arial"/>
                    </w:rPr>
                    <m:t>C</m:t>
                  </m:r>
                </m:e>
              </m:acc>
            </m:e>
            <m:sub>
              <m:r>
                <w:rPr>
                  <w:rFonts w:ascii="Cambria Math" w:eastAsiaTheme="minorEastAsia" w:hAnsi="Cambria Math" w:cs="Arial"/>
                </w:rPr>
                <m:t>i,j</m:t>
              </m:r>
            </m:sub>
          </m:sSub>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N(i)</m:t>
              </m:r>
            </m:num>
            <m:den>
              <m:r>
                <w:rPr>
                  <w:rFonts w:ascii="Cambria Math" w:eastAsiaTheme="minorEastAsia" w:hAnsi="Cambria Math" w:cs="Arial"/>
                </w:rPr>
                <m:t>N(j)</m:t>
              </m:r>
            </m:den>
          </m:f>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C</m:t>
              </m:r>
            </m:e>
            <m:sub>
              <m:r>
                <w:rPr>
                  <w:rFonts w:ascii="Cambria Math" w:eastAsiaTheme="minorEastAsia" w:hAnsi="Cambria Math" w:cs="Arial"/>
                </w:rPr>
                <m:t>i,j</m:t>
              </m:r>
            </m:sub>
          </m:sSub>
        </m:oMath>
      </m:oMathPara>
    </w:p>
    <w:p w:rsidR="005D5162" w:rsidRPr="00954640" w:rsidRDefault="005D5162" w:rsidP="00ED3838">
      <w:pPr>
        <w:jc w:val="both"/>
        <w:rPr>
          <w:rFonts w:ascii="Arial" w:eastAsiaTheme="minorEastAsia" w:hAnsi="Arial" w:cs="Arial"/>
        </w:rPr>
      </w:pPr>
      <w:r w:rsidRPr="00954640">
        <w:rPr>
          <w:rFonts w:ascii="Arial" w:eastAsiaTheme="minorEastAsia" w:hAnsi="Arial" w:cs="Arial"/>
        </w:rPr>
        <w:t xml:space="preserve">Where  </w:t>
      </w:r>
      <m:oMath>
        <m:acc>
          <m:accPr>
            <m:chr m:val="̃"/>
            <m:ctrlPr>
              <w:rPr>
                <w:rFonts w:ascii="Cambria Math" w:eastAsiaTheme="minorEastAsia" w:hAnsi="Cambria Math" w:cs="Arial"/>
                <w:i/>
              </w:rPr>
            </m:ctrlPr>
          </m:accPr>
          <m:e>
            <m:r>
              <w:rPr>
                <w:rFonts w:ascii="Cambria Math" w:eastAsiaTheme="minorEastAsia" w:hAnsi="Cambria Math" w:cs="Arial"/>
              </w:rPr>
              <m:t>C</m:t>
            </m:r>
          </m:e>
        </m:acc>
      </m:oMath>
      <w:r w:rsidRPr="00954640">
        <w:rPr>
          <w:rFonts w:ascii="Arial" w:eastAsiaTheme="minorEastAsia" w:hAnsi="Arial" w:cs="Arial"/>
        </w:rPr>
        <w:t xml:space="preserve"> represents the contact matrix weighted by population distribution, see </w:t>
      </w:r>
      <w:r>
        <w:rPr>
          <w:rFonts w:ascii="Arial" w:hAnsi="Arial" w:cs="Arial"/>
          <w:noProof/>
        </w:rPr>
        <w:t>[2, 53-56]</w:t>
      </w:r>
      <w:r w:rsidRPr="00954640">
        <w:rPr>
          <w:rFonts w:ascii="Arial" w:hAnsi="Arial" w:cs="Arial"/>
        </w:rPr>
        <w:t xml:space="preserve">. We fitted the model to the </w:t>
      </w:r>
      <m:oMath>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oMath>
      <w:r w:rsidRPr="00954640">
        <w:rPr>
          <w:rFonts w:ascii="Arial" w:eastAsiaTheme="minorEastAsia" w:hAnsi="Arial" w:cs="Arial"/>
        </w:rPr>
        <w:t xml:space="preserve"> of the circulating strain by adjusting the scaling factor</w:t>
      </w:r>
      <w:r w:rsidRPr="00954640">
        <w:rPr>
          <w:rFonts w:ascii="Arial" w:hAnsi="Arial" w:cs="Arial"/>
        </w:rPr>
        <w:t xml:space="preserve"> </w:t>
      </w:r>
      <m:oMath>
        <m:r>
          <w:rPr>
            <w:rFonts w:ascii="Cambria Math" w:hAnsi="Cambria Math" w:cs="Arial"/>
          </w:rPr>
          <m:t>β</m:t>
        </m:r>
      </m:oMath>
      <w:r w:rsidRPr="00954640">
        <w:rPr>
          <w:rFonts w:ascii="Arial" w:eastAsiaTheme="minorEastAsia" w:hAnsi="Arial" w:cs="Arial"/>
        </w:rPr>
        <w:t xml:space="preserve">. We used an </w:t>
      </w:r>
      <m:oMath>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oMath>
      <w:r w:rsidRPr="00954640">
        <w:rPr>
          <w:rFonts w:ascii="Arial" w:eastAsiaTheme="minorEastAsia" w:hAnsi="Arial" w:cs="Arial"/>
        </w:rPr>
        <w:t xml:space="preserve"> estimate of 2.79 for wild-type</w:t>
      </w:r>
      <w:r>
        <w:rPr>
          <w:rFonts w:ascii="Arial" w:eastAsiaTheme="minorEastAsia" w:hAnsi="Arial" w:cs="Arial"/>
        </w:rPr>
        <w:t xml:space="preserve"> </w:t>
      </w:r>
      <w:r>
        <w:rPr>
          <w:rFonts w:ascii="Arial" w:hAnsi="Arial" w:cs="Arial"/>
          <w:noProof/>
        </w:rPr>
        <w:t>[57]</w:t>
      </w:r>
      <w:r>
        <w:rPr>
          <w:rFonts w:ascii="Arial" w:hAnsi="Arial" w:cs="Arial"/>
        </w:rPr>
        <w:t>,</w:t>
      </w:r>
      <w:r w:rsidRPr="00954640">
        <w:rPr>
          <w:rFonts w:ascii="Arial" w:hAnsi="Arial" w:cs="Arial"/>
        </w:rPr>
        <w:t xml:space="preserve"> and 5.08 for Delta</w:t>
      </w:r>
      <w:r>
        <w:rPr>
          <w:rFonts w:ascii="Arial" w:hAnsi="Arial" w:cs="Arial"/>
        </w:rPr>
        <w:t xml:space="preserve"> </w:t>
      </w:r>
      <w:r>
        <w:rPr>
          <w:rFonts w:ascii="Arial" w:hAnsi="Arial" w:cs="Arial"/>
          <w:noProof/>
        </w:rPr>
        <w:t>[58]</w:t>
      </w:r>
      <w:r w:rsidRPr="00954640">
        <w:rPr>
          <w:rFonts w:ascii="Arial" w:hAnsi="Arial" w:cs="Arial"/>
        </w:rPr>
        <w:t xml:space="preserve">. We assumed that Omicron has an equivalent </w:t>
      </w:r>
      <m:oMath>
        <m:sSub>
          <m:sSubPr>
            <m:ctrlPr>
              <w:rPr>
                <w:rFonts w:ascii="Cambria Math" w:hAnsi="Cambria Math" w:cs="Arial"/>
                <w:i/>
              </w:rPr>
            </m:ctrlPr>
          </m:sSubPr>
          <m:e>
            <m:r>
              <w:rPr>
                <w:rFonts w:ascii="Cambria Math" w:hAnsi="Cambria Math" w:cs="Arial"/>
              </w:rPr>
              <m:t>R</m:t>
            </m:r>
          </m:e>
          <m:sub>
            <m:r>
              <w:rPr>
                <w:rFonts w:ascii="Cambria Math" w:hAnsi="Cambria Math" w:cs="Arial"/>
              </w:rPr>
              <m:t>0</m:t>
            </m:r>
          </m:sub>
        </m:sSub>
      </m:oMath>
      <w:r w:rsidRPr="00954640">
        <w:rPr>
          <w:rFonts w:ascii="Arial" w:eastAsiaTheme="minorEastAsia" w:hAnsi="Arial" w:cs="Arial"/>
        </w:rPr>
        <w:t xml:space="preserve"> to Delta but is an immune-escape variant (see S1.3).</w:t>
      </w:r>
    </w:p>
    <w:p w:rsidR="005D5162" w:rsidRPr="00954640" w:rsidRDefault="005D5162" w:rsidP="00983E77">
      <w:pPr>
        <w:spacing w:after="0"/>
        <w:jc w:val="both"/>
        <w:rPr>
          <w:rFonts w:ascii="Arial" w:hAnsi="Arial" w:cs="Arial"/>
          <w:b/>
          <w:bCs/>
        </w:rPr>
      </w:pPr>
    </w:p>
    <w:p w:rsidR="005D5162" w:rsidRPr="00954640" w:rsidRDefault="005D5162" w:rsidP="00062865">
      <w:pPr>
        <w:pStyle w:val="Heading2"/>
        <w:rPr>
          <w:rFonts w:ascii="Arial" w:eastAsiaTheme="minorEastAsia" w:hAnsi="Arial" w:cs="Arial"/>
          <w:b/>
          <w:color w:val="000000" w:themeColor="text1"/>
        </w:rPr>
      </w:pPr>
      <w:bookmarkStart w:id="21" w:name="_Toc95136792"/>
      <w:bookmarkStart w:id="22" w:name="_Toc95397106"/>
      <w:bookmarkStart w:id="23" w:name="_Toc117859594"/>
      <w:r w:rsidRPr="00954640">
        <w:rPr>
          <w:rFonts w:ascii="Arial" w:eastAsiaTheme="minorEastAsia" w:hAnsi="Arial" w:cs="Arial"/>
          <w:b/>
          <w:color w:val="000000" w:themeColor="text1"/>
        </w:rPr>
        <w:t xml:space="preserve">S2.3 Tracking </w:t>
      </w:r>
      <w:bookmarkEnd w:id="21"/>
      <w:bookmarkEnd w:id="22"/>
      <w:r w:rsidRPr="00954640">
        <w:rPr>
          <w:rFonts w:ascii="Arial" w:eastAsiaTheme="minorEastAsia" w:hAnsi="Arial" w:cs="Arial"/>
          <w:b/>
          <w:color w:val="000000" w:themeColor="text1"/>
        </w:rPr>
        <w:t>the effective reproduction number</w:t>
      </w:r>
      <w:bookmarkEnd w:id="23"/>
    </w:p>
    <w:p w:rsidR="005D5162" w:rsidRPr="00954640" w:rsidRDefault="005D5162" w:rsidP="00ED3838">
      <w:pPr>
        <w:jc w:val="both"/>
        <w:rPr>
          <w:rFonts w:ascii="Arial" w:hAnsi="Arial" w:cs="Arial"/>
          <w:b/>
          <w:bCs/>
        </w:rPr>
      </w:pPr>
      <w:r w:rsidRPr="00954640">
        <w:rPr>
          <w:rFonts w:ascii="Arial" w:eastAsiaTheme="minorEastAsia" w:hAnsi="Arial" w:cs="Arial"/>
        </w:rPr>
        <w:t xml:space="preserve">We included the impact of non-pharmaceutical interventions </w:t>
      </w:r>
      <m:oMath>
        <m:r>
          <w:rPr>
            <w:rFonts w:ascii="Cambria Math" w:hAnsi="Cambria Math" w:cs="Arial"/>
          </w:rPr>
          <m:t>(NPI)</m:t>
        </m:r>
      </m:oMath>
      <w:r w:rsidRPr="00954640">
        <w:rPr>
          <w:rFonts w:ascii="Arial" w:eastAsiaTheme="minorEastAsia" w:hAnsi="Arial" w:cs="Arial"/>
        </w:rPr>
        <w:t xml:space="preserve">, infection-derived immunity </w:t>
      </w:r>
      <m:oMath>
        <m:r>
          <w:rPr>
            <w:rFonts w:ascii="Cambria Math" w:eastAsiaTheme="minorEastAsia" w:hAnsi="Cambria Math" w:cs="Arial"/>
          </w:rPr>
          <m:t>(ρ)</m:t>
        </m:r>
      </m:oMath>
      <w:r w:rsidRPr="00954640">
        <w:rPr>
          <w:rFonts w:ascii="Arial" w:eastAsiaTheme="minorEastAsia" w:hAnsi="Arial" w:cs="Arial"/>
        </w:rPr>
        <w:t xml:space="preserve">, and vaccine-derived immunity when calculating the effective reproduction number </w:t>
      </w:r>
      <m:oMath>
        <m:r>
          <w:rPr>
            <w:rFonts w:ascii="Cambria Math" w:eastAsiaTheme="minorEastAsia" w:hAnsi="Cambria Math" w:cs="Arial"/>
          </w:rPr>
          <m:t>(</m:t>
        </m:r>
        <m:sSub>
          <m:sSubPr>
            <m:ctrlPr>
              <w:rPr>
                <w:rFonts w:ascii="Cambria Math" w:hAnsi="Cambria Math" w:cs="Arial"/>
                <w:i/>
              </w:rPr>
            </m:ctrlPr>
          </m:sSubPr>
          <m:e>
            <m:r>
              <w:rPr>
                <w:rFonts w:ascii="Cambria Math" w:hAnsi="Cambria Math" w:cs="Arial"/>
              </w:rPr>
              <m:t>R</m:t>
            </m:r>
          </m:e>
          <m:sub>
            <m:r>
              <w:rPr>
                <w:rFonts w:ascii="Cambria Math" w:hAnsi="Cambria Math" w:cs="Arial"/>
              </w:rPr>
              <m:t>eff</m:t>
            </m:r>
          </m:sub>
        </m:sSub>
        <m:r>
          <w:rPr>
            <w:rFonts w:ascii="Cambria Math" w:hAnsi="Cambria Math" w:cs="Arial"/>
          </w:rPr>
          <m:t>)</m:t>
        </m:r>
      </m:oMath>
      <w:r w:rsidRPr="00954640">
        <w:rPr>
          <w:rFonts w:ascii="Arial" w:hAnsi="Arial" w:cs="Arial"/>
          <w:b/>
          <w:bCs/>
        </w:rPr>
        <w:t>:</w:t>
      </w:r>
    </w:p>
    <w:p w:rsidR="005D5162" w:rsidRPr="00954640" w:rsidRDefault="005D5162" w:rsidP="00ED3838">
      <w:pPr>
        <w:spacing w:after="40"/>
        <w:jc w:val="both"/>
        <w:rPr>
          <w:rFonts w:ascii="Arial" w:eastAsiaTheme="minorEastAsia" w:hAnsi="Arial" w:cs="Arial"/>
        </w:rPr>
      </w:pPr>
      <m:oMathPara>
        <m:oMath>
          <m:sSub>
            <m:sSubPr>
              <m:ctrlPr>
                <w:rPr>
                  <w:rFonts w:ascii="Cambria Math" w:hAnsi="Cambria Math" w:cs="Arial"/>
                  <w:i/>
                </w:rPr>
              </m:ctrlPr>
            </m:sSubPr>
            <m:e>
              <m:r>
                <w:rPr>
                  <w:rFonts w:ascii="Cambria Math" w:hAnsi="Cambria Math" w:cs="Arial"/>
                </w:rPr>
                <m:t>R</m:t>
              </m:r>
            </m:e>
            <m:sub>
              <m:r>
                <w:rPr>
                  <w:rFonts w:ascii="Cambria Math" w:hAnsi="Cambria Math" w:cs="Arial"/>
                </w:rPr>
                <m:t>eff</m:t>
              </m:r>
            </m:sub>
          </m:sSub>
          <m:r>
            <w:rPr>
              <w:rFonts w:ascii="Cambria Math" w:eastAsiaTheme="minorEastAsia" w:hAnsi="Cambria Math" w:cs="Arial"/>
            </w:rPr>
            <m:t>=ρ</m:t>
          </m:r>
          <m:d>
            <m:dPr>
              <m:ctrlPr>
                <w:rPr>
                  <w:rFonts w:ascii="Cambria Math" w:eastAsiaTheme="minorEastAsia" w:hAnsi="Cambria Math" w:cs="Arial"/>
                  <w:i/>
                </w:rPr>
              </m:ctrlPr>
            </m:dPr>
            <m:e>
              <m:r>
                <w:rPr>
                  <w:rFonts w:ascii="Cambria Math" w:eastAsiaTheme="minorEastAsia" w:hAnsi="Cambria Math" w:cs="Arial"/>
                </w:rPr>
                <m:t>NGM</m:t>
              </m:r>
            </m:e>
          </m:d>
        </m:oMath>
      </m:oMathPara>
    </w:p>
    <w:p w:rsidR="005D5162" w:rsidRPr="00954640" w:rsidRDefault="005D5162" w:rsidP="00062865">
      <w:pPr>
        <w:spacing w:after="40"/>
        <w:rPr>
          <w:rFonts w:ascii="Arial" w:eastAsiaTheme="minorEastAsia"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NGM</m:t>
              </m:r>
            </m:e>
            <m:sub>
              <m:r>
                <w:rPr>
                  <w:rFonts w:ascii="Cambria Math" w:eastAsiaTheme="minorEastAsia" w:hAnsi="Cambria Math" w:cs="Arial"/>
                </w:rPr>
                <m:t>Reff</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NGM</m:t>
              </m:r>
            </m:e>
            <m:sub>
              <m:r>
                <w:rPr>
                  <w:rFonts w:ascii="Cambria Math" w:eastAsiaTheme="minorEastAsia" w:hAnsi="Cambria Math" w:cs="Arial"/>
                </w:rPr>
                <m:t>R0</m:t>
              </m:r>
            </m:sub>
          </m:sSub>
          <m:r>
            <w:rPr>
              <w:rFonts w:ascii="Cambria Math" w:eastAsiaTheme="minorEastAsia" w:hAnsi="Cambria Math" w:cs="Arial"/>
            </w:rPr>
            <m:t>*</m:t>
          </m:r>
          <m:d>
            <m:dPr>
              <m:ctrlPr>
                <w:rPr>
                  <w:rFonts w:ascii="Cambria Math" w:eastAsiaTheme="minorEastAsia" w:hAnsi="Cambria Math" w:cs="Arial"/>
                  <w:i/>
                </w:rPr>
              </m:ctrlPr>
            </m:dPr>
            <m:e>
              <m:r>
                <w:rPr>
                  <w:rFonts w:ascii="Cambria Math" w:eastAsiaTheme="minorEastAsia" w:hAnsi="Cambria Math" w:cs="Arial"/>
                </w:rPr>
                <m:t>1-NPI</m:t>
              </m:r>
            </m:e>
          </m:d>
          <m:r>
            <w:rPr>
              <w:rFonts w:ascii="Cambria Math" w:eastAsiaTheme="minorEastAsia" w:hAnsi="Cambria Math" w:cs="Arial"/>
            </w:rPr>
            <m:t>*(1-immunity)</m:t>
          </m:r>
        </m:oMath>
      </m:oMathPara>
    </w:p>
    <w:p w:rsidR="005D5162" w:rsidRPr="00954640" w:rsidRDefault="005D5162" w:rsidP="00062865">
      <w:pPr>
        <w:spacing w:after="40"/>
        <w:rPr>
          <w:rFonts w:ascii="Arial" w:eastAsiaTheme="minorEastAsia" w:hAnsi="Arial" w:cs="Arial"/>
          <w:sz w:val="19"/>
          <w:szCs w:val="19"/>
        </w:rPr>
      </w:pPr>
      <m:oMath>
        <m:r>
          <w:rPr>
            <w:rFonts w:ascii="Cambria Math" w:eastAsiaTheme="minorEastAsia" w:hAnsi="Cambria Math" w:cs="Arial"/>
            <w:sz w:val="19"/>
            <w:szCs w:val="19"/>
          </w:rPr>
          <m:t>(1-immunity)= diag</m:t>
        </m:r>
        <m:d>
          <m:dPr>
            <m:begChr m:val="{"/>
            <m:endChr m:val="}"/>
            <m:ctrlPr>
              <w:rPr>
                <w:rFonts w:ascii="Cambria Math" w:eastAsiaTheme="minorEastAsia" w:hAnsi="Cambria Math" w:cs="Arial"/>
                <w:i/>
                <w:sz w:val="19"/>
                <w:szCs w:val="19"/>
              </w:rPr>
            </m:ctrlPr>
          </m:dPr>
          <m:e>
            <m:nary>
              <m:naryPr>
                <m:chr m:val="∑"/>
                <m:limLoc m:val="undOvr"/>
                <m:supHide m:val="1"/>
                <m:ctrlPr>
                  <w:rPr>
                    <w:rFonts w:ascii="Cambria Math" w:eastAsiaTheme="minorEastAsia" w:hAnsi="Cambria Math" w:cs="Arial"/>
                    <w:i/>
                    <w:sz w:val="19"/>
                    <w:szCs w:val="19"/>
                  </w:rPr>
                </m:ctrlPr>
              </m:naryPr>
              <m:sub>
                <m:r>
                  <w:rPr>
                    <w:rFonts w:ascii="Cambria Math" w:eastAsiaTheme="minorEastAsia" w:hAnsi="Cambria Math" w:cs="Arial"/>
                    <w:sz w:val="19"/>
                    <w:szCs w:val="19"/>
                  </w:rPr>
                  <m:t>S,E,I,R</m:t>
                </m:r>
              </m:sub>
              <m:sup/>
              <m:e>
                <m:d>
                  <m:dPr>
                    <m:begChr m:val="{"/>
                    <m:endChr m:val=""/>
                    <m:ctrlPr>
                      <w:rPr>
                        <w:rFonts w:ascii="Cambria Math" w:eastAsiaTheme="minorEastAsia" w:hAnsi="Cambria Math" w:cs="Arial"/>
                        <w:i/>
                        <w:sz w:val="19"/>
                        <w:szCs w:val="19"/>
                      </w:rPr>
                    </m:ctrlPr>
                  </m:dPr>
                  <m:e>
                    <m:eqArr>
                      <m:eqArrPr>
                        <m:ctrlPr>
                          <w:rPr>
                            <w:rFonts w:ascii="Cambria Math" w:eastAsiaTheme="minorEastAsia" w:hAnsi="Cambria Math" w:cs="Arial"/>
                            <w:i/>
                            <w:sz w:val="19"/>
                            <w:szCs w:val="19"/>
                          </w:rPr>
                        </m:ctrlPr>
                      </m:eqArrPr>
                      <m:e>
                        <m:d>
                          <m:dPr>
                            <m:ctrlPr>
                              <w:rPr>
                                <w:rFonts w:ascii="Cambria Math" w:eastAsiaTheme="minorEastAsia" w:hAnsi="Cambria Math" w:cs="Arial"/>
                                <w:i/>
                                <w:sz w:val="19"/>
                                <w:szCs w:val="19"/>
                              </w:rPr>
                            </m:ctrlPr>
                          </m:dPr>
                          <m:e>
                            <m:r>
                              <w:rPr>
                                <w:rFonts w:ascii="Cambria Math" w:eastAsiaTheme="minorEastAsia" w:hAnsi="Cambria Math" w:cs="Arial"/>
                                <w:sz w:val="19"/>
                                <w:szCs w:val="19"/>
                              </w:rPr>
                              <m:t>1-ρ</m:t>
                            </m:r>
                          </m:e>
                        </m:d>
                        <m:r>
                          <w:rPr>
                            <w:rFonts w:ascii="Cambria Math" w:eastAsiaTheme="minorEastAsia" w:hAnsi="Cambria Math" w:cs="Arial"/>
                            <w:sz w:val="19"/>
                            <w:szCs w:val="19"/>
                          </w:rPr>
                          <m:t>*</m:t>
                        </m:r>
                        <m:d>
                          <m:dPr>
                            <m:ctrlPr>
                              <w:rPr>
                                <w:rFonts w:ascii="Cambria Math" w:eastAsiaTheme="minorEastAsia" w:hAnsi="Cambria Math" w:cs="Arial"/>
                                <w:i/>
                                <w:sz w:val="19"/>
                                <w:szCs w:val="19"/>
                              </w:rPr>
                            </m:ctrlPr>
                          </m:dPr>
                          <m:e>
                            <m:r>
                              <w:rPr>
                                <w:rFonts w:ascii="Cambria Math" w:eastAsiaTheme="minorEastAsia" w:hAnsi="Cambria Math" w:cs="Arial"/>
                                <w:sz w:val="19"/>
                                <w:szCs w:val="19"/>
                              </w:rPr>
                              <m:t>1-</m:t>
                            </m:r>
                            <m:nary>
                              <m:naryPr>
                                <m:chr m:val="∑"/>
                                <m:limLoc m:val="undOvr"/>
                                <m:supHide m:val="1"/>
                                <m:ctrlPr>
                                  <w:rPr>
                                    <w:rFonts w:ascii="Cambria Math" w:eastAsiaTheme="minorEastAsia" w:hAnsi="Cambria Math" w:cs="Arial"/>
                                    <w:i/>
                                    <w:sz w:val="19"/>
                                    <w:szCs w:val="19"/>
                                  </w:rPr>
                                </m:ctrlPr>
                              </m:naryPr>
                              <m:sub>
                                <m:r>
                                  <w:rPr>
                                    <w:rFonts w:ascii="Cambria Math" w:eastAsiaTheme="minorEastAsia" w:hAnsi="Cambria Math" w:cs="Arial"/>
                                    <w:sz w:val="19"/>
                                    <w:szCs w:val="19"/>
                                  </w:rPr>
                                  <m:t>type,dose</m:t>
                                </m:r>
                              </m:sub>
                              <m:sup/>
                              <m:e>
                                <m:r>
                                  <w:rPr>
                                    <w:rFonts w:ascii="Cambria Math" w:eastAsiaTheme="minorEastAsia" w:hAnsi="Cambria Math" w:cs="Arial"/>
                                    <w:sz w:val="19"/>
                                    <w:szCs w:val="19"/>
                                  </w:rPr>
                                  <m:t>vaccine coverage*vaccine effectiveness</m:t>
                                </m:r>
                              </m:e>
                            </m:nary>
                          </m:e>
                        </m:d>
                        <m:r>
                          <w:rPr>
                            <w:rFonts w:ascii="Cambria Math" w:eastAsiaTheme="minorEastAsia" w:hAnsi="Cambria Math" w:cs="Arial"/>
                            <w:sz w:val="19"/>
                            <w:szCs w:val="19"/>
                          </w:rPr>
                          <m:t>,  R</m:t>
                        </m:r>
                      </m:e>
                      <m:e>
                        <m:r>
                          <w:rPr>
                            <w:rFonts w:ascii="Cambria Math" w:eastAsiaTheme="minorEastAsia" w:hAnsi="Cambria Math" w:cs="Arial"/>
                            <w:sz w:val="19"/>
                            <w:szCs w:val="19"/>
                          </w:rPr>
                          <m:t xml:space="preserve">            </m:t>
                        </m:r>
                        <m:d>
                          <m:dPr>
                            <m:ctrlPr>
                              <w:rPr>
                                <w:rFonts w:ascii="Cambria Math" w:eastAsiaTheme="minorEastAsia" w:hAnsi="Cambria Math" w:cs="Arial"/>
                                <w:i/>
                                <w:sz w:val="19"/>
                                <w:szCs w:val="19"/>
                              </w:rPr>
                            </m:ctrlPr>
                          </m:dPr>
                          <m:e>
                            <m:r>
                              <w:rPr>
                                <w:rFonts w:ascii="Cambria Math" w:eastAsiaTheme="minorEastAsia" w:hAnsi="Cambria Math" w:cs="Arial"/>
                                <w:sz w:val="19"/>
                                <w:szCs w:val="19"/>
                              </w:rPr>
                              <m:t>1-</m:t>
                            </m:r>
                            <m:nary>
                              <m:naryPr>
                                <m:chr m:val="∑"/>
                                <m:limLoc m:val="undOvr"/>
                                <m:supHide m:val="1"/>
                                <m:ctrlPr>
                                  <w:rPr>
                                    <w:rFonts w:ascii="Cambria Math" w:eastAsiaTheme="minorEastAsia" w:hAnsi="Cambria Math" w:cs="Arial"/>
                                    <w:i/>
                                    <w:sz w:val="19"/>
                                    <w:szCs w:val="19"/>
                                  </w:rPr>
                                </m:ctrlPr>
                              </m:naryPr>
                              <m:sub>
                                <m:r>
                                  <w:rPr>
                                    <w:rFonts w:ascii="Cambria Math" w:eastAsiaTheme="minorEastAsia" w:hAnsi="Cambria Math" w:cs="Arial"/>
                                    <w:sz w:val="19"/>
                                    <w:szCs w:val="19"/>
                                  </w:rPr>
                                  <m:t>type,dose</m:t>
                                </m:r>
                              </m:sub>
                              <m:sup/>
                              <m:e>
                                <m:r>
                                  <w:rPr>
                                    <w:rFonts w:ascii="Cambria Math" w:eastAsiaTheme="minorEastAsia" w:hAnsi="Cambria Math" w:cs="Arial"/>
                                    <w:sz w:val="19"/>
                                    <w:szCs w:val="19"/>
                                  </w:rPr>
                                  <m:t>vaccine coverage*vaccine effectiveness</m:t>
                                </m:r>
                              </m:e>
                            </m:nary>
                          </m:e>
                        </m:d>
                        <m:r>
                          <w:rPr>
                            <w:rFonts w:ascii="Cambria Math" w:eastAsiaTheme="minorEastAsia" w:hAnsi="Cambria Math" w:cs="Arial"/>
                            <w:sz w:val="19"/>
                            <w:szCs w:val="19"/>
                          </w:rPr>
                          <m:t>,  SEI</m:t>
                        </m:r>
                      </m:e>
                    </m:eqArr>
                  </m:e>
                </m:d>
              </m:e>
            </m:nary>
          </m:e>
        </m:d>
      </m:oMath>
      <w:r w:rsidRPr="00954640">
        <w:rPr>
          <w:rFonts w:ascii="Arial" w:eastAsiaTheme="minorEastAsia" w:hAnsi="Arial" w:cs="Arial"/>
          <w:sz w:val="19"/>
          <w:szCs w:val="19"/>
        </w:rPr>
        <w:t xml:space="preserve"> </w:t>
      </w:r>
    </w:p>
    <w:p w:rsidR="005D5162" w:rsidRPr="00954640" w:rsidRDefault="005D5162" w:rsidP="00062865">
      <w:pPr>
        <w:spacing w:after="40"/>
        <w:rPr>
          <w:rFonts w:ascii="Arial" w:eastAsiaTheme="minorEastAsia" w:hAnsi="Arial" w:cs="Arial"/>
          <w:sz w:val="19"/>
          <w:szCs w:val="19"/>
        </w:rPr>
      </w:pPr>
    </w:p>
    <w:p w:rsidR="005D5162" w:rsidRPr="00954640" w:rsidRDefault="005D5162">
      <w:pPr>
        <w:rPr>
          <w:rFonts w:ascii="Arial" w:eastAsiaTheme="minorEastAsia" w:hAnsi="Arial" w:cs="Arial"/>
          <w:color w:val="2E74B5" w:themeColor="accent1" w:themeShade="BF"/>
          <w:sz w:val="26"/>
          <w:szCs w:val="26"/>
        </w:rPr>
      </w:pPr>
      <w:r w:rsidRPr="00954640">
        <w:rPr>
          <w:rFonts w:ascii="Arial" w:eastAsiaTheme="minorEastAsia" w:hAnsi="Arial" w:cs="Arial"/>
        </w:rPr>
        <w:br w:type="page"/>
      </w:r>
    </w:p>
    <w:p w:rsidR="005D5162" w:rsidRPr="00954640" w:rsidRDefault="005D5162" w:rsidP="00585EA0">
      <w:pPr>
        <w:pStyle w:val="Heading2"/>
        <w:rPr>
          <w:rFonts w:ascii="Arial" w:eastAsiaTheme="minorEastAsia" w:hAnsi="Arial" w:cs="Arial"/>
          <w:b/>
          <w:color w:val="000000" w:themeColor="text1"/>
        </w:rPr>
      </w:pPr>
      <w:bookmarkStart w:id="24" w:name="_Toc117859595"/>
      <w:r w:rsidRPr="00954640">
        <w:rPr>
          <w:rFonts w:ascii="Arial" w:eastAsiaTheme="minorEastAsia" w:hAnsi="Arial" w:cs="Arial"/>
          <w:b/>
          <w:color w:val="000000" w:themeColor="text1"/>
        </w:rPr>
        <w:lastRenderedPageBreak/>
        <w:t>S2.4 Modification of severe outcome projections with high-risk group</w:t>
      </w:r>
      <w:bookmarkEnd w:id="24"/>
    </w:p>
    <w:p w:rsidR="005D5162" w:rsidRPr="00954640" w:rsidRDefault="005D5162" w:rsidP="001E1D95">
      <w:pPr>
        <w:spacing w:after="40"/>
        <w:jc w:val="both"/>
        <w:rPr>
          <w:rFonts w:ascii="Arial" w:eastAsiaTheme="minorEastAsia" w:hAnsi="Arial" w:cs="Arial"/>
        </w:rPr>
      </w:pPr>
      <w:r w:rsidRPr="00954640">
        <w:rPr>
          <w:rFonts w:ascii="Arial" w:eastAsiaTheme="minorEastAsia" w:hAnsi="Arial" w:cs="Arial"/>
        </w:rPr>
        <w:t>When including a high-risk group, we adjusted the incidence of severe outcomes in the general population based on the increased risk in the high-risk group (</w:t>
      </w:r>
      <m:oMath>
        <m:r>
          <w:rPr>
            <w:rFonts w:ascii="Cambria Math" w:eastAsiaTheme="minorEastAsia" w:hAnsi="Cambria Math" w:cs="Arial"/>
          </w:rPr>
          <m:t>RR)</m:t>
        </m:r>
      </m:oMath>
      <w:r w:rsidRPr="00954640">
        <w:rPr>
          <w:rFonts w:ascii="Arial" w:eastAsiaTheme="minorEastAsia" w:hAnsi="Arial" w:cs="Arial"/>
        </w:rPr>
        <w:t xml:space="preserve"> given the equations:</w:t>
      </w:r>
    </w:p>
    <w:p w:rsidR="005D5162" w:rsidRPr="00954640" w:rsidRDefault="005D5162" w:rsidP="00925207">
      <w:pPr>
        <w:spacing w:after="120"/>
        <w:ind w:left="720"/>
        <w:rPr>
          <w:rFonts w:ascii="Arial" w:eastAsiaTheme="minorEastAsia" w:hAnsi="Arial" w:cs="Arial"/>
        </w:rPr>
      </w:pPr>
      <m:oMathPara>
        <m:oMathParaPr>
          <m:jc m:val="left"/>
        </m:oMathParaPr>
        <m:oMath>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den>
          </m:f>
          <m:r>
            <w:rPr>
              <w:rFonts w:ascii="Cambria Math" w:eastAsiaTheme="minorEastAsia" w:hAnsi="Cambria Math" w:cs="Arial"/>
            </w:rPr>
            <m:t xml:space="preserve"> ≈RR*</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 xml:space="preserve"> </m:t>
          </m:r>
        </m:oMath>
      </m:oMathPara>
    </w:p>
    <w:p w:rsidR="005D5162" w:rsidRPr="00954640" w:rsidRDefault="005D5162" w:rsidP="00925207">
      <w:pPr>
        <w:spacing w:after="120"/>
        <w:ind w:left="720"/>
        <w:rPr>
          <w:rFonts w:ascii="Arial" w:eastAsiaTheme="minorEastAsia" w:hAnsi="Arial" w:cs="Arial"/>
        </w:rPr>
      </w:pPr>
      <m:oMathPara>
        <m:oMathParaPr>
          <m:jc m:val="left"/>
        </m:oMathParaPr>
        <m:oMath>
          <m:r>
            <w:rPr>
              <w:rFonts w:ascii="Cambria Math" w:eastAsiaTheme="minorEastAsia"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r>
            <w:rPr>
              <w:rFonts w:ascii="Cambria Math" w:eastAsiaTheme="minorEastAsia" w:hAnsi="Cambria Math" w:cs="Arial"/>
            </w:rPr>
            <m:t>≈RR*</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r>
                <w:rPr>
                  <w:rFonts w:ascii="Cambria Math" w:hAnsi="Cambria Math" w:cs="Arial"/>
                </w:rPr>
                <m:t>*</m:t>
              </m:r>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 xml:space="preserve"> </m:t>
          </m:r>
        </m:oMath>
      </m:oMathPara>
    </w:p>
    <w:p w:rsidR="005D5162" w:rsidRPr="00954640" w:rsidRDefault="005D5162" w:rsidP="00925207">
      <w:pPr>
        <w:spacing w:after="120"/>
        <w:ind w:left="720"/>
        <w:rPr>
          <w:rFonts w:ascii="Arial" w:eastAsiaTheme="minorEastAsia" w:hAnsi="Arial" w:cs="Arial"/>
        </w:rPr>
      </w:pPr>
      <m:oMathPara>
        <m:oMathParaPr>
          <m:jc m:val="left"/>
        </m:oMathParaPr>
        <m:oMath>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r>
                <w:rPr>
                  <w:rFonts w:ascii="Cambria Math" w:hAnsi="Cambria Math" w:cs="Arial"/>
                </w:rPr>
                <m:t>*</m:t>
              </m:r>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r>
                <w:rPr>
                  <w:rFonts w:ascii="Cambria Math" w:hAnsi="Cambria Math" w:cs="Arial"/>
                </w:rPr>
                <m:t>*RR</m:t>
              </m:r>
            </m:den>
          </m:f>
        </m:oMath>
      </m:oMathPara>
    </w:p>
    <w:p w:rsidR="005D5162" w:rsidRPr="00954640" w:rsidRDefault="005D5162" w:rsidP="00925207">
      <w:pPr>
        <w:rPr>
          <w:rFonts w:ascii="Arial" w:eastAsiaTheme="minorEastAsia" w:hAnsi="Arial" w:cs="Arial"/>
        </w:rPr>
      </w:pPr>
    </w:p>
    <w:p w:rsidR="005D5162" w:rsidRPr="00954640" w:rsidRDefault="005D5162" w:rsidP="001E1D95">
      <w:pPr>
        <w:spacing w:after="0"/>
        <w:rPr>
          <w:rFonts w:ascii="Arial" w:eastAsiaTheme="minorEastAsia" w:hAnsi="Arial" w:cs="Arial"/>
        </w:rPr>
      </w:pPr>
      <w:r w:rsidRPr="00954640">
        <w:rPr>
          <w:rFonts w:ascii="Arial" w:eastAsiaTheme="minorEastAsia" w:hAnsi="Arial" w:cs="Arial"/>
        </w:rPr>
        <w:t>Solving simultaneous equations:</w:t>
      </w:r>
    </w:p>
    <w:p w:rsidR="005D5162" w:rsidRPr="00954640" w:rsidRDefault="005D5162" w:rsidP="00925207">
      <w:pPr>
        <w:spacing w:after="120"/>
        <w:ind w:left="720"/>
        <w:rPr>
          <w:rFonts w:ascii="Arial" w:eastAsiaTheme="minorEastAsia" w:hAnsi="Arial" w:cs="Arial"/>
        </w:rPr>
      </w:pPr>
      <m:oMathPara>
        <m:oMathParaPr>
          <m:jc m:val="left"/>
        </m:oMathParaPr>
        <m:oMath>
          <m:r>
            <w:rPr>
              <w:rFonts w:ascii="Cambria Math" w:hAnsi="Cambria Math" w:cs="Arial"/>
            </w:rPr>
            <m:t xml:space="preserve">incidence rate </m:t>
          </m:r>
          <m:d>
            <m:dPr>
              <m:ctrlPr>
                <w:rPr>
                  <w:rFonts w:ascii="Cambria Math" w:hAnsi="Cambria Math" w:cs="Arial"/>
                  <w:i/>
                </w:rPr>
              </m:ctrlPr>
            </m:dPr>
            <m:e>
              <m:r>
                <w:rPr>
                  <w:rFonts w:ascii="Cambria Math" w:hAnsi="Cambria Math" w:cs="Arial"/>
                </w:rPr>
                <m:t>IR</m:t>
              </m:r>
            </m:e>
          </m:d>
          <m:r>
            <w:rPr>
              <w:rFonts w:ascii="Cambria Math" w:hAnsi="Cambria Math" w:cs="Arial"/>
            </w:rPr>
            <m:t>=</m:t>
          </m:r>
          <m:f>
            <m:fPr>
              <m:ctrlPr>
                <w:rPr>
                  <w:rFonts w:ascii="Cambria Math" w:hAnsi="Cambria Math" w:cs="Arial"/>
                  <w:i/>
                </w:rPr>
              </m:ctrlPr>
            </m:fPr>
            <m:num>
              <m:r>
                <w:rPr>
                  <w:rFonts w:ascii="Cambria Math" w:hAnsi="Cambria Math" w:cs="Arial"/>
                </w:rPr>
                <m:t xml:space="preserve">cases </m:t>
              </m:r>
              <m:d>
                <m:dPr>
                  <m:ctrlPr>
                    <w:rPr>
                      <w:rFonts w:ascii="Cambria Math" w:hAnsi="Cambria Math" w:cs="Arial"/>
                      <w:i/>
                    </w:rPr>
                  </m:ctrlPr>
                </m:dPr>
                <m:e>
                  <m:r>
                    <w:rPr>
                      <w:rFonts w:ascii="Cambria Math" w:hAnsi="Cambria Math" w:cs="Arial"/>
                    </w:rPr>
                    <m:t>C</m:t>
                  </m:r>
                </m:e>
              </m:d>
            </m:num>
            <m:den>
              <m:r>
                <w:rPr>
                  <w:rFonts w:ascii="Cambria Math" w:hAnsi="Cambria Math" w:cs="Arial"/>
                </w:rPr>
                <m:t xml:space="preserve">population </m:t>
              </m:r>
              <m:d>
                <m:dPr>
                  <m:ctrlPr>
                    <w:rPr>
                      <w:rFonts w:ascii="Cambria Math" w:hAnsi="Cambria Math" w:cs="Arial"/>
                      <w:i/>
                    </w:rPr>
                  </m:ctrlPr>
                </m:dPr>
                <m:e>
                  <m:r>
                    <w:rPr>
                      <w:rFonts w:ascii="Cambria Math" w:hAnsi="Cambria Math" w:cs="Arial"/>
                    </w:rPr>
                    <m:t>P</m:t>
                  </m:r>
                </m:e>
              </m:d>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r>
                <w:rPr>
                  <w:rFonts w:ascii="Cambria Math" w:hAnsi="Cambria Math" w:cs="Arial"/>
                </w:rPr>
                <m:t>P</m:t>
              </m:r>
            </m:den>
          </m:f>
        </m:oMath>
      </m:oMathPara>
    </w:p>
    <w:p w:rsidR="005D5162" w:rsidRPr="00954640" w:rsidRDefault="005D5162" w:rsidP="00925207">
      <w:pPr>
        <w:spacing w:after="120"/>
        <w:ind w:left="720"/>
        <w:rPr>
          <w:rFonts w:ascii="Arial" w:eastAsiaTheme="minorEastAsia" w:hAnsi="Arial" w:cs="Arial"/>
        </w:rPr>
      </w:pPr>
      <m:oMathPara>
        <m:oMathParaPr>
          <m:jc m:val="left"/>
        </m:oMathParaPr>
        <m:oMath>
          <m:r>
            <w:rPr>
              <w:rFonts w:ascii="Cambria Math" w:hAnsi="Cambria Math" w:cs="Arial"/>
            </w:rPr>
            <m:t>IR =</m:t>
          </m:r>
          <m:f>
            <m:fPr>
              <m:ctrlPr>
                <w:rPr>
                  <w:rFonts w:ascii="Cambria Math" w:hAnsi="Cambria Math" w:cs="Arial"/>
                  <w:i/>
                </w:rPr>
              </m:ctrlPr>
            </m:fPr>
            <m:num>
              <m:r>
                <w:rPr>
                  <w:rFonts w:ascii="Cambria Math" w:eastAsiaTheme="minorEastAsia" w:hAnsi="Cambria Math" w:cs="Arial"/>
                </w:rPr>
                <m:t>RR*</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r>
                <w:rPr>
                  <w:rFonts w:ascii="Cambria Math" w:hAnsi="Cambria Math" w:cs="Arial"/>
                </w:rPr>
                <m:t>P</m:t>
              </m:r>
            </m:den>
          </m:f>
        </m:oMath>
      </m:oMathPara>
    </w:p>
    <w:p w:rsidR="005D5162" w:rsidRPr="00954640" w:rsidRDefault="005D5162" w:rsidP="00925207">
      <w:pPr>
        <w:spacing w:after="120"/>
        <w:ind w:left="720"/>
        <w:rPr>
          <w:rFonts w:ascii="Arial" w:eastAsiaTheme="minorEastAsia" w:hAnsi="Arial" w:cs="Arial"/>
        </w:rPr>
      </w:pPr>
      <m:oMathPara>
        <m:oMathParaPr>
          <m:jc m:val="left"/>
        </m:oMathParaPr>
        <m:oMath>
          <m:r>
            <w:rPr>
              <w:rFonts w:ascii="Cambria Math" w:hAnsi="Cambria Math" w:cs="Arial"/>
            </w:rPr>
            <m:t>IR =</m:t>
          </m:r>
          <m:f>
            <m:fPr>
              <m:ctrlPr>
                <w:rPr>
                  <w:rFonts w:ascii="Cambria Math" w:hAnsi="Cambria Math" w:cs="Arial"/>
                  <w:i/>
                </w:rPr>
              </m:ctrlPr>
            </m:fPr>
            <m:num>
              <m:d>
                <m:dPr>
                  <m:ctrlPr>
                    <w:rPr>
                      <w:rFonts w:ascii="Cambria Math" w:hAnsi="Cambria Math" w:cs="Arial"/>
                      <w:i/>
                    </w:rPr>
                  </m:ctrlPr>
                </m:dPr>
                <m:e>
                  <m:r>
                    <w:rPr>
                      <w:rFonts w:ascii="Cambria Math" w:hAnsi="Cambria Math" w:cs="Arial"/>
                    </w:rPr>
                    <m:t xml:space="preserve"> </m:t>
                  </m:r>
                  <m:r>
                    <w:rPr>
                      <w:rFonts w:ascii="Cambria Math" w:eastAsiaTheme="minorEastAsia" w:hAnsi="Cambria Math" w:cs="Arial"/>
                    </w:rPr>
                    <m:t>RR*</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+1</m:t>
                  </m:r>
                </m:e>
              </m:d>
              <m:r>
                <w:rPr>
                  <w:rFonts w:ascii="Cambria Math" w:hAnsi="Cambria Math" w:cs="Arial"/>
                </w:rPr>
                <m:t xml:space="preserve">* </m:t>
              </m:r>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r>
                <w:rPr>
                  <w:rFonts w:ascii="Cambria Math" w:hAnsi="Cambria Math" w:cs="Arial"/>
                </w:rPr>
                <m:t>P</m:t>
              </m:r>
            </m:den>
          </m:f>
        </m:oMath>
      </m:oMathPara>
    </w:p>
    <w:p w:rsidR="005D5162" w:rsidRPr="00954640" w:rsidRDefault="005D5162" w:rsidP="00925207">
      <w:pPr>
        <w:spacing w:after="120"/>
        <w:ind w:left="720"/>
        <w:rPr>
          <w:rFonts w:ascii="Arial" w:eastAsiaTheme="minorEastAsia" w:hAnsi="Arial" w:cs="Arial"/>
        </w:rPr>
      </w:pPr>
      <m:oMathPara>
        <m:oMathParaPr>
          <m:jc m:val="left"/>
        </m:oMathParaPr>
        <m:oMath>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r>
            <w:rPr>
              <w:rFonts w:ascii="Cambria Math" w:hAnsi="Cambria Math" w:cs="Arial"/>
            </w:rPr>
            <m:t>=</m:t>
          </m:r>
          <m:f>
            <m:fPr>
              <m:ctrlPr>
                <w:rPr>
                  <w:rFonts w:ascii="Cambria Math" w:hAnsi="Cambria Math" w:cs="Arial"/>
                  <w:i/>
                </w:rPr>
              </m:ctrlPr>
            </m:fPr>
            <m:num>
              <m:r>
                <w:rPr>
                  <w:rFonts w:ascii="Cambria Math" w:hAnsi="Cambria Math" w:cs="Arial"/>
                </w:rPr>
                <m:t>IR*P</m:t>
              </m:r>
            </m:num>
            <m:den>
              <m:r>
                <w:rPr>
                  <w:rFonts w:ascii="Cambria Math" w:eastAsiaTheme="minorEastAsia" w:hAnsi="Cambria Math" w:cs="Arial"/>
                </w:rPr>
                <m:t>RR*</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+1</m:t>
              </m:r>
            </m:den>
          </m:f>
        </m:oMath>
      </m:oMathPara>
    </w:p>
    <w:p w:rsidR="005D5162" w:rsidRPr="00954640" w:rsidRDefault="005D5162" w:rsidP="00925207">
      <w:pPr>
        <w:spacing w:after="120"/>
        <w:ind w:left="720"/>
        <w:rPr>
          <w:rFonts w:ascii="Arial" w:eastAsiaTheme="minorEastAsia" w:hAnsi="Arial" w:cs="Arial"/>
        </w:rPr>
      </w:pPr>
      <m:oMathPara>
        <m:oMathParaPr>
          <m:jc m:val="left"/>
        </m:oMathParaPr>
        <m:oMath>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r>
            <w:rPr>
              <w:rFonts w:ascii="Cambria Math" w:hAnsi="Cambria Math" w:cs="Arial"/>
            </w:rPr>
            <m:t>=</m:t>
          </m:r>
          <m:f>
            <m:fPr>
              <m:ctrlPr>
                <w:rPr>
                  <w:rFonts w:ascii="Cambria Math" w:hAnsi="Cambria Math" w:cs="Arial"/>
                  <w:i/>
                </w:rPr>
              </m:ctrlPr>
            </m:fPr>
            <m:num>
              <m:r>
                <w:rPr>
                  <w:rFonts w:ascii="Cambria Math" w:hAnsi="Cambria Math" w:cs="Arial"/>
                </w:rPr>
                <m:t>IR*P</m:t>
              </m:r>
            </m:num>
            <m:den>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r>
                    <w:rPr>
                      <w:rFonts w:ascii="Cambria Math" w:hAnsi="Cambria Math" w:cs="Arial"/>
                    </w:rPr>
                    <m:t>*RR</m:t>
                  </m:r>
                </m:den>
              </m:f>
              <m:r>
                <w:rPr>
                  <w:rFonts w:ascii="Cambria Math" w:eastAsiaTheme="minorEastAsia" w:hAnsi="Cambria Math" w:cs="Arial"/>
                </w:rPr>
                <m:t>+1</m:t>
              </m:r>
            </m:den>
          </m:f>
        </m:oMath>
      </m:oMathPara>
    </w:p>
    <w:p w:rsidR="005D5162" w:rsidRPr="00954640" w:rsidRDefault="005D5162" w:rsidP="00925207">
      <w:pPr>
        <w:rPr>
          <w:rFonts w:ascii="Arial" w:eastAsiaTheme="minorEastAsia" w:hAnsi="Arial" w:cs="Arial"/>
        </w:rPr>
      </w:pPr>
    </w:p>
    <w:p w:rsidR="005D5162" w:rsidRPr="00954640" w:rsidRDefault="005D5162" w:rsidP="001E1D95">
      <w:pPr>
        <w:spacing w:after="0"/>
        <w:rPr>
          <w:rFonts w:ascii="Arial" w:eastAsiaTheme="minorEastAsia" w:hAnsi="Arial" w:cs="Arial"/>
        </w:rPr>
      </w:pPr>
      <w:r w:rsidRPr="00954640">
        <w:rPr>
          <w:rFonts w:ascii="Arial" w:eastAsiaTheme="minorEastAsia" w:hAnsi="Arial" w:cs="Arial"/>
        </w:rPr>
        <w:t>Resultant equations:</w:t>
      </w:r>
    </w:p>
    <w:p w:rsidR="005D5162" w:rsidRPr="00954640" w:rsidRDefault="005D5162" w:rsidP="00925207">
      <w:pPr>
        <w:spacing w:after="120"/>
        <w:ind w:left="720"/>
        <w:rPr>
          <w:rFonts w:ascii="Arial" w:eastAsiaTheme="minorEastAsia" w:hAnsi="Arial" w:cs="Arial"/>
        </w:rPr>
      </w:pPr>
      <m:oMathPara>
        <m:oMathParaPr>
          <m:jc m:val="left"/>
        </m:oMathParaPr>
        <m:oMath>
          <m:sSub>
            <m:sSubPr>
              <m:ctrlPr>
                <w:rPr>
                  <w:rFonts w:ascii="Cambria Math" w:eastAsiaTheme="minorEastAsia" w:hAnsi="Cambria Math" w:cs="Arial"/>
                  <w:i/>
                </w:rPr>
              </m:ctrlPr>
            </m:sSubPr>
            <m:e>
              <m:r>
                <w:rPr>
                  <w:rFonts w:ascii="Cambria Math" w:eastAsiaTheme="minorEastAsia" w:hAnsi="Cambria Math" w:cs="Arial"/>
                </w:rPr>
                <m:t>IR</m:t>
              </m:r>
            </m:e>
            <m:sub>
              <m:r>
                <w:rPr>
                  <w:rFonts w:ascii="Cambria Math" w:eastAsiaTheme="minorEastAsia" w:hAnsi="Cambria Math" w:cs="Arial"/>
                </w:rPr>
                <m:t>GENERAL POP</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m:t>
          </m:r>
          <m:f>
            <m:fPr>
              <m:type m:val="skw"/>
              <m:ctrlPr>
                <w:rPr>
                  <w:rFonts w:ascii="Cambria Math" w:eastAsiaTheme="minorEastAsia" w:hAnsi="Cambria Math" w:cs="Arial"/>
                  <w:i/>
                </w:rPr>
              </m:ctrlPr>
            </m:fPr>
            <m:num>
              <m:f>
                <m:fPr>
                  <m:ctrlPr>
                    <w:rPr>
                      <w:rFonts w:ascii="Cambria Math" w:hAnsi="Cambria Math" w:cs="Arial"/>
                      <w:i/>
                    </w:rPr>
                  </m:ctrlPr>
                </m:fPr>
                <m:num>
                  <m:r>
                    <w:rPr>
                      <w:rFonts w:ascii="Cambria Math" w:hAnsi="Cambria Math" w:cs="Arial"/>
                    </w:rPr>
                    <m:t>IR*P</m:t>
                  </m:r>
                </m:num>
                <m:den>
                  <m:f>
                    <m:fPr>
                      <m:ctrlPr>
                        <w:rPr>
                          <w:rFonts w:ascii="Cambria Math" w:eastAsiaTheme="minorEastAsia" w:hAnsi="Cambria Math" w:cs="Arial"/>
                          <w:i/>
                        </w:rPr>
                      </m:ctrlPr>
                    </m:fPr>
                    <m:num>
                      <m:sSub>
                        <m:sSubPr>
                          <m:ctrlPr>
                            <w:rPr>
                              <w:rFonts w:ascii="Cambria Math" w:hAnsi="Cambria Math" w:cs="Arial"/>
                              <w:i/>
                            </w:rPr>
                          </m:ctrlPr>
                        </m:sSubPr>
                        <m:e>
                          <m:r>
                            <w:rPr>
                              <w:rFonts w:ascii="Cambria Math" w:eastAsiaTheme="minorEastAsia" w:hAnsi="Cambria Math" w:cs="Arial"/>
                            </w:rPr>
                            <m:t>RR*</m:t>
                          </m:r>
                          <m:r>
                            <w:rPr>
                              <w:rFonts w:ascii="Cambria Math" w:hAnsi="Cambria Math" w:cs="Arial"/>
                            </w:rPr>
                            <m:t>P</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r>
                    <w:rPr>
                      <w:rFonts w:ascii="Cambria Math" w:eastAsiaTheme="minorEastAsia" w:hAnsi="Cambria Math" w:cs="Arial"/>
                    </w:rPr>
                    <m:t>+1</m:t>
                  </m:r>
                </m:den>
              </m:f>
            </m:num>
            <m:den>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den>
          </m:f>
        </m:oMath>
      </m:oMathPara>
    </w:p>
    <w:p w:rsidR="005D5162" w:rsidRPr="00954640" w:rsidRDefault="005D5162" w:rsidP="001E1D95">
      <w:pPr>
        <w:spacing w:after="120"/>
        <w:ind w:left="720"/>
        <w:rPr>
          <w:rFonts w:ascii="Arial" w:eastAsiaTheme="minorEastAsia" w:hAnsi="Arial" w:cs="Arial"/>
        </w:rPr>
      </w:pPr>
      <m:oMathPara>
        <m:oMathParaPr>
          <m:jc m:val="left"/>
        </m:oMathParaPr>
        <m:oMath>
          <m:sSub>
            <m:sSubPr>
              <m:ctrlPr>
                <w:rPr>
                  <w:rFonts w:ascii="Cambria Math" w:eastAsiaTheme="minorEastAsia" w:hAnsi="Cambria Math" w:cs="Arial"/>
                  <w:i/>
                </w:rPr>
              </m:ctrlPr>
            </m:sSubPr>
            <m:e>
              <m:r>
                <w:rPr>
                  <w:rFonts w:ascii="Cambria Math" w:eastAsiaTheme="minorEastAsia" w:hAnsi="Cambria Math" w:cs="Arial"/>
                </w:rPr>
                <m:t>IR</m:t>
              </m:r>
            </m:e>
            <m:sub>
              <m:r>
                <w:rPr>
                  <w:rFonts w:ascii="Cambria Math" w:eastAsiaTheme="minorEastAsia" w:hAnsi="Cambria Math" w:cs="Arial"/>
                </w:rPr>
                <m:t>RISK</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C</m:t>
                  </m:r>
                </m:e>
                <m:sub>
                  <m:r>
                    <w:rPr>
                      <w:rFonts w:ascii="Cambria Math" w:hAnsi="Cambria Math" w:cs="Arial"/>
                    </w:rPr>
                    <m:t>RISK</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den>
          </m:f>
          <m:r>
            <w:rPr>
              <w:rFonts w:ascii="Cambria Math" w:eastAsiaTheme="minorEastAsia" w:hAnsi="Cambria Math" w:cs="Arial"/>
            </w:rPr>
            <m:t>=</m:t>
          </m:r>
          <m:f>
            <m:fPr>
              <m:type m:val="skw"/>
              <m:ctrlPr>
                <w:rPr>
                  <w:rFonts w:ascii="Cambria Math" w:eastAsiaTheme="minorEastAsia" w:hAnsi="Cambria Math" w:cs="Arial"/>
                  <w:i/>
                </w:rPr>
              </m:ctrlPr>
            </m:fPr>
            <m:num>
              <m:f>
                <m:fPr>
                  <m:ctrlPr>
                    <w:rPr>
                      <w:rFonts w:ascii="Cambria Math" w:hAnsi="Cambria Math" w:cs="Arial"/>
                      <w:i/>
                    </w:rPr>
                  </m:ctrlPr>
                </m:fPr>
                <m:num>
                  <m:r>
                    <w:rPr>
                      <w:rFonts w:ascii="Cambria Math" w:hAnsi="Cambria Math" w:cs="Arial"/>
                    </w:rPr>
                    <m:t>IR*P</m:t>
                  </m:r>
                </m:num>
                <m:den>
                  <m:f>
                    <m:fPr>
                      <m:ctrlPr>
                        <w:rPr>
                          <w:rFonts w:ascii="Cambria Math" w:eastAsiaTheme="minorEastAsia" w:hAnsi="Cambria Math" w:cs="Arial"/>
                          <w:i/>
                        </w:rPr>
                      </m:ctrlPr>
                    </m:fPr>
                    <m:num>
                      <m:sSub>
                        <m:sSubPr>
                          <m:ctrlPr>
                            <w:rPr>
                              <w:rFonts w:ascii="Cambria Math" w:hAnsi="Cambria Math" w:cs="Arial"/>
                              <w:i/>
                            </w:rPr>
                          </m:ctrlPr>
                        </m:sSubPr>
                        <m:e>
                          <m:r>
                            <w:rPr>
                              <w:rFonts w:ascii="Cambria Math" w:hAnsi="Cambria Math" w:cs="Arial"/>
                            </w:rPr>
                            <m:t>P</m:t>
                          </m:r>
                        </m:e>
                        <m:sub>
                          <m:r>
                            <w:rPr>
                              <w:rFonts w:ascii="Cambria Math" w:hAnsi="Cambria Math" w:cs="Arial"/>
                            </w:rPr>
                            <m:t>GENERAL POP</m:t>
                          </m:r>
                        </m:sub>
                      </m:sSub>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r>
                        <w:rPr>
                          <w:rFonts w:ascii="Cambria Math" w:hAnsi="Cambria Math" w:cs="Arial"/>
                        </w:rPr>
                        <m:t>*RR</m:t>
                      </m:r>
                    </m:den>
                  </m:f>
                  <m:r>
                    <w:rPr>
                      <w:rFonts w:ascii="Cambria Math" w:eastAsiaTheme="minorEastAsia" w:hAnsi="Cambria Math" w:cs="Arial"/>
                    </w:rPr>
                    <m:t>+1</m:t>
                  </m:r>
                </m:den>
              </m:f>
            </m:num>
            <m:den>
              <m:sSub>
                <m:sSubPr>
                  <m:ctrlPr>
                    <w:rPr>
                      <w:rFonts w:ascii="Cambria Math" w:hAnsi="Cambria Math" w:cs="Arial"/>
                      <w:i/>
                    </w:rPr>
                  </m:ctrlPr>
                </m:sSubPr>
                <m:e>
                  <m:r>
                    <w:rPr>
                      <w:rFonts w:ascii="Cambria Math" w:hAnsi="Cambria Math" w:cs="Arial"/>
                    </w:rPr>
                    <m:t>P</m:t>
                  </m:r>
                </m:e>
                <m:sub>
                  <m:r>
                    <w:rPr>
                      <w:rFonts w:ascii="Cambria Math" w:hAnsi="Cambria Math" w:cs="Arial"/>
                    </w:rPr>
                    <m:t>RISK</m:t>
                  </m:r>
                </m:sub>
              </m:sSub>
            </m:den>
          </m:f>
        </m:oMath>
      </m:oMathPara>
    </w:p>
    <w:p w:rsidR="005D5162" w:rsidRPr="00954640" w:rsidRDefault="005D5162">
      <w:pPr>
        <w:rPr>
          <w:rFonts w:ascii="Arial" w:eastAsiaTheme="majorEastAsia" w:hAnsi="Arial" w:cs="Arial"/>
          <w:color w:val="2E74B5" w:themeColor="accent1" w:themeShade="BF"/>
          <w:sz w:val="32"/>
          <w:szCs w:val="32"/>
        </w:rPr>
      </w:pPr>
      <w:r w:rsidRPr="00954640">
        <w:rPr>
          <w:rFonts w:ascii="Arial" w:hAnsi="Arial" w:cs="Arial"/>
        </w:rPr>
        <w:br w:type="page"/>
      </w:r>
    </w:p>
    <w:p w:rsidR="005D5162" w:rsidRPr="00954640" w:rsidRDefault="005D5162" w:rsidP="008569AB">
      <w:pPr>
        <w:pStyle w:val="Heading1"/>
        <w:rPr>
          <w:rFonts w:ascii="Arial" w:hAnsi="Arial" w:cs="Arial"/>
          <w:b/>
          <w:color w:val="000000" w:themeColor="text1"/>
        </w:rPr>
      </w:pPr>
      <w:bookmarkStart w:id="25" w:name="_Toc117859596"/>
      <w:r w:rsidRPr="00954640">
        <w:rPr>
          <w:rFonts w:ascii="Arial" w:hAnsi="Arial" w:cs="Arial"/>
          <w:b/>
          <w:color w:val="000000" w:themeColor="text1"/>
        </w:rPr>
        <w:lastRenderedPageBreak/>
        <w:t xml:space="preserve">S3. </w:t>
      </w:r>
      <w:bookmarkEnd w:id="13"/>
      <w:r w:rsidRPr="00954640">
        <w:rPr>
          <w:rFonts w:ascii="Arial" w:hAnsi="Arial" w:cs="Arial"/>
          <w:b/>
          <w:color w:val="000000" w:themeColor="text1"/>
        </w:rPr>
        <w:t>Model Fit</w:t>
      </w:r>
      <w:bookmarkEnd w:id="25"/>
    </w:p>
    <w:p w:rsidR="005D5162" w:rsidRPr="00954640" w:rsidRDefault="005D5162" w:rsidP="008352EF">
      <w:pPr>
        <w:spacing w:after="0"/>
        <w:jc w:val="both"/>
        <w:rPr>
          <w:rFonts w:ascii="Arial" w:hAnsi="Arial" w:cs="Arial"/>
        </w:rPr>
      </w:pPr>
      <w:r w:rsidRPr="00954640">
        <w:rPr>
          <w:rFonts w:ascii="Arial" w:hAnsi="Arial" w:cs="Arial"/>
        </w:rPr>
        <w:t>We fitted the model to two reference points of seroprevalence: March 2021, and November 2021. We included pre-existing infection-derived immunity in the initial state of the model using a seroprevalence survey conducted in Sierra Leone in March 2021</w:t>
      </w:r>
      <w:r>
        <w:rPr>
          <w:rFonts w:ascii="Arial" w:hAnsi="Arial" w:cs="Arial"/>
        </w:rPr>
        <w:t xml:space="preserve"> </w:t>
      </w:r>
      <w:r>
        <w:rPr>
          <w:rFonts w:ascii="Arial" w:hAnsi="Arial" w:cs="Arial"/>
          <w:noProof/>
        </w:rPr>
        <w:t>[59]</w:t>
      </w:r>
      <w:r>
        <w:rPr>
          <w:rFonts w:ascii="Arial" w:hAnsi="Arial" w:cs="Arial"/>
        </w:rPr>
        <w:t>.</w:t>
      </w:r>
      <w:r w:rsidRPr="00954640">
        <w:rPr>
          <w:rFonts w:ascii="Arial" w:hAnsi="Arial" w:cs="Arial"/>
        </w:rPr>
        <w:t xml:space="preserve"> This cross-sectional, nationally representative, and aged-stratified study estimated an overall seroprevalence of 2.6% (95% CI: 1.9% to 3.4%) after the first two waves of COVID-19 in Sierra Leone. </w:t>
      </w:r>
    </w:p>
    <w:p w:rsidR="005D5162" w:rsidRPr="00954640" w:rsidRDefault="005D5162" w:rsidP="008352EF">
      <w:pPr>
        <w:spacing w:after="0"/>
        <w:jc w:val="both"/>
        <w:rPr>
          <w:rFonts w:ascii="Arial" w:hAnsi="Arial" w:cs="Arial"/>
        </w:rPr>
      </w:pPr>
    </w:p>
    <w:p w:rsidR="005D5162" w:rsidRPr="00954640" w:rsidRDefault="005D5162" w:rsidP="008352EF">
      <w:pPr>
        <w:spacing w:after="0"/>
        <w:jc w:val="both"/>
        <w:rPr>
          <w:rFonts w:ascii="Arial" w:hAnsi="Arial" w:cs="Arial"/>
        </w:rPr>
      </w:pPr>
      <w:r w:rsidRPr="00954640">
        <w:rPr>
          <w:rFonts w:ascii="Arial" w:hAnsi="Arial" w:cs="Arial"/>
        </w:rPr>
        <w:t xml:space="preserve">We introduced the Delta variant to the model in April to align with the reported Delta peak in Sierra Leone (Figure S3.1). At this point, the model switched from wild-type to Delta-specific estimates of key model parameters including the basic reproduction number, effectiveness of infection- and vaccine-derived immunity, length of the symptomatic period and latent period. </w:t>
      </w:r>
    </w:p>
    <w:p w:rsidR="005D5162" w:rsidRPr="00954640" w:rsidRDefault="005D5162" w:rsidP="008352EF">
      <w:pPr>
        <w:spacing w:after="0"/>
        <w:jc w:val="both"/>
        <w:rPr>
          <w:rFonts w:ascii="Arial" w:hAnsi="Arial" w:cs="Arial"/>
        </w:rPr>
      </w:pPr>
    </w:p>
    <w:p w:rsidR="005D5162" w:rsidRPr="00954640" w:rsidRDefault="005D5162" w:rsidP="00BF218B">
      <w:pPr>
        <w:spacing w:after="0"/>
        <w:jc w:val="both"/>
        <w:rPr>
          <w:rFonts w:ascii="Arial" w:hAnsi="Arial" w:cs="Arial"/>
          <w:noProof/>
        </w:rPr>
      </w:pPr>
      <w:r w:rsidRPr="00954640">
        <w:rPr>
          <w:rFonts w:ascii="Arial" w:hAnsi="Arial" w:cs="Arial"/>
        </w:rPr>
        <w:t>We ran the model until the 14</w:t>
      </w:r>
      <w:r w:rsidRPr="00954640">
        <w:rPr>
          <w:rFonts w:ascii="Arial" w:hAnsi="Arial" w:cs="Arial"/>
          <w:vertAlign w:val="superscript"/>
        </w:rPr>
        <w:t>th</w:t>
      </w:r>
      <w:r w:rsidRPr="00954640">
        <w:rPr>
          <w:rFonts w:ascii="Arial" w:hAnsi="Arial" w:cs="Arial"/>
        </w:rPr>
        <w:t xml:space="preserve"> of November 2021 and compared our model’s estimate of seroprevalence to a global meta-analysis estimate. This global meta-analysis used an ensemble model considering reported cases, hospital admissions, reported deaths, and seroprevalence surveys to estimate daily and</w:t>
      </w:r>
      <w:r>
        <w:rPr>
          <w:rFonts w:ascii="Arial" w:hAnsi="Arial" w:cs="Arial"/>
        </w:rPr>
        <w:t xml:space="preserve"> cumulative COVID-19 infections </w:t>
      </w:r>
      <w:r>
        <w:rPr>
          <w:rFonts w:ascii="Arial" w:hAnsi="Arial" w:cs="Arial"/>
          <w:noProof/>
        </w:rPr>
        <w:t>[60]</w:t>
      </w:r>
      <w:r>
        <w:rPr>
          <w:rFonts w:ascii="Arial" w:hAnsi="Arial" w:cs="Arial"/>
        </w:rPr>
        <w:t>.</w:t>
      </w:r>
      <w:r w:rsidRPr="00954640">
        <w:rPr>
          <w:rFonts w:ascii="Arial" w:hAnsi="Arial" w:cs="Arial"/>
        </w:rPr>
        <w:t xml:space="preserve"> Their model also included Global Burden of Disease estimates of the prevalence of comorbidities and the Healthcare Access and Quality (HAQ) Index. The global meta-analysis estimated that 40.5% (95% CI: 25.5-55.3%) of Sierra Leone was previously infected as of the 14</w:t>
      </w:r>
      <w:r w:rsidRPr="00954640">
        <w:rPr>
          <w:rFonts w:ascii="Arial" w:hAnsi="Arial" w:cs="Arial"/>
          <w:vertAlign w:val="superscript"/>
        </w:rPr>
        <w:t>th of</w:t>
      </w:r>
      <w:r w:rsidRPr="00954640">
        <w:rPr>
          <w:rFonts w:ascii="Arial" w:hAnsi="Arial" w:cs="Arial"/>
        </w:rPr>
        <w:t xml:space="preserve"> November 2021. In comparison, our model estimated that</w:t>
      </w:r>
      <w:r w:rsidRPr="00954640">
        <w:rPr>
          <w:rFonts w:ascii="Arial" w:hAnsi="Arial" w:cs="Arial"/>
          <w:noProof/>
        </w:rPr>
        <w:t xml:space="preserve"> 57.6% of Sierra Leone had infection-derived immunity as of November 14</w:t>
      </w:r>
      <w:r w:rsidRPr="00954640">
        <w:rPr>
          <w:rFonts w:ascii="Arial" w:hAnsi="Arial" w:cs="Arial"/>
          <w:noProof/>
          <w:vertAlign w:val="superscript"/>
        </w:rPr>
        <w:t>th</w:t>
      </w:r>
      <w:r w:rsidRPr="00954640">
        <w:rPr>
          <w:rFonts w:ascii="Arial" w:hAnsi="Arial" w:cs="Arial"/>
          <w:noProof/>
        </w:rPr>
        <w:t xml:space="preserve"> 2021. Given that our model includes asymptomatic cases, and that there are known issues with the varied access to healthcare and diagnositic services in Sierra Leone, we believed this to be a reasonable fit. </w:t>
      </w:r>
    </w:p>
    <w:p w:rsidR="005D5162" w:rsidRPr="00954640" w:rsidRDefault="005D5162" w:rsidP="00BF218B">
      <w:pPr>
        <w:spacing w:after="0"/>
        <w:jc w:val="both"/>
        <w:rPr>
          <w:rFonts w:ascii="Arial" w:hAnsi="Arial" w:cs="Arial"/>
          <w:noProof/>
        </w:rPr>
      </w:pPr>
    </w:p>
    <w:p w:rsidR="005D5162" w:rsidRPr="00954640" w:rsidRDefault="005D5162" w:rsidP="00B20084">
      <w:pPr>
        <w:spacing w:after="0"/>
        <w:jc w:val="both"/>
        <w:rPr>
          <w:rFonts w:ascii="Arial" w:hAnsi="Arial" w:cs="Arial"/>
        </w:rPr>
      </w:pPr>
      <w:r w:rsidRPr="00954640">
        <w:rPr>
          <w:rFonts w:ascii="Arial" w:hAnsi="Arial" w:cs="Arial"/>
          <w:noProof/>
        </w:rPr>
        <w:t>We then introduced Omicron to the model to align with the Omicron peak of reported cases in Sierra Leone (Figure 3.1). Again, the model switched from Delta to Omicron-specific estimates of key model parameters. The introduction of Omicron as an immune-escape variant corresponded with a 1.63 increase in the effective reproduction number, which aligns with the</w:t>
      </w:r>
      <w:r>
        <w:rPr>
          <w:rFonts w:ascii="Arial" w:hAnsi="Arial" w:cs="Arial"/>
          <w:noProof/>
        </w:rPr>
        <w:t xml:space="preserve"> World Health Organization </w:t>
      </w:r>
      <w:r w:rsidRPr="00954640">
        <w:rPr>
          <w:rFonts w:ascii="Arial" w:hAnsi="Arial" w:cs="Arial"/>
          <w:noProof/>
        </w:rPr>
        <w:t>estimate of 64% growth advantage of Omicron over Delta</w:t>
      </w:r>
      <w:r>
        <w:rPr>
          <w:rFonts w:ascii="Arial" w:hAnsi="Arial" w:cs="Arial"/>
          <w:noProof/>
        </w:rPr>
        <w:t xml:space="preserve"> </w:t>
      </w:r>
      <w:r>
        <w:rPr>
          <w:rFonts w:ascii="Arial" w:hAnsi="Arial" w:cs="Arial"/>
          <w:noProof/>
        </w:rPr>
        <w:t>[61]</w:t>
      </w:r>
      <w:r w:rsidRPr="00954640">
        <w:rPr>
          <w:rFonts w:ascii="Arial" w:hAnsi="Arial" w:cs="Arial"/>
          <w:noProof/>
        </w:rPr>
        <w:t>. After the introduction of Omicron, the model reaches a steady state as anticipated by literature describing an endemic COVID-19</w:t>
      </w:r>
      <w:r>
        <w:rPr>
          <w:rFonts w:ascii="Arial" w:hAnsi="Arial" w:cs="Arial"/>
          <w:noProof/>
        </w:rPr>
        <w:t xml:space="preserve"> [62, 63].</w:t>
      </w:r>
      <w:r w:rsidRPr="00954640">
        <w:rPr>
          <w:rFonts w:ascii="Arial" w:hAnsi="Arial" w:cs="Arial"/>
          <w:noProof/>
        </w:rPr>
        <w:t xml:space="preserve"> Our model fit estimates that 43.5% of individuals have infection-derived immunity in August 2022 (see age distribution in Table S3.1).</w:t>
      </w:r>
      <w:r w:rsidRPr="00954640">
        <w:rPr>
          <w:rFonts w:ascii="Arial" w:hAnsi="Arial" w:cs="Arial"/>
        </w:rPr>
        <w:t xml:space="preserve"> </w:t>
      </w:r>
    </w:p>
    <w:p w:rsidR="005D5162" w:rsidRPr="00954640" w:rsidRDefault="005D5162" w:rsidP="00B20084">
      <w:pPr>
        <w:spacing w:after="0"/>
        <w:jc w:val="both"/>
        <w:rPr>
          <w:rFonts w:ascii="Arial" w:hAnsi="Arial" w:cs="Arial"/>
        </w:rPr>
      </w:pPr>
    </w:p>
    <w:p w:rsidR="005D5162" w:rsidRPr="00954640" w:rsidRDefault="005D5162" w:rsidP="002D23F6">
      <w:pPr>
        <w:keepNext/>
        <w:keepLines/>
        <w:spacing w:after="0"/>
        <w:rPr>
          <w:rFonts w:ascii="Arial" w:hAnsi="Arial" w:cs="Arial"/>
        </w:rPr>
      </w:pPr>
      <w:r w:rsidRPr="00954640">
        <w:rPr>
          <w:rFonts w:ascii="Arial" w:hAnsi="Arial" w:cs="Arial"/>
          <w:b/>
          <w:bCs/>
          <w:sz w:val="20"/>
          <w:szCs w:val="20"/>
        </w:rPr>
        <w:t xml:space="preserve">Table S3.1 </w:t>
      </w:r>
      <w:r w:rsidRPr="00954640">
        <w:rPr>
          <w:rFonts w:ascii="Arial" w:hAnsi="Arial" w:cs="Arial"/>
          <w:sz w:val="20"/>
          <w:szCs w:val="20"/>
        </w:rPr>
        <w:t xml:space="preserve">Age-specific seroprevalence in initial state (August 2022) of the model after Omicron peak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2126"/>
      </w:tblGrid>
      <w:tr w:rsidR="005D5162" w:rsidRPr="009456C6" w:rsidTr="009456C6">
        <w:tc>
          <w:tcPr>
            <w:tcW w:w="2127" w:type="dxa"/>
            <w:tcBorders>
              <w:bottom w:val="single" w:sz="4" w:space="0" w:color="auto"/>
            </w:tcBorders>
          </w:tcPr>
          <w:p w:rsidR="005D5162" w:rsidRPr="009456C6" w:rsidRDefault="005D5162" w:rsidP="004B717D">
            <w:pPr>
              <w:rPr>
                <w:rFonts w:ascii="Arial" w:hAnsi="Arial" w:cs="Arial"/>
                <w:b/>
                <w:sz w:val="20"/>
                <w:szCs w:val="20"/>
              </w:rPr>
            </w:pPr>
            <w:r w:rsidRPr="009456C6">
              <w:rPr>
                <w:rFonts w:ascii="Arial" w:hAnsi="Arial" w:cs="Arial"/>
                <w:b/>
                <w:sz w:val="20"/>
                <w:szCs w:val="20"/>
              </w:rPr>
              <w:t>Age group (years)</w:t>
            </w:r>
          </w:p>
        </w:tc>
        <w:tc>
          <w:tcPr>
            <w:tcW w:w="2126" w:type="dxa"/>
            <w:tcBorders>
              <w:bottom w:val="single" w:sz="4" w:space="0" w:color="auto"/>
            </w:tcBorders>
          </w:tcPr>
          <w:p w:rsidR="005D5162" w:rsidRPr="009456C6" w:rsidRDefault="005D5162" w:rsidP="004B717D">
            <w:pPr>
              <w:rPr>
                <w:rFonts w:ascii="Arial" w:hAnsi="Arial" w:cs="Arial"/>
                <w:b/>
                <w:sz w:val="20"/>
                <w:szCs w:val="20"/>
              </w:rPr>
            </w:pPr>
            <w:r w:rsidRPr="009456C6">
              <w:rPr>
                <w:rFonts w:ascii="Arial" w:hAnsi="Arial" w:cs="Arial"/>
                <w:b/>
                <w:sz w:val="20"/>
                <w:szCs w:val="20"/>
              </w:rPr>
              <w:t>Seroprevalence (%)</w:t>
            </w:r>
          </w:p>
        </w:tc>
      </w:tr>
      <w:tr w:rsidR="005D5162" w:rsidRPr="009456C6" w:rsidTr="009456C6">
        <w:tc>
          <w:tcPr>
            <w:tcW w:w="2127" w:type="dxa"/>
            <w:tcBorders>
              <w:top w:val="single" w:sz="4" w:space="0" w:color="auto"/>
              <w:bottom w:val="nil"/>
            </w:tcBorders>
          </w:tcPr>
          <w:p w:rsidR="005D5162" w:rsidRPr="009456C6" w:rsidRDefault="005D5162" w:rsidP="004B717D">
            <w:pPr>
              <w:rPr>
                <w:rFonts w:ascii="Arial" w:hAnsi="Arial" w:cs="Arial"/>
                <w:sz w:val="20"/>
                <w:szCs w:val="20"/>
              </w:rPr>
            </w:pPr>
            <w:r w:rsidRPr="009456C6">
              <w:rPr>
                <w:rFonts w:ascii="Arial" w:hAnsi="Arial" w:cs="Arial"/>
                <w:sz w:val="20"/>
                <w:szCs w:val="20"/>
              </w:rPr>
              <w:t>0 to 4</w:t>
            </w:r>
          </w:p>
        </w:tc>
        <w:tc>
          <w:tcPr>
            <w:tcW w:w="2126" w:type="dxa"/>
            <w:tcBorders>
              <w:top w:val="single" w:sz="4" w:space="0" w:color="auto"/>
              <w:bottom w:val="nil"/>
            </w:tcBorders>
            <w:vAlign w:val="center"/>
          </w:tcPr>
          <w:p w:rsidR="005D5162" w:rsidRPr="009456C6" w:rsidRDefault="005D5162" w:rsidP="004B717D">
            <w:pPr>
              <w:jc w:val="right"/>
              <w:rPr>
                <w:rFonts w:ascii="Arial" w:hAnsi="Arial" w:cs="Arial"/>
                <w:sz w:val="20"/>
                <w:szCs w:val="20"/>
              </w:rPr>
            </w:pPr>
            <w:r w:rsidRPr="009456C6">
              <w:rPr>
                <w:rFonts w:ascii="Arial" w:hAnsi="Arial" w:cs="Arial"/>
                <w:sz w:val="20"/>
                <w:szCs w:val="20"/>
              </w:rPr>
              <w:t>36.7</w:t>
            </w:r>
          </w:p>
        </w:tc>
      </w:tr>
      <w:tr w:rsidR="005D5162" w:rsidRPr="009456C6" w:rsidTr="009456C6">
        <w:tc>
          <w:tcPr>
            <w:tcW w:w="2127" w:type="dxa"/>
            <w:tcBorders>
              <w:top w:val="nil"/>
              <w:bottom w:val="nil"/>
            </w:tcBorders>
          </w:tcPr>
          <w:p w:rsidR="005D5162" w:rsidRPr="009456C6" w:rsidRDefault="005D5162" w:rsidP="004B717D">
            <w:pPr>
              <w:rPr>
                <w:rFonts w:ascii="Arial" w:hAnsi="Arial" w:cs="Arial"/>
                <w:sz w:val="20"/>
                <w:szCs w:val="20"/>
              </w:rPr>
            </w:pPr>
            <w:r w:rsidRPr="009456C6">
              <w:rPr>
                <w:rFonts w:ascii="Arial" w:hAnsi="Arial" w:cs="Arial"/>
                <w:sz w:val="20"/>
                <w:szCs w:val="20"/>
              </w:rPr>
              <w:t>5 to 9</w:t>
            </w:r>
          </w:p>
        </w:tc>
        <w:tc>
          <w:tcPr>
            <w:tcW w:w="2126" w:type="dxa"/>
            <w:tcBorders>
              <w:top w:val="nil"/>
              <w:bottom w:val="nil"/>
            </w:tcBorders>
            <w:vAlign w:val="center"/>
          </w:tcPr>
          <w:p w:rsidR="005D5162" w:rsidRPr="009456C6" w:rsidRDefault="005D5162" w:rsidP="004B717D">
            <w:pPr>
              <w:jc w:val="right"/>
              <w:rPr>
                <w:rFonts w:ascii="Arial" w:hAnsi="Arial" w:cs="Arial"/>
                <w:sz w:val="20"/>
                <w:szCs w:val="20"/>
              </w:rPr>
            </w:pPr>
            <w:r w:rsidRPr="009456C6">
              <w:rPr>
                <w:rFonts w:ascii="Arial" w:hAnsi="Arial" w:cs="Arial"/>
                <w:sz w:val="20"/>
                <w:szCs w:val="20"/>
              </w:rPr>
              <w:t>43.9</w:t>
            </w:r>
          </w:p>
        </w:tc>
      </w:tr>
      <w:tr w:rsidR="005D5162" w:rsidRPr="009456C6" w:rsidTr="009456C6">
        <w:tc>
          <w:tcPr>
            <w:tcW w:w="2127" w:type="dxa"/>
            <w:tcBorders>
              <w:top w:val="nil"/>
              <w:bottom w:val="nil"/>
            </w:tcBorders>
          </w:tcPr>
          <w:p w:rsidR="005D5162" w:rsidRPr="009456C6" w:rsidRDefault="005D5162" w:rsidP="004B717D">
            <w:pPr>
              <w:rPr>
                <w:rFonts w:ascii="Arial" w:hAnsi="Arial" w:cs="Arial"/>
                <w:sz w:val="20"/>
                <w:szCs w:val="20"/>
              </w:rPr>
            </w:pPr>
            <w:r w:rsidRPr="009456C6">
              <w:rPr>
                <w:rFonts w:ascii="Arial" w:hAnsi="Arial" w:cs="Arial"/>
                <w:sz w:val="20"/>
                <w:szCs w:val="20"/>
              </w:rPr>
              <w:t>10 to 17</w:t>
            </w:r>
          </w:p>
        </w:tc>
        <w:tc>
          <w:tcPr>
            <w:tcW w:w="2126" w:type="dxa"/>
            <w:tcBorders>
              <w:top w:val="nil"/>
              <w:bottom w:val="nil"/>
            </w:tcBorders>
            <w:vAlign w:val="center"/>
          </w:tcPr>
          <w:p w:rsidR="005D5162" w:rsidRPr="009456C6" w:rsidRDefault="005D5162" w:rsidP="004B717D">
            <w:pPr>
              <w:jc w:val="right"/>
              <w:rPr>
                <w:rFonts w:ascii="Arial" w:hAnsi="Arial" w:cs="Arial"/>
                <w:sz w:val="20"/>
                <w:szCs w:val="20"/>
              </w:rPr>
            </w:pPr>
            <w:r w:rsidRPr="009456C6">
              <w:rPr>
                <w:rFonts w:ascii="Arial" w:hAnsi="Arial" w:cs="Arial"/>
                <w:sz w:val="20"/>
                <w:szCs w:val="20"/>
              </w:rPr>
              <w:t>42.3</w:t>
            </w:r>
          </w:p>
        </w:tc>
      </w:tr>
      <w:tr w:rsidR="005D5162" w:rsidRPr="009456C6" w:rsidTr="009456C6">
        <w:tc>
          <w:tcPr>
            <w:tcW w:w="2127" w:type="dxa"/>
            <w:tcBorders>
              <w:top w:val="nil"/>
              <w:bottom w:val="nil"/>
            </w:tcBorders>
          </w:tcPr>
          <w:p w:rsidR="005D5162" w:rsidRPr="009456C6" w:rsidRDefault="005D5162" w:rsidP="00333D67">
            <w:pPr>
              <w:rPr>
                <w:rFonts w:ascii="Arial" w:hAnsi="Arial" w:cs="Arial"/>
                <w:sz w:val="20"/>
                <w:szCs w:val="20"/>
              </w:rPr>
            </w:pPr>
            <w:r w:rsidRPr="009456C6">
              <w:rPr>
                <w:rFonts w:ascii="Arial" w:hAnsi="Arial" w:cs="Arial"/>
                <w:sz w:val="20"/>
                <w:szCs w:val="20"/>
              </w:rPr>
              <w:t>18 to 29</w:t>
            </w:r>
          </w:p>
        </w:tc>
        <w:tc>
          <w:tcPr>
            <w:tcW w:w="2126" w:type="dxa"/>
            <w:tcBorders>
              <w:top w:val="nil"/>
              <w:bottom w:val="nil"/>
            </w:tcBorders>
            <w:vAlign w:val="center"/>
          </w:tcPr>
          <w:p w:rsidR="005D5162" w:rsidRPr="009456C6" w:rsidRDefault="005D5162" w:rsidP="00333D67">
            <w:pPr>
              <w:jc w:val="right"/>
              <w:rPr>
                <w:rFonts w:ascii="Arial" w:hAnsi="Arial" w:cs="Arial"/>
                <w:sz w:val="20"/>
                <w:szCs w:val="20"/>
              </w:rPr>
            </w:pPr>
            <w:r w:rsidRPr="009456C6">
              <w:rPr>
                <w:rFonts w:ascii="Arial" w:hAnsi="Arial" w:cs="Arial"/>
                <w:sz w:val="20"/>
                <w:szCs w:val="20"/>
              </w:rPr>
              <w:t>47.2</w:t>
            </w:r>
          </w:p>
        </w:tc>
      </w:tr>
      <w:tr w:rsidR="005D5162" w:rsidRPr="009456C6" w:rsidTr="009456C6">
        <w:tc>
          <w:tcPr>
            <w:tcW w:w="2127" w:type="dxa"/>
            <w:tcBorders>
              <w:top w:val="nil"/>
              <w:bottom w:val="nil"/>
            </w:tcBorders>
          </w:tcPr>
          <w:p w:rsidR="005D5162" w:rsidRPr="009456C6" w:rsidRDefault="005D5162" w:rsidP="00333D67">
            <w:pPr>
              <w:rPr>
                <w:rFonts w:ascii="Arial" w:hAnsi="Arial" w:cs="Arial"/>
                <w:sz w:val="20"/>
                <w:szCs w:val="20"/>
              </w:rPr>
            </w:pPr>
            <w:r w:rsidRPr="009456C6">
              <w:rPr>
                <w:rFonts w:ascii="Arial" w:hAnsi="Arial" w:cs="Arial"/>
                <w:sz w:val="20"/>
                <w:szCs w:val="20"/>
              </w:rPr>
              <w:t>30 to 44</w:t>
            </w:r>
          </w:p>
        </w:tc>
        <w:tc>
          <w:tcPr>
            <w:tcW w:w="2126" w:type="dxa"/>
            <w:tcBorders>
              <w:top w:val="nil"/>
              <w:bottom w:val="nil"/>
            </w:tcBorders>
            <w:vAlign w:val="center"/>
          </w:tcPr>
          <w:p w:rsidR="005D5162" w:rsidRPr="009456C6" w:rsidRDefault="005D5162" w:rsidP="00333D67">
            <w:pPr>
              <w:jc w:val="right"/>
              <w:rPr>
                <w:rFonts w:ascii="Arial" w:hAnsi="Arial" w:cs="Arial"/>
                <w:sz w:val="20"/>
                <w:szCs w:val="20"/>
              </w:rPr>
            </w:pPr>
            <w:r w:rsidRPr="009456C6">
              <w:rPr>
                <w:rFonts w:ascii="Arial" w:hAnsi="Arial" w:cs="Arial"/>
                <w:sz w:val="20"/>
                <w:szCs w:val="20"/>
              </w:rPr>
              <w:t>48.1</w:t>
            </w:r>
          </w:p>
        </w:tc>
      </w:tr>
      <w:tr w:rsidR="005D5162" w:rsidRPr="009456C6" w:rsidTr="009456C6">
        <w:tc>
          <w:tcPr>
            <w:tcW w:w="2127" w:type="dxa"/>
            <w:tcBorders>
              <w:top w:val="nil"/>
              <w:bottom w:val="nil"/>
            </w:tcBorders>
          </w:tcPr>
          <w:p w:rsidR="005D5162" w:rsidRPr="009456C6" w:rsidRDefault="005D5162" w:rsidP="00333D67">
            <w:pPr>
              <w:rPr>
                <w:rFonts w:ascii="Arial" w:hAnsi="Arial" w:cs="Arial"/>
                <w:sz w:val="20"/>
                <w:szCs w:val="20"/>
              </w:rPr>
            </w:pPr>
            <w:r w:rsidRPr="009456C6">
              <w:rPr>
                <w:rFonts w:ascii="Arial" w:hAnsi="Arial" w:cs="Arial"/>
                <w:sz w:val="20"/>
                <w:szCs w:val="20"/>
              </w:rPr>
              <w:t>45 to 59</w:t>
            </w:r>
          </w:p>
        </w:tc>
        <w:tc>
          <w:tcPr>
            <w:tcW w:w="2126" w:type="dxa"/>
            <w:tcBorders>
              <w:top w:val="nil"/>
              <w:bottom w:val="nil"/>
            </w:tcBorders>
            <w:vAlign w:val="center"/>
          </w:tcPr>
          <w:p w:rsidR="005D5162" w:rsidRPr="009456C6" w:rsidRDefault="005D5162" w:rsidP="00333D67">
            <w:pPr>
              <w:jc w:val="right"/>
              <w:rPr>
                <w:rFonts w:ascii="Arial" w:hAnsi="Arial" w:cs="Arial"/>
                <w:sz w:val="20"/>
                <w:szCs w:val="20"/>
              </w:rPr>
            </w:pPr>
            <w:r w:rsidRPr="009456C6">
              <w:rPr>
                <w:rFonts w:ascii="Arial" w:hAnsi="Arial" w:cs="Arial"/>
                <w:sz w:val="20"/>
                <w:szCs w:val="20"/>
              </w:rPr>
              <w:t>42.8</w:t>
            </w:r>
          </w:p>
        </w:tc>
      </w:tr>
      <w:tr w:rsidR="005D5162" w:rsidRPr="009456C6" w:rsidTr="009456C6">
        <w:tc>
          <w:tcPr>
            <w:tcW w:w="2127" w:type="dxa"/>
            <w:tcBorders>
              <w:top w:val="nil"/>
              <w:bottom w:val="nil"/>
            </w:tcBorders>
          </w:tcPr>
          <w:p w:rsidR="005D5162" w:rsidRPr="009456C6" w:rsidRDefault="005D5162" w:rsidP="00333D67">
            <w:pPr>
              <w:rPr>
                <w:rFonts w:ascii="Arial" w:hAnsi="Arial" w:cs="Arial"/>
                <w:sz w:val="20"/>
                <w:szCs w:val="20"/>
              </w:rPr>
            </w:pPr>
            <w:r w:rsidRPr="009456C6">
              <w:rPr>
                <w:rFonts w:ascii="Arial" w:hAnsi="Arial" w:cs="Arial"/>
                <w:sz w:val="20"/>
                <w:szCs w:val="20"/>
              </w:rPr>
              <w:t>60 to 69</w:t>
            </w:r>
          </w:p>
        </w:tc>
        <w:tc>
          <w:tcPr>
            <w:tcW w:w="2126" w:type="dxa"/>
            <w:tcBorders>
              <w:top w:val="nil"/>
              <w:bottom w:val="nil"/>
            </w:tcBorders>
            <w:vAlign w:val="center"/>
          </w:tcPr>
          <w:p w:rsidR="005D5162" w:rsidRPr="009456C6" w:rsidRDefault="005D5162" w:rsidP="00333D67">
            <w:pPr>
              <w:jc w:val="right"/>
              <w:rPr>
                <w:rFonts w:ascii="Arial" w:hAnsi="Arial" w:cs="Arial"/>
                <w:sz w:val="20"/>
                <w:szCs w:val="20"/>
              </w:rPr>
            </w:pPr>
            <w:r w:rsidRPr="009456C6">
              <w:rPr>
                <w:rFonts w:ascii="Arial" w:hAnsi="Arial" w:cs="Arial"/>
                <w:sz w:val="20"/>
                <w:szCs w:val="20"/>
              </w:rPr>
              <w:t>39.9</w:t>
            </w:r>
          </w:p>
        </w:tc>
      </w:tr>
      <w:tr w:rsidR="005D5162" w:rsidRPr="009456C6" w:rsidTr="009456C6">
        <w:tc>
          <w:tcPr>
            <w:tcW w:w="2127" w:type="dxa"/>
            <w:tcBorders>
              <w:top w:val="nil"/>
              <w:bottom w:val="single" w:sz="4" w:space="0" w:color="auto"/>
            </w:tcBorders>
          </w:tcPr>
          <w:p w:rsidR="005D5162" w:rsidRPr="009456C6" w:rsidRDefault="005D5162" w:rsidP="00333D67">
            <w:pPr>
              <w:rPr>
                <w:rFonts w:ascii="Arial" w:hAnsi="Arial" w:cs="Arial"/>
                <w:sz w:val="20"/>
                <w:szCs w:val="20"/>
              </w:rPr>
            </w:pPr>
            <w:r w:rsidRPr="009456C6">
              <w:rPr>
                <w:rFonts w:ascii="Arial" w:hAnsi="Arial" w:cs="Arial"/>
                <w:sz w:val="20"/>
                <w:szCs w:val="20"/>
              </w:rPr>
              <w:t>70+</w:t>
            </w:r>
          </w:p>
        </w:tc>
        <w:tc>
          <w:tcPr>
            <w:tcW w:w="2126" w:type="dxa"/>
            <w:tcBorders>
              <w:top w:val="nil"/>
              <w:bottom w:val="single" w:sz="4" w:space="0" w:color="auto"/>
            </w:tcBorders>
            <w:vAlign w:val="center"/>
          </w:tcPr>
          <w:p w:rsidR="005D5162" w:rsidRPr="009456C6" w:rsidRDefault="005D5162" w:rsidP="00333D67">
            <w:pPr>
              <w:jc w:val="right"/>
              <w:rPr>
                <w:rFonts w:ascii="Arial" w:hAnsi="Arial" w:cs="Arial"/>
                <w:sz w:val="20"/>
                <w:szCs w:val="20"/>
              </w:rPr>
            </w:pPr>
            <w:r w:rsidRPr="009456C6">
              <w:rPr>
                <w:rFonts w:ascii="Arial" w:hAnsi="Arial" w:cs="Arial"/>
                <w:sz w:val="20"/>
                <w:szCs w:val="20"/>
              </w:rPr>
              <w:t>23.7</w:t>
            </w:r>
          </w:p>
        </w:tc>
      </w:tr>
    </w:tbl>
    <w:p w:rsidR="005D5162" w:rsidRPr="00954640" w:rsidRDefault="005D5162" w:rsidP="002D23F6">
      <w:pPr>
        <w:spacing w:after="0"/>
        <w:rPr>
          <w:rFonts w:ascii="Arial" w:hAnsi="Arial" w:cs="Arial"/>
        </w:rPr>
      </w:pPr>
    </w:p>
    <w:p w:rsidR="005D5162" w:rsidRPr="00954640" w:rsidRDefault="005D5162">
      <w:pPr>
        <w:rPr>
          <w:rFonts w:ascii="Arial" w:hAnsi="Arial" w:cs="Arial"/>
        </w:rPr>
      </w:pPr>
      <w:r w:rsidRPr="00954640">
        <w:rPr>
          <w:rFonts w:ascii="Arial" w:hAnsi="Arial" w:cs="Arial"/>
        </w:rPr>
        <w:br w:type="page"/>
      </w:r>
    </w:p>
    <w:tbl>
      <w:tblPr>
        <w:tblStyle w:val="TableGrid"/>
        <w:tblW w:w="9209" w:type="dxa"/>
        <w:tblBorders>
          <w:insideH w:val="none" w:sz="0" w:space="0" w:color="auto"/>
          <w:insideV w:val="none" w:sz="0" w:space="0" w:color="auto"/>
        </w:tblBorders>
        <w:tblLook w:val="04A0" w:firstRow="1" w:lastRow="0" w:firstColumn="1" w:lastColumn="0" w:noHBand="0" w:noVBand="1"/>
      </w:tblPr>
      <w:tblGrid>
        <w:gridCol w:w="9246"/>
      </w:tblGrid>
      <w:tr w:rsidR="005D5162" w:rsidRPr="00954640" w:rsidTr="008D3597">
        <w:tc>
          <w:tcPr>
            <w:tcW w:w="9209" w:type="dxa"/>
          </w:tcPr>
          <w:p w:rsidR="005D5162" w:rsidRPr="00954640" w:rsidRDefault="005D5162" w:rsidP="00B20084">
            <w:pPr>
              <w:jc w:val="both"/>
              <w:rPr>
                <w:rFonts w:ascii="Arial" w:hAnsi="Arial" w:cs="Arial"/>
                <w:noProof/>
              </w:rPr>
            </w:pPr>
            <w:r w:rsidRPr="00954640">
              <w:rPr>
                <w:rFonts w:ascii="Arial" w:hAnsi="Arial" w:cs="Arial"/>
                <w:b/>
                <w:bCs/>
                <w:noProof/>
                <w:sz w:val="28"/>
                <w:szCs w:val="28"/>
              </w:rPr>
              <w:lastRenderedPageBreak/>
              <w:t>A</w:t>
            </w:r>
            <w:r w:rsidRPr="00954640">
              <w:rPr>
                <w:rFonts w:ascii="Arial" w:hAnsi="Arial" w:cs="Arial"/>
                <w:noProof/>
                <w:lang w:eastAsia="en-AU"/>
              </w:rPr>
              <w:drawing>
                <wp:inline distT="0" distB="0" distL="0" distR="0" wp14:anchorId="434CFDFD" wp14:editId="7BB89D03">
                  <wp:extent cx="5731510" cy="1984075"/>
                  <wp:effectExtent l="0" t="0" r="2540" b="0"/>
                  <wp:docPr id="17" name="Picture 17"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10;&#10;Description automatically generated with medium confidence"/>
                          <pic:cNvPicPr/>
                        </pic:nvPicPr>
                        <pic:blipFill rotWithShape="1">
                          <a:blip r:embed="rId14"/>
                          <a:srcRect b="7695"/>
                          <a:stretch/>
                        </pic:blipFill>
                        <pic:spPr bwMode="auto">
                          <a:xfrm>
                            <a:off x="0" y="0"/>
                            <a:ext cx="5731510" cy="1984075"/>
                          </a:xfrm>
                          <a:prstGeom prst="rect">
                            <a:avLst/>
                          </a:prstGeom>
                          <a:ln>
                            <a:noFill/>
                          </a:ln>
                          <a:extLst>
                            <a:ext uri="{53640926-AAD7-44D8-BBD7-CCE9431645EC}">
                              <a14:shadowObscured xmlns:a14="http://schemas.microsoft.com/office/drawing/2010/main"/>
                            </a:ext>
                          </a:extLst>
                        </pic:spPr>
                      </pic:pic>
                    </a:graphicData>
                  </a:graphic>
                </wp:inline>
              </w:drawing>
            </w:r>
          </w:p>
        </w:tc>
      </w:tr>
      <w:tr w:rsidR="005D5162" w:rsidRPr="00954640" w:rsidTr="008D3597">
        <w:tc>
          <w:tcPr>
            <w:tcW w:w="9209" w:type="dxa"/>
          </w:tcPr>
          <w:p w:rsidR="005D5162" w:rsidRPr="00954640" w:rsidRDefault="005D5162" w:rsidP="002D23F6">
            <w:pPr>
              <w:spacing w:after="40"/>
              <w:jc w:val="both"/>
              <w:rPr>
                <w:rFonts w:ascii="Arial" w:hAnsi="Arial" w:cs="Arial"/>
                <w:noProof/>
              </w:rPr>
            </w:pPr>
            <w:r w:rsidRPr="00954640">
              <w:rPr>
                <w:rFonts w:ascii="Arial" w:hAnsi="Arial" w:cs="Arial"/>
                <w:b/>
                <w:bCs/>
                <w:noProof/>
                <w:sz w:val="28"/>
                <w:szCs w:val="28"/>
              </w:rPr>
              <w:t>B</w:t>
            </w:r>
            <w:r w:rsidRPr="00954640">
              <w:rPr>
                <w:rFonts w:ascii="Arial" w:hAnsi="Arial" w:cs="Arial"/>
                <w:noProof/>
                <w:lang w:eastAsia="en-AU"/>
              </w:rPr>
              <w:drawing>
                <wp:inline distT="0" distB="0" distL="0" distR="0" wp14:anchorId="0D3B8396" wp14:editId="0CCC2CCC">
                  <wp:extent cx="5731510" cy="2337684"/>
                  <wp:effectExtent l="0" t="0" r="2540" b="5715"/>
                  <wp:docPr id="20" name="Picture 20" descr="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Histogram&#10;&#10;Description automatically generated with medium confidence"/>
                          <pic:cNvPicPr/>
                        </pic:nvPicPr>
                        <pic:blipFill rotWithShape="1">
                          <a:blip r:embed="rId15"/>
                          <a:srcRect b="6777"/>
                          <a:stretch/>
                        </pic:blipFill>
                        <pic:spPr bwMode="auto">
                          <a:xfrm>
                            <a:off x="0" y="0"/>
                            <a:ext cx="5731510" cy="2337684"/>
                          </a:xfrm>
                          <a:prstGeom prst="rect">
                            <a:avLst/>
                          </a:prstGeom>
                          <a:ln>
                            <a:noFill/>
                          </a:ln>
                          <a:extLst>
                            <a:ext uri="{53640926-AAD7-44D8-BBD7-CCE9431645EC}">
                              <a14:shadowObscured xmlns:a14="http://schemas.microsoft.com/office/drawing/2010/main"/>
                            </a:ext>
                          </a:extLst>
                        </pic:spPr>
                      </pic:pic>
                    </a:graphicData>
                  </a:graphic>
                </wp:inline>
              </w:drawing>
            </w:r>
          </w:p>
        </w:tc>
      </w:tr>
    </w:tbl>
    <w:p w:rsidR="005D5162" w:rsidRPr="00954640" w:rsidRDefault="005D5162" w:rsidP="008D3597">
      <w:pPr>
        <w:spacing w:after="0"/>
        <w:jc w:val="both"/>
        <w:rPr>
          <w:rFonts w:ascii="Arial" w:hAnsi="Arial" w:cs="Arial"/>
          <w:sz w:val="20"/>
          <w:szCs w:val="20"/>
        </w:rPr>
      </w:pPr>
      <w:r w:rsidRPr="00954640">
        <w:rPr>
          <w:rFonts w:ascii="Arial" w:hAnsi="Arial" w:cs="Arial"/>
          <w:b/>
          <w:bCs/>
          <w:noProof/>
          <w:sz w:val="20"/>
          <w:szCs w:val="20"/>
        </w:rPr>
        <w:t xml:space="preserve">Figure S3.1. </w:t>
      </w:r>
      <w:r w:rsidRPr="00954640">
        <w:rPr>
          <w:rFonts w:ascii="Arial" w:hAnsi="Arial" w:cs="Arial"/>
          <w:noProof/>
          <w:sz w:val="20"/>
          <w:szCs w:val="20"/>
        </w:rPr>
        <w:t>Comparison of model fit (line, left axis) to the daily reported number of cases (point, right axis)</w:t>
      </w:r>
      <w:r>
        <w:rPr>
          <w:rFonts w:ascii="Arial" w:hAnsi="Arial" w:cs="Arial"/>
          <w:sz w:val="20"/>
          <w:szCs w:val="20"/>
        </w:rPr>
        <w:t>.</w:t>
      </w:r>
      <w:r w:rsidRPr="00954640">
        <w:rPr>
          <w:rFonts w:ascii="Arial" w:hAnsi="Arial" w:cs="Arial"/>
          <w:sz w:val="20"/>
          <w:szCs w:val="20"/>
        </w:rPr>
        <w:t xml:space="preserve"> Panel A presents the model fit within the range of known data; Panel B extending the model by 52 weeks.</w:t>
      </w:r>
    </w:p>
    <w:p w:rsidR="005D5162" w:rsidRPr="00954640" w:rsidRDefault="005D5162" w:rsidP="008D3597">
      <w:pPr>
        <w:spacing w:after="0"/>
        <w:jc w:val="both"/>
        <w:rPr>
          <w:rFonts w:ascii="Arial" w:hAnsi="Arial" w:cs="Arial"/>
          <w:noProof/>
          <w:sz w:val="20"/>
          <w:szCs w:val="20"/>
        </w:rPr>
      </w:pPr>
    </w:p>
    <w:p w:rsidR="005D5162" w:rsidRPr="00954640" w:rsidRDefault="005D5162" w:rsidP="008D3597">
      <w:pPr>
        <w:spacing w:after="0"/>
        <w:jc w:val="both"/>
        <w:rPr>
          <w:rFonts w:ascii="Arial" w:hAnsi="Arial" w:cs="Arial"/>
          <w:noProof/>
          <w:sz w:val="20"/>
          <w:szCs w:val="20"/>
        </w:rPr>
      </w:pPr>
    </w:p>
    <w:p w:rsidR="005D5162" w:rsidRPr="00954640" w:rsidRDefault="005D5162" w:rsidP="002D0F12">
      <w:pPr>
        <w:spacing w:after="0"/>
        <w:jc w:val="both"/>
        <w:rPr>
          <w:rFonts w:ascii="Arial" w:hAnsi="Arial" w:cs="Arial"/>
          <w:noProof/>
        </w:rPr>
      </w:pPr>
      <w:r w:rsidRPr="00954640">
        <w:rPr>
          <w:rFonts w:ascii="Arial" w:hAnsi="Arial" w:cs="Arial"/>
          <w:noProof/>
          <w:lang w:eastAsia="en-AU"/>
        </w:rPr>
        <w:drawing>
          <wp:inline distT="0" distB="0" distL="0" distR="0" wp14:anchorId="57EC77B6" wp14:editId="2E64B364">
            <wp:extent cx="5666740" cy="2965836"/>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110" t="2466" b="5519"/>
                    <a:stretch/>
                  </pic:blipFill>
                  <pic:spPr bwMode="auto">
                    <a:xfrm>
                      <a:off x="0" y="0"/>
                      <a:ext cx="5667890" cy="2966438"/>
                    </a:xfrm>
                    <a:prstGeom prst="rect">
                      <a:avLst/>
                    </a:prstGeom>
                    <a:ln>
                      <a:noFill/>
                    </a:ln>
                    <a:extLst>
                      <a:ext uri="{53640926-AAD7-44D8-BBD7-CCE9431645EC}">
                        <a14:shadowObscured xmlns:a14="http://schemas.microsoft.com/office/drawing/2010/main"/>
                      </a:ext>
                    </a:extLst>
                  </pic:spPr>
                </pic:pic>
              </a:graphicData>
            </a:graphic>
          </wp:inline>
        </w:drawing>
      </w:r>
      <w:r w:rsidRPr="00954640">
        <w:rPr>
          <w:rFonts w:ascii="Arial" w:hAnsi="Arial" w:cs="Arial"/>
          <w:noProof/>
        </w:rPr>
        <w:t xml:space="preserve"> </w:t>
      </w:r>
    </w:p>
    <w:p w:rsidR="005D5162" w:rsidRPr="00954640" w:rsidRDefault="005D5162" w:rsidP="002D23F6">
      <w:pPr>
        <w:spacing w:before="40" w:after="0"/>
        <w:jc w:val="both"/>
        <w:rPr>
          <w:rFonts w:ascii="Arial" w:hAnsi="Arial" w:cs="Arial"/>
          <w:noProof/>
          <w:sz w:val="20"/>
          <w:szCs w:val="20"/>
        </w:rPr>
      </w:pPr>
      <w:r w:rsidRPr="00954640">
        <w:rPr>
          <w:rFonts w:ascii="Arial" w:hAnsi="Arial" w:cs="Arial"/>
          <w:b/>
          <w:bCs/>
          <w:noProof/>
          <w:sz w:val="20"/>
          <w:szCs w:val="20"/>
        </w:rPr>
        <w:t xml:space="preserve">Figure 3.2. </w:t>
      </w:r>
      <w:r w:rsidRPr="00954640">
        <w:rPr>
          <w:rFonts w:ascii="Arial" w:hAnsi="Arial" w:cs="Arial"/>
          <w:noProof/>
          <w:sz w:val="20"/>
          <w:szCs w:val="20"/>
        </w:rPr>
        <w:t>Health outcomes projected from model fit</w:t>
      </w:r>
    </w:p>
    <w:p w:rsidR="005D5162" w:rsidRPr="00954640" w:rsidRDefault="005D5162" w:rsidP="002D0F12">
      <w:pPr>
        <w:spacing w:after="0"/>
        <w:jc w:val="both"/>
        <w:rPr>
          <w:rFonts w:ascii="Arial" w:hAnsi="Arial" w:cs="Arial"/>
          <w:noProof/>
        </w:rPr>
      </w:pPr>
    </w:p>
    <w:p w:rsidR="005D5162" w:rsidRPr="00954640" w:rsidRDefault="005D5162" w:rsidP="006416B4">
      <w:pPr>
        <w:pStyle w:val="Heading1"/>
        <w:rPr>
          <w:rFonts w:ascii="Arial" w:hAnsi="Arial" w:cs="Arial"/>
          <w:b/>
          <w:color w:val="000000" w:themeColor="text1"/>
        </w:rPr>
      </w:pPr>
      <w:bookmarkStart w:id="26" w:name="_Toc117859597"/>
      <w:r w:rsidRPr="00954640">
        <w:rPr>
          <w:rFonts w:ascii="Arial" w:hAnsi="Arial" w:cs="Arial"/>
          <w:b/>
          <w:color w:val="000000" w:themeColor="text1"/>
        </w:rPr>
        <w:t>S4. Sensitivity Analysis</w:t>
      </w:r>
      <w:bookmarkEnd w:id="26"/>
    </w:p>
    <w:p w:rsidR="005D5162" w:rsidRPr="00954640" w:rsidRDefault="005D5162" w:rsidP="000F6F76">
      <w:pPr>
        <w:pStyle w:val="Heading2"/>
        <w:rPr>
          <w:rFonts w:ascii="Arial" w:hAnsi="Arial" w:cs="Arial"/>
          <w:b/>
          <w:color w:val="000000" w:themeColor="text1"/>
        </w:rPr>
      </w:pPr>
      <w:bookmarkStart w:id="27" w:name="_Toc117859598"/>
      <w:r w:rsidRPr="00954640">
        <w:rPr>
          <w:rFonts w:ascii="Arial" w:hAnsi="Arial" w:cs="Arial"/>
          <w:b/>
          <w:color w:val="000000" w:themeColor="text1"/>
        </w:rPr>
        <w:t>S4.1 Outbreak of a new immune-escape variant</w:t>
      </w:r>
      <w:bookmarkEnd w:id="27"/>
    </w:p>
    <w:p w:rsidR="005D5162" w:rsidRPr="00954640" w:rsidRDefault="005D5162" w:rsidP="00EA617A">
      <w:pPr>
        <w:jc w:val="both"/>
        <w:rPr>
          <w:rFonts w:ascii="Arial" w:hAnsi="Arial" w:cs="Arial"/>
        </w:rPr>
      </w:pPr>
      <w:r w:rsidRPr="00954640">
        <w:rPr>
          <w:rFonts w:ascii="Arial" w:hAnsi="Arial" w:cs="Arial"/>
        </w:rPr>
        <w:t xml:space="preserve">We modelled the outbreak of a new immune-escape variant with equal inherent transmissibility to the previous Omicron sub variant. We assumed that the new variant outcompeted the existing strain at the speed which Omicron outcompeted Delta (see Figure S1.5). The outbreak of the new variant resulted in a temporary peak and returned to a steady state due to the high levels of infection-derived immunity in the population (Figure S4.1). </w:t>
      </w:r>
    </w:p>
    <w:p w:rsidR="005D5162" w:rsidRPr="00954640" w:rsidRDefault="005D5162" w:rsidP="003921A0">
      <w:pPr>
        <w:jc w:val="both"/>
        <w:rPr>
          <w:rFonts w:ascii="Arial" w:hAnsi="Arial" w:cs="Arial"/>
        </w:rPr>
      </w:pPr>
      <w:r w:rsidRPr="00954640">
        <w:rPr>
          <w:rFonts w:ascii="Arial" w:hAnsi="Arial" w:cs="Arial"/>
          <w:noProof/>
          <w:lang w:eastAsia="en-AU"/>
        </w:rPr>
        <w:drawing>
          <wp:inline distT="0" distB="0" distL="0" distR="0" wp14:anchorId="7DB7922A" wp14:editId="7EED5DA9">
            <wp:extent cx="5731510" cy="3069204"/>
            <wp:effectExtent l="0" t="0" r="2540" b="0"/>
            <wp:docPr id="23" name="Picture 23"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Histogram&#10;&#10;Description automatically generated"/>
                    <pic:cNvPicPr/>
                  </pic:nvPicPr>
                  <pic:blipFill rotWithShape="1">
                    <a:blip r:embed="rId17"/>
                    <a:srcRect b="6293"/>
                    <a:stretch/>
                  </pic:blipFill>
                  <pic:spPr bwMode="auto">
                    <a:xfrm>
                      <a:off x="0" y="0"/>
                      <a:ext cx="5731510" cy="3069204"/>
                    </a:xfrm>
                    <a:prstGeom prst="rect">
                      <a:avLst/>
                    </a:prstGeom>
                    <a:ln>
                      <a:noFill/>
                    </a:ln>
                    <a:extLst>
                      <a:ext uri="{53640926-AAD7-44D8-BBD7-CCE9431645EC}">
                        <a14:shadowObscured xmlns:a14="http://schemas.microsoft.com/office/drawing/2010/main"/>
                      </a:ext>
                    </a:extLst>
                  </pic:spPr>
                </pic:pic>
              </a:graphicData>
            </a:graphic>
          </wp:inline>
        </w:drawing>
      </w:r>
    </w:p>
    <w:p w:rsidR="005D5162" w:rsidRPr="00954640" w:rsidRDefault="005D5162" w:rsidP="003921A0">
      <w:pPr>
        <w:jc w:val="both"/>
        <w:rPr>
          <w:rFonts w:ascii="Arial" w:hAnsi="Arial" w:cs="Arial"/>
          <w:sz w:val="20"/>
          <w:szCs w:val="20"/>
        </w:rPr>
      </w:pPr>
      <w:r w:rsidRPr="00954640">
        <w:rPr>
          <w:rFonts w:ascii="Arial" w:hAnsi="Arial" w:cs="Arial"/>
          <w:b/>
          <w:bCs/>
          <w:sz w:val="20"/>
          <w:szCs w:val="20"/>
        </w:rPr>
        <w:t xml:space="preserve">Figure S4.1. </w:t>
      </w:r>
      <w:r w:rsidRPr="00954640">
        <w:rPr>
          <w:rFonts w:ascii="Arial" w:hAnsi="Arial" w:cs="Arial"/>
          <w:sz w:val="20"/>
          <w:szCs w:val="20"/>
        </w:rPr>
        <w:t>Outbreak of a new immune-escape variant (solid line) compared to no new variant (dashed line)</w:t>
      </w:r>
    </w:p>
    <w:p w:rsidR="005D5162" w:rsidRPr="00954640" w:rsidRDefault="005D5162" w:rsidP="006269EF">
      <w:pPr>
        <w:rPr>
          <w:rFonts w:ascii="Arial" w:hAnsi="Arial" w:cs="Arial"/>
        </w:rPr>
      </w:pPr>
    </w:p>
    <w:p w:rsidR="005D5162" w:rsidRPr="00954640" w:rsidRDefault="005D5162" w:rsidP="006269EF">
      <w:pPr>
        <w:rPr>
          <w:rFonts w:ascii="Arial" w:hAnsi="Arial" w:cs="Arial"/>
        </w:rPr>
        <w:sectPr w:rsidR="005D5162" w:rsidRPr="00954640">
          <w:footerReference w:type="default" r:id="rId18"/>
          <w:pgSz w:w="11906" w:h="16838"/>
          <w:pgMar w:top="1440" w:right="1440" w:bottom="1440" w:left="1440" w:header="708" w:footer="708" w:gutter="0"/>
          <w:cols w:space="708"/>
          <w:docGrid w:linePitch="360"/>
        </w:sect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6926"/>
        <w:gridCol w:w="7022"/>
      </w:tblGrid>
      <w:tr w:rsidR="005D5162" w:rsidRPr="00954640" w:rsidTr="009B7209">
        <w:tc>
          <w:tcPr>
            <w:tcW w:w="7001" w:type="dxa"/>
          </w:tcPr>
          <w:p w:rsidR="005D5162" w:rsidRPr="00954640" w:rsidRDefault="005D5162" w:rsidP="004B717D">
            <w:pPr>
              <w:jc w:val="both"/>
              <w:rPr>
                <w:rFonts w:ascii="Arial" w:hAnsi="Arial" w:cs="Arial"/>
                <w:b/>
                <w:bCs/>
                <w:sz w:val="32"/>
                <w:szCs w:val="32"/>
              </w:rPr>
            </w:pPr>
            <w:r w:rsidRPr="00954640">
              <w:rPr>
                <w:rFonts w:ascii="Arial" w:hAnsi="Arial" w:cs="Arial"/>
                <w:b/>
                <w:bCs/>
                <w:sz w:val="32"/>
                <w:szCs w:val="32"/>
              </w:rPr>
              <w:lastRenderedPageBreak/>
              <w:t>A</w:t>
            </w:r>
          </w:p>
          <w:p w:rsidR="005D5162" w:rsidRPr="00954640" w:rsidRDefault="005D5162" w:rsidP="004B717D">
            <w:pPr>
              <w:jc w:val="both"/>
              <w:rPr>
                <w:rFonts w:ascii="Arial" w:hAnsi="Arial" w:cs="Arial"/>
              </w:rPr>
            </w:pPr>
            <w:r w:rsidRPr="00954640">
              <w:rPr>
                <w:rFonts w:ascii="Arial" w:hAnsi="Arial" w:cs="Arial"/>
                <w:noProof/>
                <w:lang w:eastAsia="en-AU"/>
              </w:rPr>
              <w:drawing>
                <wp:inline distT="0" distB="0" distL="0" distR="0" wp14:anchorId="5E24562A" wp14:editId="1B250B8C">
                  <wp:extent cx="4258101" cy="4939862"/>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110" b="1158"/>
                          <a:stretch/>
                        </pic:blipFill>
                        <pic:spPr bwMode="auto">
                          <a:xfrm>
                            <a:off x="0" y="0"/>
                            <a:ext cx="4267223" cy="4950444"/>
                          </a:xfrm>
                          <a:prstGeom prst="rect">
                            <a:avLst/>
                          </a:prstGeom>
                          <a:ln>
                            <a:noFill/>
                          </a:ln>
                          <a:extLst>
                            <a:ext uri="{53640926-AAD7-44D8-BBD7-CCE9431645EC}">
                              <a14:shadowObscured xmlns:a14="http://schemas.microsoft.com/office/drawing/2010/main"/>
                            </a:ext>
                          </a:extLst>
                        </pic:spPr>
                      </pic:pic>
                    </a:graphicData>
                  </a:graphic>
                </wp:inline>
              </w:drawing>
            </w:r>
          </w:p>
        </w:tc>
        <w:tc>
          <w:tcPr>
            <w:tcW w:w="6947" w:type="dxa"/>
          </w:tcPr>
          <w:p w:rsidR="005D5162" w:rsidRPr="00954640" w:rsidRDefault="005D5162" w:rsidP="004B717D">
            <w:pPr>
              <w:jc w:val="both"/>
              <w:rPr>
                <w:rFonts w:ascii="Arial" w:hAnsi="Arial" w:cs="Arial"/>
                <w:b/>
                <w:bCs/>
                <w:noProof/>
                <w:sz w:val="32"/>
                <w:szCs w:val="32"/>
              </w:rPr>
            </w:pPr>
            <w:r w:rsidRPr="00954640">
              <w:rPr>
                <w:rFonts w:ascii="Arial" w:hAnsi="Arial" w:cs="Arial"/>
                <w:b/>
                <w:bCs/>
                <w:noProof/>
                <w:sz w:val="32"/>
                <w:szCs w:val="32"/>
              </w:rPr>
              <w:t>B</w:t>
            </w:r>
          </w:p>
          <w:p w:rsidR="005D5162" w:rsidRPr="00954640" w:rsidRDefault="005D5162" w:rsidP="004B717D">
            <w:pPr>
              <w:jc w:val="both"/>
              <w:rPr>
                <w:rFonts w:ascii="Arial" w:hAnsi="Arial" w:cs="Arial"/>
              </w:rPr>
            </w:pPr>
            <w:r w:rsidRPr="00954640">
              <w:rPr>
                <w:rFonts w:ascii="Arial" w:hAnsi="Arial" w:cs="Arial"/>
                <w:noProof/>
                <w:lang w:eastAsia="en-AU"/>
              </w:rPr>
              <w:drawing>
                <wp:inline distT="0" distB="0" distL="0" distR="0" wp14:anchorId="1F8439BA" wp14:editId="3AF26018">
                  <wp:extent cx="4329012" cy="49536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758" t="1078" b="1074"/>
                          <a:stretch/>
                        </pic:blipFill>
                        <pic:spPr bwMode="auto">
                          <a:xfrm>
                            <a:off x="0" y="0"/>
                            <a:ext cx="4332232" cy="4957338"/>
                          </a:xfrm>
                          <a:prstGeom prst="rect">
                            <a:avLst/>
                          </a:prstGeom>
                          <a:ln>
                            <a:noFill/>
                          </a:ln>
                          <a:extLst>
                            <a:ext uri="{53640926-AAD7-44D8-BBD7-CCE9431645EC}">
                              <a14:shadowObscured xmlns:a14="http://schemas.microsoft.com/office/drawing/2010/main"/>
                            </a:ext>
                          </a:extLst>
                        </pic:spPr>
                      </pic:pic>
                    </a:graphicData>
                  </a:graphic>
                </wp:inline>
              </w:drawing>
            </w:r>
          </w:p>
        </w:tc>
      </w:tr>
    </w:tbl>
    <w:p w:rsidR="005D5162" w:rsidRPr="00954640" w:rsidRDefault="005D5162" w:rsidP="009B7209">
      <w:pPr>
        <w:spacing w:before="120" w:line="240" w:lineRule="auto"/>
        <w:jc w:val="both"/>
        <w:rPr>
          <w:rFonts w:ascii="Arial" w:hAnsi="Arial" w:cs="Arial"/>
          <w:sz w:val="20"/>
          <w:szCs w:val="20"/>
        </w:rPr>
      </w:pPr>
      <w:r w:rsidRPr="00954640">
        <w:rPr>
          <w:rFonts w:ascii="Arial" w:hAnsi="Arial" w:cs="Arial"/>
          <w:b/>
          <w:bCs/>
          <w:sz w:val="20"/>
          <w:szCs w:val="20"/>
        </w:rPr>
        <w:t xml:space="preserve">Figure S4.2. </w:t>
      </w:r>
      <w:r w:rsidRPr="00954640">
        <w:rPr>
          <w:rFonts w:ascii="Arial" w:hAnsi="Arial" w:cs="Arial"/>
          <w:sz w:val="20"/>
          <w:szCs w:val="20"/>
        </w:rPr>
        <w:t xml:space="preserve">Comparison of different timings of vaccination relative to an outbreak (A), and varying speed of rollout during an outbreak </w:t>
      </w:r>
      <w:r w:rsidRPr="00954640">
        <w:rPr>
          <w:rFonts w:ascii="Arial" w:hAnsi="Arial" w:cs="Arial"/>
          <w:color w:val="000000" w:themeColor="text1"/>
          <w:sz w:val="20"/>
          <w:szCs w:val="20"/>
        </w:rPr>
        <w:t>(B). Absolute (left) and cumulative (right) values are presented. Baseline population coverage target of 51.6% with adult-eligibility only. Note the rollout ends at 170 days with the baseline speed of roll-out.</w:t>
      </w:r>
    </w:p>
    <w:p w:rsidR="005D5162" w:rsidRPr="00954640" w:rsidRDefault="005D5162" w:rsidP="000F6F76">
      <w:pPr>
        <w:pStyle w:val="Heading2"/>
        <w:rPr>
          <w:rFonts w:ascii="Arial" w:hAnsi="Arial" w:cs="Arial"/>
        </w:rPr>
        <w:sectPr w:rsidR="005D5162" w:rsidRPr="00954640" w:rsidSect="009B7209">
          <w:pgSz w:w="16838" w:h="11906" w:orient="landscape"/>
          <w:pgMar w:top="1440" w:right="1440" w:bottom="1440" w:left="1440" w:header="708" w:footer="708" w:gutter="0"/>
          <w:cols w:space="708"/>
          <w:docGrid w:linePitch="360"/>
        </w:sectPr>
      </w:pPr>
    </w:p>
    <w:p w:rsidR="005D5162" w:rsidRPr="00954640" w:rsidRDefault="005D5162" w:rsidP="00DB6CD2">
      <w:pPr>
        <w:pStyle w:val="Heading2"/>
        <w:rPr>
          <w:rFonts w:ascii="Arial" w:hAnsi="Arial" w:cs="Arial"/>
          <w:b/>
          <w:color w:val="000000" w:themeColor="text1"/>
        </w:rPr>
      </w:pPr>
      <w:bookmarkStart w:id="28" w:name="_Toc117859599"/>
      <w:r w:rsidRPr="00954640">
        <w:rPr>
          <w:rFonts w:ascii="Arial" w:hAnsi="Arial" w:cs="Arial"/>
          <w:b/>
          <w:color w:val="000000" w:themeColor="text1"/>
        </w:rPr>
        <w:lastRenderedPageBreak/>
        <w:t>S4.2 Prioritisation of a double-dose vaccine</w:t>
      </w:r>
      <w:bookmarkEnd w:id="28"/>
    </w:p>
    <w:p w:rsidR="005D5162" w:rsidRPr="00954640" w:rsidRDefault="005D5162" w:rsidP="004D658F">
      <w:pPr>
        <w:spacing w:after="0"/>
        <w:jc w:val="both"/>
        <w:rPr>
          <w:rFonts w:ascii="Arial" w:hAnsi="Arial" w:cs="Arial"/>
        </w:rPr>
      </w:pPr>
      <w:r w:rsidRPr="00954640">
        <w:rPr>
          <w:rFonts w:ascii="Arial" w:hAnsi="Arial" w:cs="Arial"/>
        </w:rPr>
        <w:t xml:space="preserve">We conducted sensitivity analysis for the prioritisation of a double-dose vaccine (Pfizer) in comparison to the use of a single-dose vaccine (Johnson &amp; Johnson) in the main model. This sensitivity analysis assumed sufficient supply to reach the same level of coverage as the main model, i.e., double the vaccine supply with a double dose vaccine. </w:t>
      </w:r>
    </w:p>
    <w:p w:rsidR="005D5162" w:rsidRPr="00954640" w:rsidRDefault="005D5162" w:rsidP="004D658F">
      <w:pPr>
        <w:spacing w:after="0"/>
        <w:jc w:val="both"/>
        <w:rPr>
          <w:rFonts w:ascii="Arial" w:hAnsi="Arial" w:cs="Arial"/>
        </w:rPr>
      </w:pPr>
    </w:p>
    <w:p w:rsidR="005D5162" w:rsidRPr="00954640" w:rsidRDefault="005D5162" w:rsidP="003651BB">
      <w:pPr>
        <w:spacing w:after="0"/>
        <w:jc w:val="both"/>
        <w:rPr>
          <w:rFonts w:ascii="Arial" w:hAnsi="Arial" w:cs="Arial"/>
          <w:sz w:val="20"/>
          <w:szCs w:val="20"/>
        </w:rPr>
      </w:pPr>
      <w:bookmarkStart w:id="29" w:name="_Hlk112429094"/>
      <w:r w:rsidRPr="00954640">
        <w:rPr>
          <w:rFonts w:ascii="Arial" w:hAnsi="Arial" w:cs="Arial"/>
          <w:b/>
          <w:bCs/>
          <w:sz w:val="20"/>
          <w:szCs w:val="20"/>
        </w:rPr>
        <w:t xml:space="preserve">Table S4.1 </w:t>
      </w:r>
      <w:r w:rsidRPr="00954640">
        <w:rPr>
          <w:rFonts w:ascii="Arial" w:hAnsi="Arial" w:cs="Arial"/>
          <w:i/>
          <w:iCs/>
          <w:sz w:val="20"/>
          <w:szCs w:val="20"/>
        </w:rPr>
        <w:t>Sensitivity analysis of main results using a double-dose vaccine.</w:t>
      </w:r>
      <w:r w:rsidRPr="00954640">
        <w:rPr>
          <w:rFonts w:ascii="Arial" w:hAnsi="Arial" w:cs="Arial"/>
          <w:sz w:val="20"/>
          <w:szCs w:val="20"/>
        </w:rPr>
        <w:t xml:space="preserve"> Cumulative outcomes prevented by prioritisation strategies including children 5 to 17 years. Outcomes prevented calculated relative to current adult vaccination program with a population coverage target of 51.6%. Red/green shading indicates the increase/reduction of an outcome.</w:t>
      </w:r>
    </w:p>
    <w:tbl>
      <w:tblPr>
        <w:tblStyle w:val="TableGrid"/>
        <w:tblW w:w="0" w:type="auto"/>
        <w:tblLook w:val="04A0" w:firstRow="1" w:lastRow="0" w:firstColumn="1" w:lastColumn="0" w:noHBand="0" w:noVBand="1"/>
      </w:tblPr>
      <w:tblGrid>
        <w:gridCol w:w="515"/>
        <w:gridCol w:w="559"/>
        <w:gridCol w:w="592"/>
        <w:gridCol w:w="990"/>
        <w:gridCol w:w="579"/>
        <w:gridCol w:w="552"/>
        <w:gridCol w:w="627"/>
        <w:gridCol w:w="622"/>
        <w:gridCol w:w="990"/>
        <w:gridCol w:w="621"/>
        <w:gridCol w:w="621"/>
        <w:gridCol w:w="627"/>
        <w:gridCol w:w="592"/>
        <w:gridCol w:w="990"/>
        <w:gridCol w:w="579"/>
        <w:gridCol w:w="552"/>
        <w:gridCol w:w="627"/>
        <w:gridCol w:w="592"/>
        <w:gridCol w:w="990"/>
        <w:gridCol w:w="579"/>
        <w:gridCol w:w="552"/>
      </w:tblGrid>
      <w:tr w:rsidR="005D5162" w:rsidRPr="009456C6" w:rsidTr="004B717D">
        <w:tc>
          <w:tcPr>
            <w:tcW w:w="515" w:type="dxa"/>
          </w:tcPr>
          <w:p w:rsidR="005D5162" w:rsidRPr="009456C6" w:rsidRDefault="005D5162" w:rsidP="004B717D">
            <w:pPr>
              <w:rPr>
                <w:rFonts w:asciiTheme="majorHAnsi" w:hAnsiTheme="majorHAnsi" w:cstheme="majorHAnsi"/>
                <w:sz w:val="12"/>
                <w:szCs w:val="12"/>
              </w:rPr>
            </w:pPr>
          </w:p>
        </w:tc>
        <w:tc>
          <w:tcPr>
            <w:tcW w:w="3272" w:type="dxa"/>
            <w:gridSpan w:val="5"/>
          </w:tcPr>
          <w:p w:rsidR="005D5162" w:rsidRPr="009456C6" w:rsidRDefault="005D5162" w:rsidP="004B717D">
            <w:pPr>
              <w:jc w:val="center"/>
              <w:rPr>
                <w:rFonts w:asciiTheme="majorHAnsi" w:hAnsiTheme="majorHAnsi" w:cstheme="majorHAnsi"/>
                <w:sz w:val="12"/>
                <w:szCs w:val="12"/>
              </w:rPr>
            </w:pPr>
            <w:r w:rsidRPr="009456C6">
              <w:rPr>
                <w:rFonts w:asciiTheme="majorHAnsi" w:hAnsiTheme="majorHAnsi" w:cstheme="majorHAnsi"/>
                <w:b/>
                <w:bCs/>
                <w:sz w:val="20"/>
                <w:szCs w:val="20"/>
              </w:rPr>
              <w:t>Children (0-4 years)</w:t>
            </w:r>
          </w:p>
        </w:tc>
        <w:tc>
          <w:tcPr>
            <w:tcW w:w="3481" w:type="dxa"/>
            <w:gridSpan w:val="5"/>
          </w:tcPr>
          <w:p w:rsidR="005D5162" w:rsidRPr="009456C6" w:rsidRDefault="005D5162" w:rsidP="004B717D">
            <w:pPr>
              <w:jc w:val="center"/>
              <w:rPr>
                <w:rFonts w:asciiTheme="majorHAnsi" w:hAnsiTheme="majorHAnsi" w:cstheme="majorHAnsi"/>
                <w:sz w:val="12"/>
                <w:szCs w:val="12"/>
              </w:rPr>
            </w:pPr>
            <w:r w:rsidRPr="009456C6">
              <w:rPr>
                <w:rFonts w:asciiTheme="majorHAnsi" w:hAnsiTheme="majorHAnsi" w:cstheme="majorHAnsi"/>
                <w:b/>
                <w:bCs/>
                <w:sz w:val="20"/>
                <w:szCs w:val="20"/>
              </w:rPr>
              <w:t>Children (5-17 years)</w:t>
            </w:r>
          </w:p>
        </w:tc>
        <w:tc>
          <w:tcPr>
            <w:tcW w:w="3340" w:type="dxa"/>
            <w:gridSpan w:val="5"/>
          </w:tcPr>
          <w:p w:rsidR="005D5162" w:rsidRPr="009456C6" w:rsidRDefault="005D5162" w:rsidP="004B717D">
            <w:pPr>
              <w:jc w:val="center"/>
              <w:rPr>
                <w:rFonts w:asciiTheme="majorHAnsi" w:hAnsiTheme="majorHAnsi" w:cstheme="majorHAnsi"/>
                <w:sz w:val="12"/>
                <w:szCs w:val="12"/>
              </w:rPr>
            </w:pPr>
            <w:r w:rsidRPr="009456C6">
              <w:rPr>
                <w:rFonts w:asciiTheme="majorHAnsi" w:hAnsiTheme="majorHAnsi" w:cstheme="majorHAnsi"/>
                <w:b/>
                <w:bCs/>
                <w:sz w:val="20"/>
                <w:szCs w:val="20"/>
              </w:rPr>
              <w:t>Adults (18+ years)</w:t>
            </w:r>
          </w:p>
        </w:tc>
        <w:tc>
          <w:tcPr>
            <w:tcW w:w="3340" w:type="dxa"/>
            <w:gridSpan w:val="5"/>
          </w:tcPr>
          <w:p w:rsidR="005D5162" w:rsidRPr="009456C6" w:rsidRDefault="005D5162" w:rsidP="004B717D">
            <w:pPr>
              <w:jc w:val="center"/>
              <w:rPr>
                <w:rFonts w:asciiTheme="majorHAnsi" w:hAnsiTheme="majorHAnsi" w:cstheme="majorHAnsi"/>
                <w:sz w:val="12"/>
                <w:szCs w:val="12"/>
              </w:rPr>
            </w:pPr>
            <w:r w:rsidRPr="009456C6">
              <w:rPr>
                <w:rFonts w:asciiTheme="majorHAnsi" w:hAnsiTheme="majorHAnsi" w:cstheme="majorHAnsi"/>
                <w:b/>
                <w:bCs/>
                <w:sz w:val="20"/>
                <w:szCs w:val="20"/>
              </w:rPr>
              <w:t>Overall</w:t>
            </w:r>
          </w:p>
        </w:tc>
      </w:tr>
      <w:tr w:rsidR="005D5162" w:rsidRPr="009456C6" w:rsidTr="004B717D">
        <w:tc>
          <w:tcPr>
            <w:tcW w:w="515" w:type="dxa"/>
          </w:tcPr>
          <w:p w:rsidR="005D5162" w:rsidRPr="009456C6" w:rsidRDefault="005D5162" w:rsidP="004B717D">
            <w:pPr>
              <w:rPr>
                <w:rFonts w:asciiTheme="majorHAnsi" w:hAnsiTheme="majorHAnsi" w:cstheme="majorHAnsi"/>
                <w:sz w:val="12"/>
                <w:szCs w:val="12"/>
              </w:rPr>
            </w:pPr>
          </w:p>
        </w:tc>
        <w:tc>
          <w:tcPr>
            <w:tcW w:w="559"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Cases</w:t>
            </w:r>
          </w:p>
        </w:tc>
        <w:tc>
          <w:tcPr>
            <w:tcW w:w="59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Severe disease</w:t>
            </w:r>
          </w:p>
        </w:tc>
        <w:tc>
          <w:tcPr>
            <w:tcW w:w="990"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Hospitalisations</w:t>
            </w:r>
          </w:p>
        </w:tc>
        <w:tc>
          <w:tcPr>
            <w:tcW w:w="579"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Deaths</w:t>
            </w:r>
          </w:p>
        </w:tc>
        <w:tc>
          <w:tcPr>
            <w:tcW w:w="55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YLL</w:t>
            </w:r>
          </w:p>
        </w:tc>
        <w:tc>
          <w:tcPr>
            <w:tcW w:w="627"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Cases</w:t>
            </w:r>
          </w:p>
        </w:tc>
        <w:tc>
          <w:tcPr>
            <w:tcW w:w="62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Severe disease</w:t>
            </w:r>
          </w:p>
        </w:tc>
        <w:tc>
          <w:tcPr>
            <w:tcW w:w="990"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Hospitalisations</w:t>
            </w:r>
          </w:p>
        </w:tc>
        <w:tc>
          <w:tcPr>
            <w:tcW w:w="621"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Deaths</w:t>
            </w:r>
          </w:p>
        </w:tc>
        <w:tc>
          <w:tcPr>
            <w:tcW w:w="621"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YLL</w:t>
            </w:r>
          </w:p>
        </w:tc>
        <w:tc>
          <w:tcPr>
            <w:tcW w:w="627"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Cases</w:t>
            </w:r>
          </w:p>
        </w:tc>
        <w:tc>
          <w:tcPr>
            <w:tcW w:w="59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Severe disease</w:t>
            </w:r>
          </w:p>
        </w:tc>
        <w:tc>
          <w:tcPr>
            <w:tcW w:w="990"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Hospitalisations</w:t>
            </w:r>
          </w:p>
        </w:tc>
        <w:tc>
          <w:tcPr>
            <w:tcW w:w="579"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Deaths</w:t>
            </w:r>
          </w:p>
        </w:tc>
        <w:tc>
          <w:tcPr>
            <w:tcW w:w="55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YLL</w:t>
            </w:r>
          </w:p>
        </w:tc>
        <w:tc>
          <w:tcPr>
            <w:tcW w:w="627"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Cases</w:t>
            </w:r>
          </w:p>
        </w:tc>
        <w:tc>
          <w:tcPr>
            <w:tcW w:w="59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Severe disease</w:t>
            </w:r>
          </w:p>
        </w:tc>
        <w:tc>
          <w:tcPr>
            <w:tcW w:w="990"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Hospitalisations</w:t>
            </w:r>
          </w:p>
        </w:tc>
        <w:tc>
          <w:tcPr>
            <w:tcW w:w="579"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Deaths</w:t>
            </w:r>
          </w:p>
        </w:tc>
        <w:tc>
          <w:tcPr>
            <w:tcW w:w="552" w:type="dxa"/>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sz w:val="12"/>
                <w:szCs w:val="12"/>
              </w:rPr>
              <w:t>YLL</w:t>
            </w:r>
          </w:p>
        </w:tc>
      </w:tr>
      <w:tr w:rsidR="005D5162" w:rsidRPr="009456C6" w:rsidTr="004B717D">
        <w:tc>
          <w:tcPr>
            <w:tcW w:w="13948" w:type="dxa"/>
            <w:gridSpan w:val="21"/>
          </w:tcPr>
          <w:p w:rsidR="005D5162" w:rsidRPr="009456C6" w:rsidRDefault="005D5162" w:rsidP="0006565F">
            <w:pPr>
              <w:rPr>
                <w:rFonts w:asciiTheme="majorHAnsi" w:hAnsiTheme="majorHAnsi" w:cstheme="majorHAnsi"/>
                <w:sz w:val="12"/>
                <w:szCs w:val="12"/>
              </w:rPr>
            </w:pPr>
            <w:r w:rsidRPr="009456C6">
              <w:rPr>
                <w:rFonts w:asciiTheme="majorHAnsi" w:hAnsiTheme="majorHAnsi" w:cstheme="majorHAnsi"/>
                <w:b/>
                <w:bCs/>
                <w:sz w:val="20"/>
                <w:szCs w:val="20"/>
              </w:rPr>
              <w:t>Expanding to children concurrently with the adult rollout</w:t>
            </w:r>
          </w:p>
        </w:tc>
      </w:tr>
      <w:tr w:rsidR="005D5162" w:rsidRPr="009456C6" w:rsidTr="00CE7EF9">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51.6%</w:t>
            </w:r>
          </w:p>
        </w:tc>
        <w:tc>
          <w:tcPr>
            <w:tcW w:w="55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6286</w:t>
            </w:r>
          </w:p>
        </w:tc>
        <w:tc>
          <w:tcPr>
            <w:tcW w:w="592"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w:t>
            </w:r>
          </w:p>
        </w:tc>
        <w:tc>
          <w:tcPr>
            <w:tcW w:w="990"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70</w:t>
            </w:r>
          </w:p>
        </w:tc>
        <w:tc>
          <w:tcPr>
            <w:tcW w:w="579"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-50386</w:t>
            </w:r>
          </w:p>
        </w:tc>
        <w:tc>
          <w:tcPr>
            <w:tcW w:w="62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-48</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-2895</w:t>
            </w:r>
          </w:p>
        </w:tc>
        <w:tc>
          <w:tcPr>
            <w:tcW w:w="621"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w:t>
            </w:r>
          </w:p>
        </w:tc>
        <w:tc>
          <w:tcPr>
            <w:tcW w:w="621"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-258</w:t>
            </w:r>
          </w:p>
        </w:tc>
        <w:tc>
          <w:tcPr>
            <w:tcW w:w="627"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106807</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3084</w:t>
            </w:r>
          </w:p>
        </w:tc>
        <w:tc>
          <w:tcPr>
            <w:tcW w:w="990"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9589</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218</w:t>
            </w:r>
          </w:p>
        </w:tc>
        <w:tc>
          <w:tcPr>
            <w:tcW w:w="55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2566</w:t>
            </w:r>
          </w:p>
        </w:tc>
        <w:tc>
          <w:tcPr>
            <w:tcW w:w="627"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62707</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3037</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6763</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214</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2316</w:t>
            </w:r>
          </w:p>
        </w:tc>
      </w:tr>
      <w:tr w:rsidR="005D5162" w:rsidRPr="009456C6" w:rsidTr="00CE7EF9">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0.6%</w:t>
            </w:r>
          </w:p>
        </w:tc>
        <w:tc>
          <w:tcPr>
            <w:tcW w:w="592"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0.5%</w:t>
            </w:r>
          </w:p>
        </w:tc>
        <w:tc>
          <w:tcPr>
            <w:tcW w:w="990"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0.5%</w:t>
            </w:r>
          </w:p>
        </w:tc>
        <w:tc>
          <w:tcPr>
            <w:tcW w:w="579"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0.5%</w:t>
            </w:r>
          </w:p>
        </w:tc>
        <w:tc>
          <w:tcPr>
            <w:tcW w:w="552" w:type="dxa"/>
            <w:shd w:val="clear" w:color="000000" w:fill="FCE4D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0.5%</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w:t>
            </w:r>
          </w:p>
        </w:tc>
        <w:tc>
          <w:tcPr>
            <w:tcW w:w="62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-8.6%</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-8.6%</w:t>
            </w:r>
          </w:p>
        </w:tc>
        <w:tc>
          <w:tcPr>
            <w:tcW w:w="621"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-8.6%</w:t>
            </w:r>
          </w:p>
        </w:tc>
        <w:tc>
          <w:tcPr>
            <w:tcW w:w="621"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-8.6%</w:t>
            </w:r>
          </w:p>
        </w:tc>
        <w:tc>
          <w:tcPr>
            <w:tcW w:w="627"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12.4%</w:t>
            </w:r>
          </w:p>
        </w:tc>
        <w:tc>
          <w:tcPr>
            <w:tcW w:w="990"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12.3%</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12.6%</w:t>
            </w:r>
          </w:p>
        </w:tc>
        <w:tc>
          <w:tcPr>
            <w:tcW w:w="55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12.5%</w:t>
            </w:r>
          </w:p>
        </w:tc>
        <w:tc>
          <w:tcPr>
            <w:tcW w:w="627"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0.7%</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11.9%</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5.4%</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11.8%</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9.2%</w:t>
            </w:r>
          </w:p>
        </w:tc>
      </w:tr>
      <w:tr w:rsidR="005D5162" w:rsidRPr="009456C6" w:rsidTr="009D58BB">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60%</w:t>
            </w:r>
          </w:p>
        </w:tc>
        <w:tc>
          <w:tcPr>
            <w:tcW w:w="55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1211</w:t>
            </w:r>
          </w:p>
        </w:tc>
        <w:tc>
          <w:tcPr>
            <w:tcW w:w="592"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990"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7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-96622</w:t>
            </w:r>
          </w:p>
        </w:tc>
        <w:tc>
          <w:tcPr>
            <w:tcW w:w="622"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-72</w:t>
            </w:r>
          </w:p>
        </w:tc>
        <w:tc>
          <w:tcPr>
            <w:tcW w:w="990"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-4351</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-388</w:t>
            </w:r>
          </w:p>
        </w:tc>
        <w:tc>
          <w:tcPr>
            <w:tcW w:w="627"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78801</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2641</w:t>
            </w:r>
          </w:p>
        </w:tc>
        <w:tc>
          <w:tcPr>
            <w:tcW w:w="990"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8260</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184</w:t>
            </w:r>
          </w:p>
        </w:tc>
        <w:tc>
          <w:tcPr>
            <w:tcW w:w="55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2186</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-16610</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2570</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3921</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177</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1799</w:t>
            </w:r>
          </w:p>
        </w:tc>
      </w:tr>
      <w:tr w:rsidR="005D5162" w:rsidRPr="009456C6" w:rsidTr="009D58BB">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92"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990"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79"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52"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-3.3%</w:t>
            </w:r>
          </w:p>
        </w:tc>
        <w:tc>
          <w:tcPr>
            <w:tcW w:w="622"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-12.9%</w:t>
            </w:r>
          </w:p>
        </w:tc>
        <w:tc>
          <w:tcPr>
            <w:tcW w:w="990"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-12.9%</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-12.9%</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-12.9%</w:t>
            </w:r>
          </w:p>
        </w:tc>
        <w:tc>
          <w:tcPr>
            <w:tcW w:w="627"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1.5%</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10.6%</w:t>
            </w:r>
          </w:p>
        </w:tc>
        <w:tc>
          <w:tcPr>
            <w:tcW w:w="990"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10.6%</w:t>
            </w:r>
          </w:p>
        </w:tc>
        <w:tc>
          <w:tcPr>
            <w:tcW w:w="579"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10.7%</w:t>
            </w:r>
          </w:p>
        </w:tc>
        <w:tc>
          <w:tcPr>
            <w:tcW w:w="55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10.7%</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92" w:type="dxa"/>
            <w:shd w:val="clear" w:color="auto" w:fill="F4B083" w:themeFill="accent2"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10.0%</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3.1%</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9.8%</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7.2%</w:t>
            </w:r>
          </w:p>
        </w:tc>
      </w:tr>
      <w:tr w:rsidR="005D5162" w:rsidRPr="009456C6" w:rsidTr="009D58BB">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70%</w:t>
            </w: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-13234</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-163</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-179494</w:t>
            </w:r>
          </w:p>
        </w:tc>
        <w:tc>
          <w:tcPr>
            <w:tcW w:w="622"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-98</w:t>
            </w:r>
          </w:p>
        </w:tc>
        <w:tc>
          <w:tcPr>
            <w:tcW w:w="990"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-5916</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-527</w:t>
            </w:r>
          </w:p>
        </w:tc>
        <w:tc>
          <w:tcPr>
            <w:tcW w:w="627"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4605</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2005</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6344</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136</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1642</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-188122</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1906</w:t>
            </w:r>
          </w:p>
        </w:tc>
        <w:tc>
          <w:tcPr>
            <w:tcW w:w="990"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265</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125</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1096</w:t>
            </w:r>
          </w:p>
        </w:tc>
      </w:tr>
      <w:tr w:rsidR="005D5162" w:rsidRPr="009456C6" w:rsidTr="009D58BB">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5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-6.0%</w:t>
            </w:r>
          </w:p>
        </w:tc>
        <w:tc>
          <w:tcPr>
            <w:tcW w:w="622" w:type="dxa"/>
            <w:shd w:val="clear" w:color="auto" w:fill="A8D08D" w:themeFill="accent6" w:themeFillTint="99"/>
            <w:vAlign w:val="bottom"/>
          </w:tcPr>
          <w:p w:rsidR="005D5162" w:rsidRPr="009456C6" w:rsidRDefault="005D5162" w:rsidP="00CE7EF9">
            <w:pPr>
              <w:jc w:val="right"/>
              <w:rPr>
                <w:rFonts w:asciiTheme="majorHAnsi" w:hAnsiTheme="majorHAnsi" w:cstheme="majorHAnsi"/>
                <w:color w:val="000000"/>
                <w:sz w:val="12"/>
                <w:szCs w:val="12"/>
              </w:rPr>
            </w:pPr>
            <w:r w:rsidRPr="009456C6">
              <w:rPr>
                <w:rFonts w:asciiTheme="majorHAnsi" w:hAnsiTheme="majorHAnsi" w:cstheme="majorHAnsi"/>
                <w:color w:val="000000"/>
                <w:sz w:val="12"/>
                <w:szCs w:val="12"/>
              </w:rPr>
              <w:t>-17.6%</w:t>
            </w:r>
          </w:p>
        </w:tc>
        <w:tc>
          <w:tcPr>
            <w:tcW w:w="990"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-17.5%</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-17.5%</w:t>
            </w:r>
          </w:p>
        </w:tc>
        <w:tc>
          <w:tcPr>
            <w:tcW w:w="621" w:type="dxa"/>
            <w:shd w:val="clear" w:color="auto" w:fill="A8D08D" w:themeFill="accent6" w:themeFillTint="99"/>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-17.5%</w:t>
            </w:r>
          </w:p>
        </w:tc>
        <w:tc>
          <w:tcPr>
            <w:tcW w:w="627"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8.0%</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8.1%</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7.9%</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8.0%</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7.4%</w:t>
            </w:r>
          </w:p>
        </w:tc>
        <w:tc>
          <w:tcPr>
            <w:tcW w:w="990" w:type="dxa"/>
            <w:shd w:val="clear" w:color="auto" w:fill="FBE4D5" w:themeFill="accent2"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6.9%</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4.4%</w:t>
            </w:r>
          </w:p>
        </w:tc>
      </w:tr>
      <w:tr w:rsidR="005D5162" w:rsidRPr="009456C6" w:rsidTr="009D58BB">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75.5%</w:t>
            </w: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-22936</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-282</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w:t>
            </w:r>
          </w:p>
        </w:tc>
        <w:tc>
          <w:tcPr>
            <w:tcW w:w="55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-33</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-240751</w:t>
            </w:r>
          </w:p>
        </w:tc>
        <w:tc>
          <w:tcPr>
            <w:tcW w:w="622"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-112</w:t>
            </w:r>
          </w:p>
        </w:tc>
        <w:tc>
          <w:tcPr>
            <w:tcW w:w="990"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-6775</w:t>
            </w:r>
          </w:p>
        </w:tc>
        <w:tc>
          <w:tcPr>
            <w:tcW w:w="621"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w:t>
            </w:r>
          </w:p>
        </w:tc>
        <w:tc>
          <w:tcPr>
            <w:tcW w:w="621"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-604</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-51736</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1616</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5152</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107</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1313</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-315424</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1501</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-1905</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95</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677</w:t>
            </w:r>
          </w:p>
        </w:tc>
      </w:tr>
      <w:tr w:rsidR="005D5162" w:rsidRPr="009456C6" w:rsidTr="009D58BB">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55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-8.1%</w:t>
            </w:r>
          </w:p>
        </w:tc>
        <w:tc>
          <w:tcPr>
            <w:tcW w:w="622"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-20.1%</w:t>
            </w:r>
          </w:p>
        </w:tc>
        <w:tc>
          <w:tcPr>
            <w:tcW w:w="990"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-20.1%</w:t>
            </w:r>
          </w:p>
        </w:tc>
        <w:tc>
          <w:tcPr>
            <w:tcW w:w="621"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-20.0%</w:t>
            </w:r>
          </w:p>
        </w:tc>
        <w:tc>
          <w:tcPr>
            <w:tcW w:w="621" w:type="dxa"/>
            <w:shd w:val="clear" w:color="auto" w:fill="8FC26C"/>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-20.0%</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6.5%</w:t>
            </w:r>
          </w:p>
        </w:tc>
        <w:tc>
          <w:tcPr>
            <w:tcW w:w="990"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6.6%</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6.2%</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6.4%</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-3.3%</w:t>
            </w:r>
          </w:p>
        </w:tc>
        <w:tc>
          <w:tcPr>
            <w:tcW w:w="59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5.9%</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-1.5%</w:t>
            </w:r>
          </w:p>
        </w:tc>
        <w:tc>
          <w:tcPr>
            <w:tcW w:w="579"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5.2%</w:t>
            </w:r>
          </w:p>
        </w:tc>
        <w:tc>
          <w:tcPr>
            <w:tcW w:w="552" w:type="dxa"/>
            <w:shd w:val="clear" w:color="auto" w:fill="F7CAAC" w:themeFill="accent2"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2.7%</w:t>
            </w:r>
          </w:p>
        </w:tc>
      </w:tr>
      <w:tr w:rsidR="005D5162" w:rsidRPr="009456C6" w:rsidTr="004B717D">
        <w:tc>
          <w:tcPr>
            <w:tcW w:w="13948" w:type="dxa"/>
            <w:gridSpan w:val="21"/>
          </w:tcPr>
          <w:p w:rsidR="005D5162" w:rsidRPr="009456C6" w:rsidRDefault="005D5162" w:rsidP="004B717D">
            <w:pPr>
              <w:rPr>
                <w:rFonts w:asciiTheme="majorHAnsi" w:hAnsiTheme="majorHAnsi" w:cstheme="majorHAnsi"/>
                <w:sz w:val="12"/>
                <w:szCs w:val="12"/>
              </w:rPr>
            </w:pPr>
            <w:r w:rsidRPr="009456C6">
              <w:rPr>
                <w:rFonts w:asciiTheme="majorHAnsi" w:hAnsiTheme="majorHAnsi" w:cstheme="majorHAnsi"/>
                <w:b/>
                <w:bCs/>
                <w:sz w:val="20"/>
                <w:szCs w:val="20"/>
              </w:rPr>
              <w:t>Expanding to children after adult rollout</w:t>
            </w:r>
          </w:p>
        </w:tc>
      </w:tr>
      <w:tr w:rsidR="005D5162" w:rsidRPr="009456C6" w:rsidTr="00CE7EF9">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60%</w:t>
            </w:r>
          </w:p>
        </w:tc>
        <w:tc>
          <w:tcPr>
            <w:tcW w:w="55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-2320</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-27</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-24332</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-737</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-66</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-7915</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-43</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-115</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-40</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-34567</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-55</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-880</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-109</w:t>
            </w:r>
          </w:p>
        </w:tc>
      </w:tr>
      <w:tr w:rsidR="005D5162" w:rsidRPr="009456C6" w:rsidTr="00CE7EF9">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-0.8%</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-2.2%</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-2.2%</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-2.2%</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-2.2%</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-0.1%</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627"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-0.4%</w:t>
            </w:r>
          </w:p>
        </w:tc>
        <w:tc>
          <w:tcPr>
            <w:tcW w:w="59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-0.2%</w:t>
            </w:r>
          </w:p>
        </w:tc>
        <w:tc>
          <w:tcPr>
            <w:tcW w:w="990"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-0.7%</w:t>
            </w:r>
          </w:p>
        </w:tc>
        <w:tc>
          <w:tcPr>
            <w:tcW w:w="579"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-0.3%</w:t>
            </w:r>
          </w:p>
        </w:tc>
        <w:tc>
          <w:tcPr>
            <w:tcW w:w="552" w:type="dxa"/>
            <w:shd w:val="clear" w:color="auto" w:fill="E2EFD9" w:themeFill="accent6" w:themeFillTint="33"/>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-0.4%</w:t>
            </w:r>
          </w:p>
        </w:tc>
      </w:tr>
      <w:tr w:rsidR="005D5162" w:rsidRPr="009456C6" w:rsidTr="00CE7EF9">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70%</w:t>
            </w: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-13694</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-165</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-116600</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-45</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-2723</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-243</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-53351</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-275</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-783</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-246</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-183645</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-322</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-3671</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-29</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-508</w:t>
            </w:r>
          </w:p>
        </w:tc>
      </w:tr>
      <w:tr w:rsidR="005D5162" w:rsidRPr="009456C6" w:rsidTr="00CE7EF9">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-3.9%</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-8.1%</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-8.1%</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-8.1%</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-8.0%</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-1.0%</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-1.4%</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-1.3%</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-2.9%</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w:t>
            </w:r>
          </w:p>
        </w:tc>
      </w:tr>
      <w:tr w:rsidR="005D5162" w:rsidRPr="009456C6" w:rsidTr="001D7EFD">
        <w:tc>
          <w:tcPr>
            <w:tcW w:w="515" w:type="dxa"/>
            <w:vMerge w:val="restart"/>
          </w:tcPr>
          <w:p w:rsidR="005D5162" w:rsidRPr="009456C6" w:rsidRDefault="005D5162" w:rsidP="00CE7EF9">
            <w:pPr>
              <w:rPr>
                <w:rFonts w:asciiTheme="majorHAnsi" w:hAnsiTheme="majorHAnsi" w:cstheme="majorHAnsi"/>
                <w:sz w:val="12"/>
                <w:szCs w:val="12"/>
              </w:rPr>
            </w:pPr>
            <w:r w:rsidRPr="009456C6">
              <w:rPr>
                <w:rFonts w:asciiTheme="majorHAnsi" w:hAnsiTheme="majorHAnsi" w:cstheme="majorHAnsi"/>
                <w:sz w:val="12"/>
                <w:szCs w:val="12"/>
              </w:rPr>
              <w:t>75.5%</w:t>
            </w: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-20751</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-252</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0</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-29</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-183984</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-63</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-3771</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-336</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-84196</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-428</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-1237</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-36</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-380</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-288932</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-493</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-5259</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-43</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-745</w:t>
            </w:r>
          </w:p>
        </w:tc>
      </w:tr>
      <w:tr w:rsidR="005D5162" w:rsidRPr="009456C6" w:rsidTr="001D7EFD">
        <w:tc>
          <w:tcPr>
            <w:tcW w:w="515" w:type="dxa"/>
            <w:vMerge/>
          </w:tcPr>
          <w:p w:rsidR="005D5162" w:rsidRPr="009456C6" w:rsidRDefault="005D5162" w:rsidP="00CE7EF9">
            <w:pPr>
              <w:rPr>
                <w:rFonts w:asciiTheme="majorHAnsi" w:hAnsiTheme="majorHAnsi" w:cstheme="majorHAnsi"/>
                <w:sz w:val="12"/>
                <w:szCs w:val="12"/>
              </w:rPr>
            </w:pPr>
          </w:p>
        </w:tc>
        <w:tc>
          <w:tcPr>
            <w:tcW w:w="55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592"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990"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579"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-6.2%</w:t>
            </w:r>
          </w:p>
        </w:tc>
        <w:tc>
          <w:tcPr>
            <w:tcW w:w="62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-11.2%</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-11.2%</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-11.2%</w:t>
            </w:r>
          </w:p>
        </w:tc>
        <w:tc>
          <w:tcPr>
            <w:tcW w:w="621"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-11.1%</w:t>
            </w:r>
          </w:p>
        </w:tc>
        <w:tc>
          <w:tcPr>
            <w:tcW w:w="627" w:type="dxa"/>
            <w:shd w:val="clear" w:color="000000" w:fill="C6E0B4"/>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-1.7%</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-1.6%</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-2.1%</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627"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-3.1%</w:t>
            </w:r>
          </w:p>
        </w:tc>
        <w:tc>
          <w:tcPr>
            <w:tcW w:w="59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-1.9%</w:t>
            </w:r>
          </w:p>
        </w:tc>
        <w:tc>
          <w:tcPr>
            <w:tcW w:w="990"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-4.2%</w:t>
            </w:r>
          </w:p>
        </w:tc>
        <w:tc>
          <w:tcPr>
            <w:tcW w:w="579"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-2.4%</w:t>
            </w:r>
          </w:p>
        </w:tc>
        <w:tc>
          <w:tcPr>
            <w:tcW w:w="552" w:type="dxa"/>
            <w:shd w:val="clear" w:color="auto" w:fill="C5E0B3" w:themeFill="accent6" w:themeFillTint="66"/>
            <w:vAlign w:val="bottom"/>
          </w:tcPr>
          <w:p w:rsidR="005D5162" w:rsidRPr="009456C6" w:rsidRDefault="005D5162" w:rsidP="00CE7EF9">
            <w:pPr>
              <w:jc w:val="right"/>
              <w:rPr>
                <w:rFonts w:asciiTheme="majorHAnsi" w:hAnsiTheme="majorHAnsi" w:cstheme="majorHAnsi"/>
                <w:sz w:val="12"/>
                <w:szCs w:val="12"/>
              </w:rPr>
            </w:pPr>
            <w:r w:rsidRPr="009456C6">
              <w:rPr>
                <w:rFonts w:asciiTheme="majorHAnsi" w:hAnsiTheme="majorHAnsi" w:cstheme="majorHAnsi"/>
                <w:color w:val="000000"/>
                <w:sz w:val="12"/>
                <w:szCs w:val="12"/>
              </w:rPr>
              <w:t>-3.0%</w:t>
            </w:r>
          </w:p>
        </w:tc>
      </w:tr>
    </w:tbl>
    <w:p w:rsidR="005D5162" w:rsidRPr="00954640" w:rsidRDefault="005D5162" w:rsidP="00DB6CD2">
      <w:pPr>
        <w:spacing w:before="240" w:after="0"/>
        <w:rPr>
          <w:rFonts w:ascii="Arial" w:hAnsi="Arial" w:cs="Arial"/>
          <w:sz w:val="20"/>
          <w:szCs w:val="20"/>
        </w:rPr>
      </w:pPr>
    </w:p>
    <w:p w:rsidR="005D5162" w:rsidRPr="00954640" w:rsidRDefault="005D5162" w:rsidP="003651BB">
      <w:pPr>
        <w:jc w:val="both"/>
        <w:rPr>
          <w:rFonts w:ascii="Arial" w:hAnsi="Arial" w:cs="Arial"/>
          <w:sz w:val="20"/>
          <w:szCs w:val="20"/>
        </w:rPr>
      </w:pPr>
      <w:r w:rsidRPr="00954640">
        <w:rPr>
          <w:rFonts w:ascii="Arial" w:hAnsi="Arial" w:cs="Arial"/>
          <w:sz w:val="20"/>
          <w:szCs w:val="20"/>
        </w:rPr>
        <w:br w:type="page"/>
      </w:r>
      <w:bookmarkStart w:id="30" w:name="_Hlk113444104"/>
      <w:r w:rsidRPr="00954640">
        <w:rPr>
          <w:rFonts w:ascii="Arial" w:hAnsi="Arial" w:cs="Arial"/>
          <w:b/>
          <w:bCs/>
          <w:sz w:val="20"/>
          <w:szCs w:val="20"/>
        </w:rPr>
        <w:lastRenderedPageBreak/>
        <w:t>Table S4.2</w:t>
      </w:r>
      <w:r w:rsidRPr="00954640">
        <w:rPr>
          <w:rFonts w:ascii="Arial" w:hAnsi="Arial" w:cs="Arial"/>
          <w:b/>
          <w:bCs/>
          <w:i/>
          <w:iCs/>
          <w:sz w:val="20"/>
          <w:szCs w:val="20"/>
        </w:rPr>
        <w:t xml:space="preserve"> </w:t>
      </w:r>
      <w:r w:rsidRPr="00954640">
        <w:rPr>
          <w:rFonts w:ascii="Arial" w:hAnsi="Arial" w:cs="Arial"/>
          <w:i/>
          <w:iCs/>
          <w:sz w:val="20"/>
          <w:szCs w:val="20"/>
        </w:rPr>
        <w:t>Sensitivity analysis of main results using a double-dose vaccine.</w:t>
      </w:r>
      <w:r w:rsidRPr="00954640">
        <w:rPr>
          <w:rFonts w:ascii="Arial" w:hAnsi="Arial" w:cs="Arial"/>
          <w:sz w:val="20"/>
          <w:szCs w:val="20"/>
        </w:rPr>
        <w:t xml:space="preserve"> Cumulative outcomes prevented by risk-specific prioritisation strategies. Outcomes prevented calculated relative to current adult vaccination program with a population coverage target of 51.6% and uniform eligibility. Red/green shading indicates the increase/reduction of an outcome.</w:t>
      </w:r>
    </w:p>
    <w:tbl>
      <w:tblPr>
        <w:tblStyle w:val="TableGrid"/>
        <w:tblW w:w="0" w:type="auto"/>
        <w:tblLook w:val="04A0" w:firstRow="1" w:lastRow="0" w:firstColumn="1" w:lastColumn="0" w:noHBand="0" w:noVBand="1"/>
      </w:tblPr>
      <w:tblGrid>
        <w:gridCol w:w="3539"/>
        <w:gridCol w:w="1701"/>
        <w:gridCol w:w="2268"/>
        <w:gridCol w:w="1701"/>
        <w:gridCol w:w="1559"/>
        <w:gridCol w:w="1560"/>
        <w:gridCol w:w="1620"/>
      </w:tblGrid>
      <w:tr w:rsidR="005D5162" w:rsidRPr="009456C6" w:rsidTr="004B717D">
        <w:tc>
          <w:tcPr>
            <w:tcW w:w="3539" w:type="dxa"/>
          </w:tcPr>
          <w:p w:rsidR="005D5162" w:rsidRPr="009456C6" w:rsidRDefault="005D5162" w:rsidP="004B717D">
            <w:pPr>
              <w:keepNext/>
              <w:rPr>
                <w:rFonts w:asciiTheme="majorHAnsi" w:hAnsiTheme="majorHAnsi" w:cstheme="majorHAnsi"/>
                <w:sz w:val="18"/>
                <w:szCs w:val="18"/>
              </w:rPr>
            </w:pPr>
          </w:p>
        </w:tc>
        <w:tc>
          <w:tcPr>
            <w:tcW w:w="1701"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w:t>
            </w:r>
          </w:p>
        </w:tc>
        <w:tc>
          <w:tcPr>
            <w:tcW w:w="2268"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 of severe disease</w:t>
            </w:r>
          </w:p>
        </w:tc>
        <w:tc>
          <w:tcPr>
            <w:tcW w:w="1701"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Hospitalisations</w:t>
            </w:r>
          </w:p>
        </w:tc>
        <w:tc>
          <w:tcPr>
            <w:tcW w:w="1559"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Deaths</w:t>
            </w:r>
          </w:p>
        </w:tc>
        <w:tc>
          <w:tcPr>
            <w:tcW w:w="1560"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YLL</w:t>
            </w:r>
          </w:p>
        </w:tc>
        <w:tc>
          <w:tcPr>
            <w:tcW w:w="1620"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Neonatal deaths</w:t>
            </w:r>
          </w:p>
        </w:tc>
      </w:tr>
      <w:tr w:rsidR="005D5162" w:rsidRPr="009456C6" w:rsidTr="004B717D">
        <w:tc>
          <w:tcPr>
            <w:tcW w:w="13948" w:type="dxa"/>
            <w:gridSpan w:val="7"/>
          </w:tcPr>
          <w:p w:rsidR="005D5162" w:rsidRPr="009456C6" w:rsidRDefault="005D5162" w:rsidP="004B717D">
            <w:pPr>
              <w:keepNext/>
              <w:spacing w:before="120"/>
              <w:rPr>
                <w:rFonts w:asciiTheme="majorHAnsi" w:hAnsiTheme="majorHAnsi" w:cstheme="majorHAnsi"/>
              </w:rPr>
            </w:pPr>
            <w:bookmarkStart w:id="31" w:name="_Hlk111816126"/>
            <w:r w:rsidRPr="009456C6">
              <w:rPr>
                <w:rFonts w:asciiTheme="majorHAnsi" w:hAnsiTheme="majorHAnsi" w:cstheme="majorHAnsi"/>
              </w:rPr>
              <w:t>Pregnant women</w:t>
            </w:r>
          </w:p>
        </w:tc>
      </w:tr>
      <w:tr w:rsidR="005D5162" w:rsidRPr="009456C6" w:rsidTr="004B717D">
        <w:tc>
          <w:tcPr>
            <w:tcW w:w="13948" w:type="dxa"/>
            <w:gridSpan w:val="7"/>
          </w:tcPr>
          <w:p w:rsidR="005D5162" w:rsidRPr="009456C6" w:rsidRDefault="005D5162" w:rsidP="004B717D">
            <w:pPr>
              <w:keepNext/>
              <w:rPr>
                <w:rFonts w:asciiTheme="majorHAnsi" w:hAnsiTheme="majorHAnsi" w:cstheme="majorHAnsi"/>
                <w:b/>
                <w:bCs/>
                <w:sz w:val="20"/>
                <w:szCs w:val="20"/>
              </w:rPr>
            </w:pPr>
            <w:r w:rsidRPr="009456C6">
              <w:rPr>
                <w:rFonts w:asciiTheme="majorHAnsi" w:hAnsiTheme="majorHAnsi" w:cstheme="majorHAnsi"/>
                <w:b/>
                <w:bCs/>
                <w:sz w:val="20"/>
                <w:szCs w:val="20"/>
              </w:rPr>
              <w:t>Prioritising within existing rollout capacity</w:t>
            </w:r>
          </w:p>
        </w:tc>
      </w:tr>
      <w:tr w:rsidR="005D5162" w:rsidRPr="009456C6" w:rsidTr="003B7254">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25%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-103 (0.0%)</w:t>
            </w:r>
          </w:p>
        </w:tc>
        <w:tc>
          <w:tcPr>
            <w:tcW w:w="2268"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 (0.0%)</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-69 (-0.1%)</w:t>
            </w:r>
          </w:p>
        </w:tc>
        <w:tc>
          <w:tcPr>
            <w:tcW w:w="1559"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 (0.1%)</w:t>
            </w:r>
          </w:p>
        </w:tc>
        <w:tc>
          <w:tcPr>
            <w:tcW w:w="1560"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19 (0.1%)</w:t>
            </w:r>
          </w:p>
        </w:tc>
        <w:tc>
          <w:tcPr>
            <w:tcW w:w="162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-89 (-2.7%)</w:t>
            </w:r>
          </w:p>
        </w:tc>
      </w:tr>
      <w:tr w:rsidR="005D5162" w:rsidRPr="009456C6" w:rsidTr="003B7254">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50%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87 (0.0%)</w:t>
            </w:r>
          </w:p>
        </w:tc>
        <w:tc>
          <w:tcPr>
            <w:tcW w:w="2268"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10 (0.0%)</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-69 (-0.1%)</w:t>
            </w:r>
          </w:p>
        </w:tc>
        <w:tc>
          <w:tcPr>
            <w:tcW w:w="1559"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 (0.1%)</w:t>
            </w:r>
          </w:p>
        </w:tc>
        <w:tc>
          <w:tcPr>
            <w:tcW w:w="1560"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21 (0.1%)</w:t>
            </w:r>
          </w:p>
        </w:tc>
        <w:tc>
          <w:tcPr>
            <w:tcW w:w="162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-96 (-2.9%)</w:t>
            </w:r>
          </w:p>
        </w:tc>
      </w:tr>
      <w:tr w:rsidR="005D5162" w:rsidRPr="009456C6" w:rsidTr="003B7254">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75%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156 (0.0%)</w:t>
            </w:r>
          </w:p>
        </w:tc>
        <w:tc>
          <w:tcPr>
            <w:tcW w:w="2268"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11 (0.0%)</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-70 (-0.1%)</w:t>
            </w:r>
          </w:p>
        </w:tc>
        <w:tc>
          <w:tcPr>
            <w:tcW w:w="1559"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 (0.2%)</w:t>
            </w:r>
          </w:p>
        </w:tc>
        <w:tc>
          <w:tcPr>
            <w:tcW w:w="1560"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22 (0.1%)</w:t>
            </w:r>
          </w:p>
        </w:tc>
        <w:tc>
          <w:tcPr>
            <w:tcW w:w="162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-98 (-2.9%)</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50% primary and booster provision</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-33,222 (-0.4%)</w:t>
            </w:r>
          </w:p>
        </w:tc>
        <w:tc>
          <w:tcPr>
            <w:tcW w:w="2268"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-246 (-1.0%)</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-2,141 (-1.7%)</w:t>
            </w:r>
          </w:p>
        </w:tc>
        <w:tc>
          <w:tcPr>
            <w:tcW w:w="1559" w:type="dxa"/>
            <w:shd w:val="clear" w:color="auto" w:fill="FBE4D5" w:themeFill="accent2"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 (0.3%)</w:t>
            </w:r>
          </w:p>
        </w:tc>
        <w:tc>
          <w:tcPr>
            <w:tcW w:w="1560"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-89 (-0.4%)</w:t>
            </w:r>
          </w:p>
        </w:tc>
        <w:tc>
          <w:tcPr>
            <w:tcW w:w="1620" w:type="dxa"/>
            <w:shd w:val="clear" w:color="auto" w:fill="8FC26C"/>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-1,285 (-38.4%)</w:t>
            </w:r>
          </w:p>
        </w:tc>
      </w:tr>
      <w:tr w:rsidR="005D5162" w:rsidRPr="009456C6" w:rsidTr="004B717D">
        <w:tc>
          <w:tcPr>
            <w:tcW w:w="13948" w:type="dxa"/>
            <w:gridSpan w:val="7"/>
          </w:tcPr>
          <w:p w:rsidR="005D5162" w:rsidRPr="009456C6" w:rsidRDefault="005D5162" w:rsidP="004B717D">
            <w:pPr>
              <w:keepNext/>
              <w:spacing w:before="120"/>
              <w:rPr>
                <w:rFonts w:asciiTheme="majorHAnsi" w:hAnsiTheme="majorHAnsi" w:cstheme="majorHAnsi"/>
                <w:b/>
                <w:bCs/>
                <w:sz w:val="20"/>
                <w:szCs w:val="20"/>
              </w:rPr>
            </w:pPr>
            <w:r w:rsidRPr="009456C6">
              <w:rPr>
                <w:rFonts w:asciiTheme="majorHAnsi" w:hAnsiTheme="majorHAnsi" w:cstheme="majorHAnsi"/>
                <w:b/>
                <w:bCs/>
                <w:sz w:val="20"/>
                <w:szCs w:val="20"/>
              </w:rPr>
              <w:t>Additional rollout capacity (antenatal visits)</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Additional primary doses</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712 (0.0%)</w:t>
            </w:r>
          </w:p>
        </w:tc>
        <w:tc>
          <w:tcPr>
            <w:tcW w:w="2268"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-69 (-0.3%)</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-302 (-0.2%)</w:t>
            </w:r>
          </w:p>
        </w:tc>
        <w:tc>
          <w:tcPr>
            <w:tcW w:w="1559"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 (-0.2%)</w:t>
            </w:r>
          </w:p>
        </w:tc>
        <w:tc>
          <w:tcPr>
            <w:tcW w:w="1560"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-45 (-0.2%)</w:t>
            </w:r>
          </w:p>
        </w:tc>
        <w:tc>
          <w:tcPr>
            <w:tcW w:w="162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-94 (-2.8%)</w:t>
            </w:r>
          </w:p>
        </w:tc>
      </w:tr>
      <w:tr w:rsidR="005D5162" w:rsidRPr="009456C6" w:rsidTr="00593241">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Additional primary and booster doses</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-17,356 (-0.2%)</w:t>
            </w:r>
          </w:p>
        </w:tc>
        <w:tc>
          <w:tcPr>
            <w:tcW w:w="2268"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-472 (-1.8%)</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-2,767 (-2.2%)</w:t>
            </w:r>
          </w:p>
        </w:tc>
        <w:tc>
          <w:tcPr>
            <w:tcW w:w="1559"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-11 (-0.6%)</w:t>
            </w:r>
          </w:p>
        </w:tc>
        <w:tc>
          <w:tcPr>
            <w:tcW w:w="156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-270 (-1.1%)</w:t>
            </w:r>
          </w:p>
        </w:tc>
        <w:tc>
          <w:tcPr>
            <w:tcW w:w="1620" w:type="dxa"/>
            <w:shd w:val="clear" w:color="auto" w:fill="8FC26C"/>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-1,299 (-38.8%)</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Expanding eligibility to high-risk children</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-4,091 (0.0%)</w:t>
            </w:r>
          </w:p>
        </w:tc>
        <w:tc>
          <w:tcPr>
            <w:tcW w:w="2268"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-81 (-0.3%)</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-759 (-0.6%)</w:t>
            </w:r>
          </w:p>
        </w:tc>
        <w:tc>
          <w:tcPr>
            <w:tcW w:w="1559"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 (-0.2%)</w:t>
            </w:r>
          </w:p>
        </w:tc>
        <w:tc>
          <w:tcPr>
            <w:tcW w:w="1560"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-80 (-0.3%)</w:t>
            </w:r>
          </w:p>
        </w:tc>
        <w:tc>
          <w:tcPr>
            <w:tcW w:w="1620"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-350 (-10.4%)</w:t>
            </w:r>
          </w:p>
        </w:tc>
      </w:tr>
      <w:bookmarkEnd w:id="31"/>
      <w:tr w:rsidR="005D5162" w:rsidRPr="009456C6" w:rsidTr="004B717D">
        <w:tc>
          <w:tcPr>
            <w:tcW w:w="13948" w:type="dxa"/>
            <w:gridSpan w:val="7"/>
          </w:tcPr>
          <w:p w:rsidR="005D5162" w:rsidRPr="009456C6" w:rsidRDefault="005D5162" w:rsidP="004B717D">
            <w:pPr>
              <w:keepNext/>
              <w:spacing w:before="240"/>
              <w:rPr>
                <w:rFonts w:asciiTheme="majorHAnsi" w:hAnsiTheme="majorHAnsi" w:cstheme="majorHAnsi"/>
              </w:rPr>
            </w:pPr>
            <w:r w:rsidRPr="009456C6">
              <w:rPr>
                <w:rFonts w:asciiTheme="majorHAnsi" w:hAnsiTheme="majorHAnsi" w:cstheme="majorHAnsi"/>
              </w:rPr>
              <w:t>Adults with comorbidities</w:t>
            </w:r>
          </w:p>
        </w:tc>
      </w:tr>
      <w:tr w:rsidR="005D5162" w:rsidRPr="009456C6" w:rsidTr="004B717D">
        <w:tc>
          <w:tcPr>
            <w:tcW w:w="13948" w:type="dxa"/>
            <w:gridSpan w:val="7"/>
          </w:tcPr>
          <w:p w:rsidR="005D5162" w:rsidRPr="009456C6" w:rsidRDefault="005D5162" w:rsidP="004B717D">
            <w:pPr>
              <w:keepNext/>
              <w:rPr>
                <w:rFonts w:asciiTheme="majorHAnsi" w:hAnsiTheme="majorHAnsi" w:cstheme="majorHAnsi"/>
                <w:b/>
                <w:bCs/>
                <w:sz w:val="20"/>
                <w:szCs w:val="20"/>
              </w:rPr>
            </w:pPr>
            <w:r w:rsidRPr="009456C6">
              <w:rPr>
                <w:rFonts w:asciiTheme="majorHAnsi" w:hAnsiTheme="majorHAnsi" w:cstheme="majorHAnsi"/>
                <w:b/>
                <w:bCs/>
                <w:sz w:val="20"/>
                <w:szCs w:val="20"/>
              </w:rPr>
              <w:t>Prioritising within existing rollout capacity</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25%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-1,090 (0.0%)</w:t>
            </w:r>
          </w:p>
        </w:tc>
        <w:tc>
          <w:tcPr>
            <w:tcW w:w="2268"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-179 (-0.7%)</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-313 (-0.3%)</w:t>
            </w:r>
          </w:p>
        </w:tc>
        <w:tc>
          <w:tcPr>
            <w:tcW w:w="1559"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-21 (-1.2%)</w:t>
            </w:r>
          </w:p>
        </w:tc>
        <w:tc>
          <w:tcPr>
            <w:tcW w:w="1560"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-190 (-0.8%)</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50%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-186 (0.0%)</w:t>
            </w:r>
          </w:p>
        </w:tc>
        <w:tc>
          <w:tcPr>
            <w:tcW w:w="2268"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-402 (-1.6%)</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-744 (-0.6%)</w:t>
            </w:r>
          </w:p>
        </w:tc>
        <w:tc>
          <w:tcPr>
            <w:tcW w:w="1559"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-46 (-2.5%)</w:t>
            </w:r>
          </w:p>
        </w:tc>
        <w:tc>
          <w:tcPr>
            <w:tcW w:w="1560"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-418 (-1.7%)</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75% primary dose only</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166 (0.0%)</w:t>
            </w:r>
          </w:p>
        </w:tc>
        <w:tc>
          <w:tcPr>
            <w:tcW w:w="2268"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-426 (-1.7%)</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-784 (-0.6%)</w:t>
            </w:r>
          </w:p>
        </w:tc>
        <w:tc>
          <w:tcPr>
            <w:tcW w:w="1559"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-48 (-2.7%)</w:t>
            </w:r>
          </w:p>
        </w:tc>
        <w:tc>
          <w:tcPr>
            <w:tcW w:w="1560"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-443 (-1.8%)</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7D338C">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50% primary and booster provision</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-94,101 (-1.0%)</w:t>
            </w:r>
          </w:p>
        </w:tc>
        <w:tc>
          <w:tcPr>
            <w:tcW w:w="2268"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-5,211 (-20.4%)</w:t>
            </w:r>
          </w:p>
        </w:tc>
        <w:tc>
          <w:tcPr>
            <w:tcW w:w="1701"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-11,078 (-8.8%)</w:t>
            </w:r>
          </w:p>
        </w:tc>
        <w:tc>
          <w:tcPr>
            <w:tcW w:w="1559"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-663 (-36.6%)</w:t>
            </w:r>
          </w:p>
        </w:tc>
        <w:tc>
          <w:tcPr>
            <w:tcW w:w="1560"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-6,326 (-25.2%)</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4B717D">
        <w:tc>
          <w:tcPr>
            <w:tcW w:w="13948" w:type="dxa"/>
            <w:gridSpan w:val="7"/>
          </w:tcPr>
          <w:p w:rsidR="005D5162" w:rsidRPr="009456C6" w:rsidRDefault="005D5162" w:rsidP="004B717D">
            <w:pPr>
              <w:keepNext/>
              <w:spacing w:before="120"/>
              <w:rPr>
                <w:rFonts w:asciiTheme="majorHAnsi" w:hAnsiTheme="majorHAnsi" w:cstheme="majorHAnsi"/>
                <w:b/>
                <w:bCs/>
                <w:sz w:val="20"/>
                <w:szCs w:val="20"/>
              </w:rPr>
            </w:pPr>
            <w:r w:rsidRPr="009456C6">
              <w:rPr>
                <w:rFonts w:asciiTheme="majorHAnsi" w:hAnsiTheme="majorHAnsi" w:cstheme="majorHAnsi"/>
                <w:b/>
                <w:bCs/>
                <w:sz w:val="20"/>
                <w:szCs w:val="20"/>
              </w:rPr>
              <w:t>Additional rollout capacity</w:t>
            </w:r>
          </w:p>
        </w:tc>
      </w:tr>
      <w:tr w:rsidR="005D5162" w:rsidRPr="009456C6" w:rsidTr="00B1662B">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Additional primary doses</w:t>
            </w:r>
          </w:p>
        </w:tc>
        <w:tc>
          <w:tcPr>
            <w:tcW w:w="1701" w:type="dxa"/>
            <w:shd w:val="clear" w:color="auto" w:fill="F2F2F2" w:themeFill="background1" w:themeFillShade="F2"/>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-487 (0.0%)</w:t>
            </w:r>
          </w:p>
        </w:tc>
        <w:tc>
          <w:tcPr>
            <w:tcW w:w="2268"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-521 (-2.0%)</w:t>
            </w:r>
          </w:p>
        </w:tc>
        <w:tc>
          <w:tcPr>
            <w:tcW w:w="1701"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-1,209 (-1.0%)</w:t>
            </w:r>
          </w:p>
        </w:tc>
        <w:tc>
          <w:tcPr>
            <w:tcW w:w="1559"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-51 (-2.8%)</w:t>
            </w:r>
          </w:p>
        </w:tc>
        <w:tc>
          <w:tcPr>
            <w:tcW w:w="1560" w:type="dxa"/>
            <w:shd w:val="clear" w:color="auto" w:fill="C5E0B3" w:themeFill="accent6" w:themeFillTint="66"/>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-500 (-2.0%)</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7D338C">
        <w:tc>
          <w:tcPr>
            <w:tcW w:w="3539" w:type="dxa"/>
          </w:tcPr>
          <w:p w:rsidR="005D5162" w:rsidRPr="009456C6" w:rsidRDefault="005D5162" w:rsidP="00B1662B">
            <w:pPr>
              <w:keepNext/>
              <w:rPr>
                <w:rFonts w:asciiTheme="majorHAnsi" w:hAnsiTheme="majorHAnsi" w:cstheme="majorHAnsi"/>
                <w:sz w:val="20"/>
                <w:szCs w:val="20"/>
              </w:rPr>
            </w:pPr>
            <w:r w:rsidRPr="009456C6">
              <w:rPr>
                <w:rFonts w:asciiTheme="majorHAnsi" w:hAnsiTheme="majorHAnsi" w:cstheme="majorHAnsi"/>
                <w:sz w:val="20"/>
                <w:szCs w:val="20"/>
              </w:rPr>
              <w:t>Additional primary and booster doses</w:t>
            </w:r>
          </w:p>
        </w:tc>
        <w:tc>
          <w:tcPr>
            <w:tcW w:w="1701" w:type="dxa"/>
            <w:shd w:val="clear" w:color="auto" w:fill="E2EFD9" w:themeFill="accent6" w:themeFillTint="33"/>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-48,797 (-0.5%)</w:t>
            </w:r>
          </w:p>
        </w:tc>
        <w:tc>
          <w:tcPr>
            <w:tcW w:w="2268"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-6,525 (-25.5%)</w:t>
            </w:r>
          </w:p>
        </w:tc>
        <w:tc>
          <w:tcPr>
            <w:tcW w:w="1701" w:type="dxa"/>
            <w:shd w:val="clear" w:color="auto" w:fill="A8D08D" w:themeFill="accent6" w:themeFillTint="99"/>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-13,988 (-11.2%)</w:t>
            </w:r>
          </w:p>
        </w:tc>
        <w:tc>
          <w:tcPr>
            <w:tcW w:w="1559"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-811 (-44.8%)</w:t>
            </w:r>
          </w:p>
        </w:tc>
        <w:tc>
          <w:tcPr>
            <w:tcW w:w="1560" w:type="dxa"/>
            <w:shd w:val="clear" w:color="auto" w:fill="8FC26C"/>
            <w:vAlign w:val="bottom"/>
          </w:tcPr>
          <w:p w:rsidR="005D5162" w:rsidRPr="009456C6" w:rsidRDefault="005D5162" w:rsidP="00B1662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-7,779 (-31%)</w:t>
            </w:r>
          </w:p>
        </w:tc>
        <w:tc>
          <w:tcPr>
            <w:tcW w:w="1620" w:type="dxa"/>
            <w:shd w:val="clear" w:color="auto" w:fill="F2F2F2" w:themeFill="background1" w:themeFillShade="F2"/>
          </w:tcPr>
          <w:p w:rsidR="005D5162" w:rsidRPr="009456C6" w:rsidRDefault="005D5162" w:rsidP="00B1662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bl>
    <w:p w:rsidR="005D5162" w:rsidRPr="00954640" w:rsidRDefault="005D5162" w:rsidP="00DB6CD2">
      <w:pPr>
        <w:rPr>
          <w:rFonts w:ascii="Arial" w:hAnsi="Arial" w:cs="Arial"/>
          <w:sz w:val="20"/>
          <w:szCs w:val="20"/>
        </w:rPr>
      </w:pPr>
    </w:p>
    <w:bookmarkEnd w:id="30"/>
    <w:p w:rsidR="005D5162" w:rsidRPr="00954640" w:rsidRDefault="005D5162" w:rsidP="00471F02">
      <w:pPr>
        <w:rPr>
          <w:rFonts w:ascii="Arial" w:hAnsi="Arial" w:cs="Arial"/>
        </w:rPr>
      </w:pPr>
    </w:p>
    <w:p w:rsidR="005D5162" w:rsidRPr="00954640" w:rsidRDefault="005D5162">
      <w:pPr>
        <w:rPr>
          <w:rFonts w:ascii="Arial" w:eastAsiaTheme="majorEastAsia" w:hAnsi="Arial" w:cs="Arial"/>
          <w:color w:val="2E74B5" w:themeColor="accent1" w:themeShade="BF"/>
          <w:sz w:val="26"/>
          <w:szCs w:val="26"/>
        </w:rPr>
      </w:pPr>
      <w:r w:rsidRPr="00954640">
        <w:rPr>
          <w:rFonts w:ascii="Arial" w:hAnsi="Arial" w:cs="Arial"/>
        </w:rPr>
        <w:br w:type="page"/>
      </w:r>
    </w:p>
    <w:p w:rsidR="005D5162" w:rsidRPr="00954640" w:rsidRDefault="005D5162" w:rsidP="00924C70">
      <w:pPr>
        <w:pStyle w:val="Heading2"/>
        <w:rPr>
          <w:rFonts w:ascii="Arial" w:hAnsi="Arial" w:cs="Arial"/>
          <w:b/>
          <w:color w:val="000000" w:themeColor="text1"/>
        </w:rPr>
      </w:pPr>
      <w:bookmarkStart w:id="32" w:name="_Toc117859600"/>
      <w:r w:rsidRPr="00954640">
        <w:rPr>
          <w:rFonts w:ascii="Arial" w:hAnsi="Arial" w:cs="Arial"/>
          <w:b/>
          <w:color w:val="000000" w:themeColor="text1"/>
        </w:rPr>
        <w:lastRenderedPageBreak/>
        <w:t>S4.3 Prioritisation of a larger number of doses</w:t>
      </w:r>
      <w:bookmarkEnd w:id="32"/>
      <w:r w:rsidRPr="00954640">
        <w:rPr>
          <w:rFonts w:ascii="Arial" w:hAnsi="Arial" w:cs="Arial"/>
          <w:b/>
          <w:color w:val="000000" w:themeColor="text1"/>
        </w:rPr>
        <w:t xml:space="preserve"> </w:t>
      </w:r>
    </w:p>
    <w:p w:rsidR="005D5162" w:rsidRPr="00954640" w:rsidRDefault="005D5162" w:rsidP="00924C70">
      <w:pPr>
        <w:spacing w:after="0"/>
        <w:jc w:val="both"/>
        <w:rPr>
          <w:rFonts w:ascii="Arial" w:hAnsi="Arial" w:cs="Arial"/>
        </w:rPr>
      </w:pPr>
      <w:r w:rsidRPr="00954640">
        <w:rPr>
          <w:rFonts w:ascii="Arial" w:hAnsi="Arial" w:cs="Arial"/>
        </w:rPr>
        <w:t>The main paper presents analysis for the prioritisation of doses from October 2022 onwards, with 1,381,537 doses (17.5% of the population) left to allocate. Here, we present additional analysis to quantify the benefit of prioritising high-risk groups for primary doses from the start of 2022, as proposed by the Government of Sierra Leone in their original COVAX plan</w:t>
      </w:r>
      <w:r>
        <w:rPr>
          <w:rFonts w:ascii="Arial" w:hAnsi="Arial" w:cs="Arial"/>
        </w:rPr>
        <w:t xml:space="preserve"> </w:t>
      </w:r>
      <w:r>
        <w:rPr>
          <w:rFonts w:ascii="Arial" w:hAnsi="Arial" w:cs="Arial"/>
          <w:noProof/>
        </w:rPr>
        <w:t>[43]</w:t>
      </w:r>
      <w:r>
        <w:rPr>
          <w:rFonts w:ascii="Arial" w:hAnsi="Arial" w:cs="Arial"/>
        </w:rPr>
        <w:t>.</w:t>
      </w:r>
      <w:r w:rsidRPr="00954640">
        <w:rPr>
          <w:rFonts w:ascii="Arial" w:hAnsi="Arial" w:cs="Arial"/>
        </w:rPr>
        <w:t xml:space="preserve"> We also present analysis of the prioritisation of high-risk groups for hypothetical booster doses in 2023. This additional analysis assumed that a booster dose would be eligible to all adults aged over 18 who have received their primary schedule. </w:t>
      </w:r>
    </w:p>
    <w:p w:rsidR="005D5162" w:rsidRPr="00954640" w:rsidRDefault="005D5162" w:rsidP="00B50A67">
      <w:pPr>
        <w:spacing w:after="0"/>
        <w:rPr>
          <w:rFonts w:ascii="Arial" w:hAnsi="Arial" w:cs="Arial"/>
          <w:b/>
          <w:bCs/>
          <w:sz w:val="20"/>
          <w:szCs w:val="20"/>
        </w:rPr>
      </w:pPr>
    </w:p>
    <w:p w:rsidR="005D5162" w:rsidRPr="00954640" w:rsidRDefault="005D5162" w:rsidP="003651BB">
      <w:pPr>
        <w:jc w:val="both"/>
        <w:rPr>
          <w:rFonts w:ascii="Arial" w:hAnsi="Arial" w:cs="Arial"/>
          <w:sz w:val="20"/>
          <w:szCs w:val="20"/>
        </w:rPr>
      </w:pPr>
      <w:r w:rsidRPr="00954640">
        <w:rPr>
          <w:rFonts w:ascii="Arial" w:hAnsi="Arial" w:cs="Arial"/>
          <w:b/>
          <w:bCs/>
          <w:sz w:val="20"/>
          <w:szCs w:val="20"/>
        </w:rPr>
        <w:t>Table S4.3</w:t>
      </w:r>
      <w:r w:rsidRPr="00954640">
        <w:rPr>
          <w:rFonts w:ascii="Arial" w:hAnsi="Arial" w:cs="Arial"/>
          <w:b/>
          <w:bCs/>
          <w:i/>
          <w:iCs/>
          <w:sz w:val="20"/>
          <w:szCs w:val="20"/>
        </w:rPr>
        <w:t xml:space="preserve"> </w:t>
      </w:r>
      <w:r w:rsidRPr="00954640">
        <w:rPr>
          <w:rFonts w:ascii="Arial" w:hAnsi="Arial" w:cs="Arial"/>
          <w:i/>
          <w:iCs/>
          <w:sz w:val="20"/>
          <w:szCs w:val="20"/>
        </w:rPr>
        <w:t>Sensitivity analysis for the prioritisation of high-risk groups for primary doses in 2022, or booster doses in 2023.</w:t>
      </w:r>
      <w:r w:rsidRPr="00954640">
        <w:rPr>
          <w:rFonts w:ascii="Arial" w:hAnsi="Arial" w:cs="Arial"/>
          <w:sz w:val="20"/>
          <w:szCs w:val="20"/>
        </w:rPr>
        <w:t xml:space="preserve"> Cumulative outcomes prevented by risk-specific prioritisation strategies. Outcomes prevented calculated relative to current adult vaccination program with a population coverage target of 51.6% and uniform eligibility. Red/green shading indicates the increase/reduction of an outcome.</w:t>
      </w:r>
    </w:p>
    <w:tbl>
      <w:tblPr>
        <w:tblStyle w:val="TableGrid"/>
        <w:tblW w:w="0" w:type="auto"/>
        <w:tblLook w:val="04A0" w:firstRow="1" w:lastRow="0" w:firstColumn="1" w:lastColumn="0" w:noHBand="0" w:noVBand="1"/>
      </w:tblPr>
      <w:tblGrid>
        <w:gridCol w:w="3539"/>
        <w:gridCol w:w="1701"/>
        <w:gridCol w:w="2268"/>
        <w:gridCol w:w="1701"/>
        <w:gridCol w:w="1559"/>
        <w:gridCol w:w="1560"/>
        <w:gridCol w:w="1620"/>
      </w:tblGrid>
      <w:tr w:rsidR="005D5162" w:rsidRPr="009456C6" w:rsidTr="004B717D">
        <w:tc>
          <w:tcPr>
            <w:tcW w:w="3539" w:type="dxa"/>
          </w:tcPr>
          <w:p w:rsidR="005D5162" w:rsidRPr="009456C6" w:rsidRDefault="005D5162" w:rsidP="004B717D">
            <w:pPr>
              <w:keepNext/>
              <w:rPr>
                <w:rFonts w:asciiTheme="majorHAnsi" w:hAnsiTheme="majorHAnsi" w:cstheme="majorHAnsi"/>
                <w:sz w:val="18"/>
                <w:szCs w:val="18"/>
              </w:rPr>
            </w:pPr>
          </w:p>
        </w:tc>
        <w:tc>
          <w:tcPr>
            <w:tcW w:w="1701"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w:t>
            </w:r>
          </w:p>
        </w:tc>
        <w:tc>
          <w:tcPr>
            <w:tcW w:w="2268"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 of severe disease</w:t>
            </w:r>
          </w:p>
        </w:tc>
        <w:tc>
          <w:tcPr>
            <w:tcW w:w="1701"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Hospitalisations</w:t>
            </w:r>
          </w:p>
        </w:tc>
        <w:tc>
          <w:tcPr>
            <w:tcW w:w="1559"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Deaths</w:t>
            </w:r>
          </w:p>
        </w:tc>
        <w:tc>
          <w:tcPr>
            <w:tcW w:w="1560"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YLL</w:t>
            </w:r>
          </w:p>
        </w:tc>
        <w:tc>
          <w:tcPr>
            <w:tcW w:w="1620"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Neonatal deaths</w:t>
            </w:r>
          </w:p>
        </w:tc>
      </w:tr>
      <w:tr w:rsidR="005D5162" w:rsidRPr="009456C6" w:rsidTr="004B717D">
        <w:tc>
          <w:tcPr>
            <w:tcW w:w="13948" w:type="dxa"/>
            <w:gridSpan w:val="7"/>
          </w:tcPr>
          <w:p w:rsidR="005D5162" w:rsidRPr="009456C6" w:rsidRDefault="005D5162" w:rsidP="004B717D">
            <w:pPr>
              <w:keepNext/>
              <w:spacing w:before="120"/>
              <w:rPr>
                <w:rFonts w:asciiTheme="majorHAnsi" w:hAnsiTheme="majorHAnsi" w:cstheme="majorHAnsi"/>
              </w:rPr>
            </w:pPr>
            <w:r w:rsidRPr="009456C6">
              <w:rPr>
                <w:rFonts w:asciiTheme="majorHAnsi" w:hAnsiTheme="majorHAnsi" w:cstheme="majorHAnsi"/>
              </w:rPr>
              <w:t>Pregnant women</w:t>
            </w:r>
          </w:p>
        </w:tc>
      </w:tr>
      <w:tr w:rsidR="005D5162" w:rsidRPr="009456C6" w:rsidTr="004B717D">
        <w:tc>
          <w:tcPr>
            <w:tcW w:w="13948" w:type="dxa"/>
            <w:gridSpan w:val="7"/>
          </w:tcPr>
          <w:p w:rsidR="005D5162" w:rsidRPr="009456C6" w:rsidRDefault="005D5162" w:rsidP="004B717D">
            <w:pPr>
              <w:keepNext/>
              <w:rPr>
                <w:rFonts w:asciiTheme="majorHAnsi" w:hAnsiTheme="majorHAnsi" w:cstheme="majorHAnsi"/>
                <w:b/>
                <w:bCs/>
                <w:sz w:val="20"/>
                <w:szCs w:val="20"/>
              </w:rPr>
            </w:pPr>
            <w:r w:rsidRPr="009456C6">
              <w:rPr>
                <w:rFonts w:asciiTheme="majorHAnsi" w:hAnsiTheme="majorHAnsi" w:cstheme="majorHAnsi"/>
                <w:b/>
                <w:bCs/>
                <w:sz w:val="20"/>
                <w:szCs w:val="20"/>
              </w:rPr>
              <w:t>Prioritising primary doses in 2022</w:t>
            </w:r>
          </w:p>
        </w:tc>
      </w:tr>
      <w:tr w:rsidR="005D5162" w:rsidRPr="009456C6" w:rsidTr="00735463">
        <w:tc>
          <w:tcPr>
            <w:tcW w:w="3539" w:type="dxa"/>
          </w:tcPr>
          <w:p w:rsidR="005D5162" w:rsidRPr="009456C6" w:rsidRDefault="005D5162" w:rsidP="00735463">
            <w:pPr>
              <w:keepNext/>
              <w:rPr>
                <w:rFonts w:asciiTheme="majorHAnsi" w:hAnsiTheme="majorHAnsi" w:cstheme="majorHAnsi"/>
                <w:sz w:val="20"/>
                <w:szCs w:val="20"/>
              </w:rPr>
            </w:pPr>
            <w:r w:rsidRPr="009456C6">
              <w:rPr>
                <w:rFonts w:asciiTheme="majorHAnsi" w:hAnsiTheme="majorHAnsi" w:cstheme="majorHAnsi"/>
                <w:sz w:val="20"/>
                <w:szCs w:val="20"/>
              </w:rPr>
              <w:t>25% rollout capacity</w:t>
            </w:r>
          </w:p>
        </w:tc>
        <w:tc>
          <w:tcPr>
            <w:tcW w:w="1701" w:type="dxa"/>
            <w:shd w:val="clear" w:color="auto" w:fill="F2F2F2" w:themeFill="background1" w:themeFillShade="F2"/>
            <w:vAlign w:val="bottom"/>
          </w:tcPr>
          <w:p w:rsidR="005D5162" w:rsidRPr="009456C6" w:rsidRDefault="005D5162" w:rsidP="00735463">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162 (0.0%)</w:t>
            </w:r>
          </w:p>
        </w:tc>
        <w:tc>
          <w:tcPr>
            <w:tcW w:w="2268"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27 (0.1%)</w:t>
            </w:r>
          </w:p>
        </w:tc>
        <w:tc>
          <w:tcPr>
            <w:tcW w:w="1701" w:type="dxa"/>
            <w:shd w:val="clear" w:color="auto" w:fill="F2F2F2" w:themeFill="background1" w:themeFillShade="F2"/>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-59 (0.0%)</w:t>
            </w:r>
          </w:p>
        </w:tc>
        <w:tc>
          <w:tcPr>
            <w:tcW w:w="1559"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5 (0.2%)</w:t>
            </w:r>
          </w:p>
        </w:tc>
        <w:tc>
          <w:tcPr>
            <w:tcW w:w="1560"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38 (0.1%)</w:t>
            </w:r>
          </w:p>
        </w:tc>
        <w:tc>
          <w:tcPr>
            <w:tcW w:w="1620" w:type="dxa"/>
            <w:shd w:val="clear" w:color="auto" w:fill="C5E0B3" w:themeFill="accent6" w:themeFillTint="66"/>
            <w:vAlign w:val="bottom"/>
          </w:tcPr>
          <w:p w:rsidR="005D5162" w:rsidRPr="009456C6" w:rsidRDefault="005D5162" w:rsidP="00735463">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-115 (-3.2%)</w:t>
            </w:r>
          </w:p>
        </w:tc>
      </w:tr>
      <w:tr w:rsidR="005D5162" w:rsidRPr="009456C6" w:rsidTr="00735463">
        <w:tc>
          <w:tcPr>
            <w:tcW w:w="3539" w:type="dxa"/>
          </w:tcPr>
          <w:p w:rsidR="005D5162" w:rsidRPr="009456C6" w:rsidRDefault="005D5162" w:rsidP="00735463">
            <w:pPr>
              <w:keepNext/>
              <w:rPr>
                <w:rFonts w:asciiTheme="majorHAnsi" w:hAnsiTheme="majorHAnsi" w:cstheme="majorHAnsi"/>
                <w:sz w:val="20"/>
                <w:szCs w:val="20"/>
              </w:rPr>
            </w:pPr>
            <w:r w:rsidRPr="009456C6">
              <w:rPr>
                <w:rFonts w:asciiTheme="majorHAnsi" w:hAnsiTheme="majorHAnsi" w:cstheme="majorHAnsi"/>
                <w:sz w:val="20"/>
                <w:szCs w:val="20"/>
              </w:rPr>
              <w:t>50% rollout capacity</w:t>
            </w:r>
          </w:p>
        </w:tc>
        <w:tc>
          <w:tcPr>
            <w:tcW w:w="1701" w:type="dxa"/>
            <w:shd w:val="clear" w:color="auto" w:fill="F2F2F2" w:themeFill="background1" w:themeFillShade="F2"/>
            <w:vAlign w:val="bottom"/>
          </w:tcPr>
          <w:p w:rsidR="005D5162" w:rsidRPr="009456C6" w:rsidRDefault="005D5162" w:rsidP="00735463">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2,775 (0.0%)</w:t>
            </w:r>
          </w:p>
        </w:tc>
        <w:tc>
          <w:tcPr>
            <w:tcW w:w="2268"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51 (0.2%)</w:t>
            </w:r>
          </w:p>
        </w:tc>
        <w:tc>
          <w:tcPr>
            <w:tcW w:w="1701" w:type="dxa"/>
            <w:shd w:val="clear" w:color="auto" w:fill="F2F2F2" w:themeFill="background1" w:themeFillShade="F2"/>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-41 (0.0%)</w:t>
            </w:r>
          </w:p>
        </w:tc>
        <w:tc>
          <w:tcPr>
            <w:tcW w:w="1559"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8 (0.4%)</w:t>
            </w:r>
          </w:p>
        </w:tc>
        <w:tc>
          <w:tcPr>
            <w:tcW w:w="1560"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66 (0.2%)</w:t>
            </w:r>
          </w:p>
        </w:tc>
        <w:tc>
          <w:tcPr>
            <w:tcW w:w="1620" w:type="dxa"/>
            <w:shd w:val="clear" w:color="auto" w:fill="C5E0B3" w:themeFill="accent6" w:themeFillTint="66"/>
            <w:vAlign w:val="bottom"/>
          </w:tcPr>
          <w:p w:rsidR="005D5162" w:rsidRPr="009456C6" w:rsidRDefault="005D5162" w:rsidP="00735463">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-161 (-4.5%)</w:t>
            </w:r>
          </w:p>
        </w:tc>
      </w:tr>
      <w:tr w:rsidR="005D5162" w:rsidRPr="009456C6" w:rsidTr="00735463">
        <w:tc>
          <w:tcPr>
            <w:tcW w:w="3539" w:type="dxa"/>
          </w:tcPr>
          <w:p w:rsidR="005D5162" w:rsidRPr="009456C6" w:rsidRDefault="005D5162" w:rsidP="00735463">
            <w:pPr>
              <w:keepNext/>
              <w:rPr>
                <w:rFonts w:asciiTheme="majorHAnsi" w:hAnsiTheme="majorHAnsi" w:cstheme="majorHAnsi"/>
                <w:sz w:val="20"/>
                <w:szCs w:val="20"/>
              </w:rPr>
            </w:pPr>
            <w:r w:rsidRPr="009456C6">
              <w:rPr>
                <w:rFonts w:asciiTheme="majorHAnsi" w:hAnsiTheme="majorHAnsi" w:cstheme="majorHAnsi"/>
                <w:sz w:val="20"/>
                <w:szCs w:val="20"/>
              </w:rPr>
              <w:t>75% rollout capacity</w:t>
            </w:r>
          </w:p>
        </w:tc>
        <w:tc>
          <w:tcPr>
            <w:tcW w:w="1701"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5,161 (0.1%)</w:t>
            </w:r>
          </w:p>
        </w:tc>
        <w:tc>
          <w:tcPr>
            <w:tcW w:w="2268"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67 (0.2%)</w:t>
            </w:r>
          </w:p>
        </w:tc>
        <w:tc>
          <w:tcPr>
            <w:tcW w:w="1701" w:type="dxa"/>
            <w:shd w:val="clear" w:color="auto" w:fill="F2F2F2" w:themeFill="background1" w:themeFillShade="F2"/>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-22 (0.0%)</w:t>
            </w:r>
          </w:p>
        </w:tc>
        <w:tc>
          <w:tcPr>
            <w:tcW w:w="1559"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10 (0.5%)</w:t>
            </w:r>
          </w:p>
        </w:tc>
        <w:tc>
          <w:tcPr>
            <w:tcW w:w="1560" w:type="dxa"/>
            <w:shd w:val="clear" w:color="auto" w:fill="FBE4D5" w:themeFill="accent2" w:themeFillTint="33"/>
            <w:vAlign w:val="bottom"/>
          </w:tcPr>
          <w:p w:rsidR="005D5162" w:rsidRPr="009456C6" w:rsidRDefault="005D5162" w:rsidP="00735463">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83 (0.3%)</w:t>
            </w:r>
          </w:p>
        </w:tc>
        <w:tc>
          <w:tcPr>
            <w:tcW w:w="1620" w:type="dxa"/>
            <w:shd w:val="clear" w:color="auto" w:fill="C5E0B3" w:themeFill="accent6" w:themeFillTint="66"/>
            <w:vAlign w:val="bottom"/>
          </w:tcPr>
          <w:p w:rsidR="005D5162" w:rsidRPr="009456C6" w:rsidRDefault="005D5162" w:rsidP="00735463">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-182 (-5.0%)</w:t>
            </w:r>
          </w:p>
        </w:tc>
      </w:tr>
      <w:tr w:rsidR="005D5162" w:rsidRPr="009456C6" w:rsidTr="004B717D">
        <w:tc>
          <w:tcPr>
            <w:tcW w:w="13948" w:type="dxa"/>
            <w:gridSpan w:val="7"/>
          </w:tcPr>
          <w:p w:rsidR="005D5162" w:rsidRPr="009456C6" w:rsidRDefault="005D5162" w:rsidP="004B717D">
            <w:pPr>
              <w:keepNext/>
              <w:spacing w:before="120"/>
              <w:rPr>
                <w:rFonts w:asciiTheme="majorHAnsi" w:hAnsiTheme="majorHAnsi" w:cstheme="majorHAnsi"/>
                <w:b/>
                <w:bCs/>
                <w:sz w:val="20"/>
                <w:szCs w:val="20"/>
              </w:rPr>
            </w:pPr>
            <w:r w:rsidRPr="009456C6">
              <w:rPr>
                <w:rFonts w:asciiTheme="majorHAnsi" w:hAnsiTheme="majorHAnsi" w:cstheme="majorHAnsi"/>
                <w:b/>
                <w:bCs/>
                <w:sz w:val="20"/>
                <w:szCs w:val="20"/>
              </w:rPr>
              <w:t>Prioritising booster doses in 2023</w:t>
            </w:r>
          </w:p>
        </w:tc>
      </w:tr>
      <w:tr w:rsidR="005D5162" w:rsidRPr="009456C6" w:rsidTr="00197F09">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25%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b/>
                <w:bCs/>
                <w:sz w:val="20"/>
                <w:szCs w:val="20"/>
              </w:rPr>
            </w:pPr>
            <w:r w:rsidRPr="009456C6">
              <w:rPr>
                <w:rFonts w:asciiTheme="majorHAnsi" w:hAnsiTheme="majorHAnsi" w:cstheme="majorHAnsi"/>
                <w:color w:val="000000"/>
                <w:sz w:val="20"/>
              </w:rPr>
              <w:t>-4,217 (0.0%)</w:t>
            </w:r>
          </w:p>
        </w:tc>
        <w:tc>
          <w:tcPr>
            <w:tcW w:w="2268"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79 (0.4%)</w:t>
            </w:r>
          </w:p>
        </w:tc>
        <w:tc>
          <w:tcPr>
            <w:tcW w:w="1701" w:type="dxa"/>
            <w:shd w:val="clear" w:color="auto" w:fill="FBE4D5" w:themeFill="accent2"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-243 (-0.2%)</w:t>
            </w:r>
          </w:p>
        </w:tc>
        <w:tc>
          <w:tcPr>
            <w:tcW w:w="1559" w:type="dxa"/>
            <w:shd w:val="clear" w:color="auto" w:fill="F7CAAC" w:themeFill="accent2"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14 (0.9%)</w:t>
            </w:r>
          </w:p>
        </w:tc>
        <w:tc>
          <w:tcPr>
            <w:tcW w:w="1560"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115 (0.5%)</w:t>
            </w:r>
          </w:p>
        </w:tc>
        <w:tc>
          <w:tcPr>
            <w:tcW w:w="1620" w:type="dxa"/>
            <w:shd w:val="clear" w:color="auto" w:fill="A8D08D" w:themeFill="accent6" w:themeFillTint="99"/>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-446 (-15.5%)</w:t>
            </w:r>
          </w:p>
        </w:tc>
      </w:tr>
      <w:tr w:rsidR="005D5162" w:rsidRPr="009456C6" w:rsidTr="00197F09">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50%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-3,262 (0.0%)</w:t>
            </w:r>
          </w:p>
        </w:tc>
        <w:tc>
          <w:tcPr>
            <w:tcW w:w="2268"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94 (0.5%)</w:t>
            </w:r>
          </w:p>
        </w:tc>
        <w:tc>
          <w:tcPr>
            <w:tcW w:w="1701" w:type="dxa"/>
            <w:shd w:val="clear" w:color="auto" w:fill="FBE4D5" w:themeFill="accent2"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-249 (-0.2%)</w:t>
            </w:r>
          </w:p>
        </w:tc>
        <w:tc>
          <w:tcPr>
            <w:tcW w:w="1559" w:type="dxa"/>
            <w:shd w:val="clear" w:color="auto" w:fill="F7CAAC" w:themeFill="accent2"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16 (1.1%)</w:t>
            </w:r>
          </w:p>
        </w:tc>
        <w:tc>
          <w:tcPr>
            <w:tcW w:w="1560"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134 (0.6%)</w:t>
            </w:r>
          </w:p>
        </w:tc>
        <w:tc>
          <w:tcPr>
            <w:tcW w:w="1620" w:type="dxa"/>
            <w:shd w:val="clear" w:color="auto" w:fill="A8D08D" w:themeFill="accent6" w:themeFillTint="99"/>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-497 (-17.3%)</w:t>
            </w:r>
          </w:p>
        </w:tc>
      </w:tr>
      <w:tr w:rsidR="005D5162" w:rsidRPr="009456C6" w:rsidTr="00197F09">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75%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-1,925 (0.0%)</w:t>
            </w:r>
          </w:p>
        </w:tc>
        <w:tc>
          <w:tcPr>
            <w:tcW w:w="2268"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103 (0.5%)</w:t>
            </w:r>
          </w:p>
        </w:tc>
        <w:tc>
          <w:tcPr>
            <w:tcW w:w="1701" w:type="dxa"/>
            <w:shd w:val="clear" w:color="auto" w:fill="FBE4D5" w:themeFill="accent2"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-241 (-0.2%)</w:t>
            </w:r>
          </w:p>
        </w:tc>
        <w:tc>
          <w:tcPr>
            <w:tcW w:w="1559" w:type="dxa"/>
            <w:shd w:val="clear" w:color="auto" w:fill="F7CAAC" w:themeFill="accent2"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17 (1.1%)</w:t>
            </w:r>
          </w:p>
        </w:tc>
        <w:tc>
          <w:tcPr>
            <w:tcW w:w="1560" w:type="dxa"/>
            <w:shd w:val="clear" w:color="auto" w:fill="E2EFD9" w:themeFill="accent6" w:themeFillTint="33"/>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144 (0.7%)</w:t>
            </w:r>
          </w:p>
        </w:tc>
        <w:tc>
          <w:tcPr>
            <w:tcW w:w="1620" w:type="dxa"/>
            <w:shd w:val="clear" w:color="auto" w:fill="A8D08D" w:themeFill="accent6" w:themeFillTint="99"/>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-515 (-17.9%)</w:t>
            </w:r>
          </w:p>
        </w:tc>
      </w:tr>
      <w:tr w:rsidR="005D5162" w:rsidRPr="009456C6" w:rsidTr="004B717D">
        <w:tc>
          <w:tcPr>
            <w:tcW w:w="13948" w:type="dxa"/>
            <w:gridSpan w:val="7"/>
          </w:tcPr>
          <w:p w:rsidR="005D5162" w:rsidRPr="009456C6" w:rsidRDefault="005D5162" w:rsidP="004B717D">
            <w:pPr>
              <w:keepNext/>
              <w:spacing w:before="240"/>
              <w:rPr>
                <w:rFonts w:asciiTheme="majorHAnsi" w:hAnsiTheme="majorHAnsi" w:cstheme="majorHAnsi"/>
              </w:rPr>
            </w:pPr>
            <w:r w:rsidRPr="009456C6">
              <w:rPr>
                <w:rFonts w:asciiTheme="majorHAnsi" w:hAnsiTheme="majorHAnsi" w:cstheme="majorHAnsi"/>
              </w:rPr>
              <w:t>Adults with comorbidities</w:t>
            </w:r>
          </w:p>
        </w:tc>
      </w:tr>
      <w:tr w:rsidR="005D5162" w:rsidRPr="009456C6" w:rsidTr="004B717D">
        <w:tc>
          <w:tcPr>
            <w:tcW w:w="13948" w:type="dxa"/>
            <w:gridSpan w:val="7"/>
          </w:tcPr>
          <w:p w:rsidR="005D5162" w:rsidRPr="009456C6" w:rsidRDefault="005D5162" w:rsidP="004B717D">
            <w:pPr>
              <w:keepNext/>
              <w:rPr>
                <w:rFonts w:asciiTheme="majorHAnsi" w:hAnsiTheme="majorHAnsi" w:cstheme="majorHAnsi"/>
                <w:b/>
                <w:bCs/>
                <w:sz w:val="20"/>
                <w:szCs w:val="20"/>
              </w:rPr>
            </w:pPr>
            <w:r w:rsidRPr="009456C6">
              <w:rPr>
                <w:rFonts w:asciiTheme="majorHAnsi" w:hAnsiTheme="majorHAnsi" w:cstheme="majorHAnsi"/>
                <w:b/>
                <w:bCs/>
                <w:sz w:val="20"/>
                <w:szCs w:val="20"/>
              </w:rPr>
              <w:t>Prioritising primary doses in 2022</w:t>
            </w:r>
          </w:p>
        </w:tc>
      </w:tr>
      <w:tr w:rsidR="005D5162" w:rsidRPr="009456C6" w:rsidTr="004B717D">
        <w:tc>
          <w:tcPr>
            <w:tcW w:w="3539" w:type="dxa"/>
          </w:tcPr>
          <w:p w:rsidR="005D5162" w:rsidRPr="009456C6" w:rsidRDefault="005D5162" w:rsidP="00DF2BA7">
            <w:pPr>
              <w:keepNext/>
              <w:rPr>
                <w:rFonts w:asciiTheme="majorHAnsi" w:hAnsiTheme="majorHAnsi" w:cstheme="majorHAnsi"/>
                <w:sz w:val="20"/>
                <w:szCs w:val="20"/>
              </w:rPr>
            </w:pPr>
            <w:r w:rsidRPr="009456C6">
              <w:rPr>
                <w:rFonts w:asciiTheme="majorHAnsi" w:hAnsiTheme="majorHAnsi" w:cstheme="majorHAnsi"/>
                <w:sz w:val="20"/>
                <w:szCs w:val="20"/>
              </w:rPr>
              <w:t>25% rollout capacity</w:t>
            </w:r>
          </w:p>
        </w:tc>
        <w:tc>
          <w:tcPr>
            <w:tcW w:w="1701" w:type="dxa"/>
            <w:shd w:val="clear" w:color="auto" w:fill="F2F2F2" w:themeFill="background1" w:themeFillShade="F2"/>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2,739 (0.0%)</w:t>
            </w:r>
          </w:p>
        </w:tc>
        <w:tc>
          <w:tcPr>
            <w:tcW w:w="2268" w:type="dxa"/>
            <w:shd w:val="clear" w:color="auto" w:fill="C5E0B3" w:themeFill="accent6" w:themeFillTint="66"/>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-214 (-0.7%)</w:t>
            </w:r>
          </w:p>
        </w:tc>
        <w:tc>
          <w:tcPr>
            <w:tcW w:w="1701" w:type="dxa"/>
            <w:shd w:val="clear" w:color="auto" w:fill="C5E0B3" w:themeFill="accent6" w:themeFillTint="66"/>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-344 (-0.3%)</w:t>
            </w:r>
          </w:p>
        </w:tc>
        <w:tc>
          <w:tcPr>
            <w:tcW w:w="1559"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-25 (-1.2%)</w:t>
            </w:r>
          </w:p>
        </w:tc>
        <w:tc>
          <w:tcPr>
            <w:tcW w:w="1560" w:type="dxa"/>
            <w:shd w:val="clear" w:color="auto" w:fill="E2EFD9" w:themeFill="accent6" w:themeFillTint="33"/>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-222 (-0.8%)</w:t>
            </w:r>
          </w:p>
        </w:tc>
        <w:tc>
          <w:tcPr>
            <w:tcW w:w="1620" w:type="dxa"/>
            <w:shd w:val="clear" w:color="auto" w:fill="F2F2F2" w:themeFill="background1" w:themeFillShade="F2"/>
          </w:tcPr>
          <w:p w:rsidR="005D5162" w:rsidRPr="009456C6" w:rsidRDefault="005D5162" w:rsidP="00DF2BA7">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4B717D">
        <w:tc>
          <w:tcPr>
            <w:tcW w:w="3539" w:type="dxa"/>
          </w:tcPr>
          <w:p w:rsidR="005D5162" w:rsidRPr="009456C6" w:rsidRDefault="005D5162" w:rsidP="00DF2BA7">
            <w:pPr>
              <w:keepNext/>
              <w:rPr>
                <w:rFonts w:asciiTheme="majorHAnsi" w:hAnsiTheme="majorHAnsi" w:cstheme="majorHAnsi"/>
                <w:sz w:val="20"/>
                <w:szCs w:val="20"/>
              </w:rPr>
            </w:pPr>
            <w:r w:rsidRPr="009456C6">
              <w:rPr>
                <w:rFonts w:asciiTheme="majorHAnsi" w:hAnsiTheme="majorHAnsi" w:cstheme="majorHAnsi"/>
                <w:sz w:val="20"/>
                <w:szCs w:val="20"/>
              </w:rPr>
              <w:t>50% rollout capacity</w:t>
            </w:r>
          </w:p>
        </w:tc>
        <w:tc>
          <w:tcPr>
            <w:tcW w:w="1701" w:type="dxa"/>
            <w:shd w:val="clear" w:color="auto" w:fill="F2F2F2" w:themeFill="background1" w:themeFillShade="F2"/>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7,134 (0.1%)</w:t>
            </w:r>
          </w:p>
        </w:tc>
        <w:tc>
          <w:tcPr>
            <w:tcW w:w="2268"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-468 (-1.6%)</w:t>
            </w:r>
          </w:p>
        </w:tc>
        <w:tc>
          <w:tcPr>
            <w:tcW w:w="1701" w:type="dxa"/>
            <w:shd w:val="clear" w:color="auto" w:fill="C5E0B3" w:themeFill="accent6" w:themeFillTint="66"/>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-765 (-0.6%)</w:t>
            </w:r>
          </w:p>
        </w:tc>
        <w:tc>
          <w:tcPr>
            <w:tcW w:w="1559"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-57 (-2.7%)</w:t>
            </w:r>
          </w:p>
        </w:tc>
        <w:tc>
          <w:tcPr>
            <w:tcW w:w="1560"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-492 (-1.8%)</w:t>
            </w:r>
          </w:p>
        </w:tc>
        <w:tc>
          <w:tcPr>
            <w:tcW w:w="1620" w:type="dxa"/>
            <w:shd w:val="clear" w:color="auto" w:fill="F2F2F2" w:themeFill="background1" w:themeFillShade="F2"/>
          </w:tcPr>
          <w:p w:rsidR="005D5162" w:rsidRPr="009456C6" w:rsidRDefault="005D5162" w:rsidP="00DF2BA7">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4B717D">
        <w:tc>
          <w:tcPr>
            <w:tcW w:w="3539" w:type="dxa"/>
          </w:tcPr>
          <w:p w:rsidR="005D5162" w:rsidRPr="009456C6" w:rsidRDefault="005D5162" w:rsidP="00DF2BA7">
            <w:pPr>
              <w:keepNext/>
              <w:rPr>
                <w:rFonts w:asciiTheme="majorHAnsi" w:hAnsiTheme="majorHAnsi" w:cstheme="majorHAnsi"/>
                <w:sz w:val="20"/>
                <w:szCs w:val="20"/>
              </w:rPr>
            </w:pPr>
            <w:r w:rsidRPr="009456C6">
              <w:rPr>
                <w:rFonts w:asciiTheme="majorHAnsi" w:hAnsiTheme="majorHAnsi" w:cstheme="majorHAnsi"/>
                <w:sz w:val="20"/>
                <w:szCs w:val="20"/>
              </w:rPr>
              <w:t>75% rollout capacity</w:t>
            </w:r>
          </w:p>
        </w:tc>
        <w:tc>
          <w:tcPr>
            <w:tcW w:w="1701" w:type="dxa"/>
            <w:shd w:val="clear" w:color="auto" w:fill="F2F2F2" w:themeFill="background1" w:themeFillShade="F2"/>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11,929 (0.1%)</w:t>
            </w:r>
          </w:p>
        </w:tc>
        <w:tc>
          <w:tcPr>
            <w:tcW w:w="2268"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-642 (-2.2%)</w:t>
            </w:r>
          </w:p>
        </w:tc>
        <w:tc>
          <w:tcPr>
            <w:tcW w:w="1701" w:type="dxa"/>
            <w:shd w:val="clear" w:color="auto" w:fill="C5E0B3" w:themeFill="accent6" w:themeFillTint="66"/>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-1,053 (-0.8%)</w:t>
            </w:r>
          </w:p>
        </w:tc>
        <w:tc>
          <w:tcPr>
            <w:tcW w:w="1559"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-79 (-3.8%)</w:t>
            </w:r>
          </w:p>
        </w:tc>
        <w:tc>
          <w:tcPr>
            <w:tcW w:w="1560" w:type="dxa"/>
            <w:shd w:val="clear" w:color="auto" w:fill="A8D08D" w:themeFill="accent6" w:themeFillTint="99"/>
            <w:vAlign w:val="bottom"/>
          </w:tcPr>
          <w:p w:rsidR="005D5162" w:rsidRPr="009456C6" w:rsidRDefault="005D5162" w:rsidP="00DF2BA7">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-679 (-2.4%)</w:t>
            </w:r>
          </w:p>
        </w:tc>
        <w:tc>
          <w:tcPr>
            <w:tcW w:w="1620" w:type="dxa"/>
            <w:shd w:val="clear" w:color="auto" w:fill="F2F2F2" w:themeFill="background1" w:themeFillShade="F2"/>
          </w:tcPr>
          <w:p w:rsidR="005D5162" w:rsidRPr="009456C6" w:rsidRDefault="005D5162" w:rsidP="00DF2BA7">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4B717D">
        <w:tc>
          <w:tcPr>
            <w:tcW w:w="13948" w:type="dxa"/>
            <w:gridSpan w:val="7"/>
          </w:tcPr>
          <w:p w:rsidR="005D5162" w:rsidRPr="009456C6" w:rsidRDefault="005D5162" w:rsidP="003D0066">
            <w:pPr>
              <w:keepNext/>
              <w:spacing w:before="120"/>
              <w:rPr>
                <w:rFonts w:asciiTheme="majorHAnsi" w:hAnsiTheme="majorHAnsi" w:cstheme="majorHAnsi"/>
                <w:b/>
                <w:bCs/>
                <w:sz w:val="20"/>
                <w:szCs w:val="20"/>
              </w:rPr>
            </w:pPr>
            <w:r w:rsidRPr="009456C6">
              <w:rPr>
                <w:rFonts w:asciiTheme="majorHAnsi" w:hAnsiTheme="majorHAnsi" w:cstheme="majorHAnsi"/>
                <w:b/>
                <w:bCs/>
                <w:sz w:val="20"/>
                <w:szCs w:val="20"/>
              </w:rPr>
              <w:t>Prioritising booster doses in 2023</w:t>
            </w:r>
          </w:p>
        </w:tc>
      </w:tr>
      <w:tr w:rsidR="005D5162" w:rsidRPr="009456C6" w:rsidTr="004B717D">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25%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393 (0.0%)</w:t>
            </w:r>
          </w:p>
        </w:tc>
        <w:tc>
          <w:tcPr>
            <w:tcW w:w="2268"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-1,215 (-5.8%)</w:t>
            </w:r>
          </w:p>
        </w:tc>
        <w:tc>
          <w:tcPr>
            <w:tcW w:w="1701"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-2,133 (-1.9%)</w:t>
            </w:r>
          </w:p>
        </w:tc>
        <w:tc>
          <w:tcPr>
            <w:tcW w:w="1559"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-138 (-9.3%)</w:t>
            </w:r>
          </w:p>
        </w:tc>
        <w:tc>
          <w:tcPr>
            <w:tcW w:w="1560"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-1,246 (-5.7%)</w:t>
            </w:r>
          </w:p>
        </w:tc>
        <w:tc>
          <w:tcPr>
            <w:tcW w:w="1620" w:type="dxa"/>
            <w:shd w:val="clear" w:color="auto" w:fill="F2F2F2" w:themeFill="background1" w:themeFillShade="F2"/>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197F09">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50%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1,050 (0.0%)</w:t>
            </w:r>
          </w:p>
        </w:tc>
        <w:tc>
          <w:tcPr>
            <w:tcW w:w="2268"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-1,751 (-8.3%)</w:t>
            </w:r>
          </w:p>
        </w:tc>
        <w:tc>
          <w:tcPr>
            <w:tcW w:w="1701"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-3,054 (-2.7%)</w:t>
            </w:r>
          </w:p>
        </w:tc>
        <w:tc>
          <w:tcPr>
            <w:tcW w:w="1559" w:type="dxa"/>
            <w:shd w:val="clear" w:color="auto" w:fill="8FC26C"/>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 xml:space="preserve">  -198 (-13.4%)</w:t>
            </w:r>
          </w:p>
        </w:tc>
        <w:tc>
          <w:tcPr>
            <w:tcW w:w="1560"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sz w:val="20"/>
                <w:szCs w:val="20"/>
              </w:rPr>
            </w:pPr>
            <w:r w:rsidRPr="009456C6">
              <w:rPr>
                <w:rFonts w:asciiTheme="majorHAnsi" w:hAnsiTheme="majorHAnsi" w:cstheme="majorHAnsi"/>
                <w:color w:val="000000"/>
                <w:sz w:val="20"/>
              </w:rPr>
              <w:t>-1,796 (-8.2%)</w:t>
            </w:r>
          </w:p>
        </w:tc>
        <w:tc>
          <w:tcPr>
            <w:tcW w:w="1620" w:type="dxa"/>
            <w:shd w:val="clear" w:color="auto" w:fill="F2F2F2" w:themeFill="background1" w:themeFillShade="F2"/>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r w:rsidR="005D5162" w:rsidRPr="009456C6" w:rsidTr="00197F09">
        <w:tc>
          <w:tcPr>
            <w:tcW w:w="3539" w:type="dxa"/>
          </w:tcPr>
          <w:p w:rsidR="005D5162" w:rsidRPr="009456C6" w:rsidRDefault="005D5162" w:rsidP="00197F09">
            <w:pPr>
              <w:keepNext/>
              <w:rPr>
                <w:rFonts w:asciiTheme="majorHAnsi" w:hAnsiTheme="majorHAnsi" w:cstheme="majorHAnsi"/>
                <w:sz w:val="20"/>
                <w:szCs w:val="20"/>
              </w:rPr>
            </w:pPr>
            <w:r w:rsidRPr="009456C6">
              <w:rPr>
                <w:rFonts w:asciiTheme="majorHAnsi" w:hAnsiTheme="majorHAnsi" w:cstheme="majorHAnsi"/>
                <w:sz w:val="20"/>
                <w:szCs w:val="20"/>
              </w:rPr>
              <w:t>75% rollout capacity</w:t>
            </w:r>
          </w:p>
        </w:tc>
        <w:tc>
          <w:tcPr>
            <w:tcW w:w="1701" w:type="dxa"/>
            <w:shd w:val="clear" w:color="auto" w:fill="F2F2F2" w:themeFill="background1" w:themeFillShade="F2"/>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2,185 (0.0%)</w:t>
            </w:r>
          </w:p>
        </w:tc>
        <w:tc>
          <w:tcPr>
            <w:tcW w:w="2268"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-1,923 (-9.2%)</w:t>
            </w:r>
          </w:p>
        </w:tc>
        <w:tc>
          <w:tcPr>
            <w:tcW w:w="1701"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-3,345 (-3.0%)</w:t>
            </w:r>
          </w:p>
        </w:tc>
        <w:tc>
          <w:tcPr>
            <w:tcW w:w="1559" w:type="dxa"/>
            <w:shd w:val="clear" w:color="auto" w:fill="8FC26C"/>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 xml:space="preserve">  -218 (-14.8%)</w:t>
            </w:r>
          </w:p>
        </w:tc>
        <w:tc>
          <w:tcPr>
            <w:tcW w:w="1560" w:type="dxa"/>
            <w:shd w:val="clear" w:color="auto" w:fill="C5E0B3" w:themeFill="accent6" w:themeFillTint="66"/>
            <w:vAlign w:val="bottom"/>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rPr>
              <w:t>-1,974 (-9.1%)</w:t>
            </w:r>
          </w:p>
        </w:tc>
        <w:tc>
          <w:tcPr>
            <w:tcW w:w="1620" w:type="dxa"/>
            <w:shd w:val="clear" w:color="auto" w:fill="F2F2F2" w:themeFill="background1" w:themeFillShade="F2"/>
          </w:tcPr>
          <w:p w:rsidR="005D5162" w:rsidRPr="009456C6" w:rsidRDefault="005D5162" w:rsidP="00197F09">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NA</w:t>
            </w:r>
          </w:p>
        </w:tc>
      </w:tr>
    </w:tbl>
    <w:p w:rsidR="005D5162" w:rsidRPr="00954640" w:rsidRDefault="005D5162" w:rsidP="00471F02">
      <w:pPr>
        <w:rPr>
          <w:rFonts w:ascii="Arial" w:hAnsi="Arial" w:cs="Arial"/>
        </w:rPr>
        <w:sectPr w:rsidR="005D5162" w:rsidRPr="00954640" w:rsidSect="00471F02">
          <w:pgSz w:w="16838" w:h="11906" w:orient="landscape"/>
          <w:pgMar w:top="1440" w:right="1440" w:bottom="1440" w:left="1440" w:header="708" w:footer="708" w:gutter="0"/>
          <w:cols w:space="708"/>
          <w:docGrid w:linePitch="360"/>
        </w:sectPr>
      </w:pPr>
    </w:p>
    <w:p w:rsidR="005D5162" w:rsidRPr="00954640" w:rsidRDefault="005D5162" w:rsidP="006416B4">
      <w:pPr>
        <w:pStyle w:val="Heading2"/>
        <w:rPr>
          <w:rFonts w:ascii="Arial" w:hAnsi="Arial" w:cs="Arial"/>
          <w:b/>
          <w:color w:val="000000" w:themeColor="text1"/>
        </w:rPr>
      </w:pPr>
      <w:bookmarkStart w:id="33" w:name="_Toc117859601"/>
      <w:r w:rsidRPr="00954640">
        <w:rPr>
          <w:rFonts w:ascii="Arial" w:hAnsi="Arial" w:cs="Arial"/>
          <w:b/>
          <w:color w:val="000000" w:themeColor="text1"/>
        </w:rPr>
        <w:lastRenderedPageBreak/>
        <w:t>S4.</w:t>
      </w:r>
      <w:bookmarkEnd w:id="29"/>
      <w:r w:rsidRPr="00954640">
        <w:rPr>
          <w:rFonts w:ascii="Arial" w:hAnsi="Arial" w:cs="Arial"/>
          <w:b/>
          <w:color w:val="000000" w:themeColor="text1"/>
        </w:rPr>
        <w:t>4 Increased vaccine hesitancy in pregnant women</w:t>
      </w:r>
      <w:bookmarkEnd w:id="33"/>
    </w:p>
    <w:p w:rsidR="005D5162" w:rsidRPr="00954640" w:rsidRDefault="005D5162" w:rsidP="004D658F">
      <w:pPr>
        <w:spacing w:after="0"/>
        <w:jc w:val="both"/>
        <w:rPr>
          <w:rFonts w:ascii="Arial" w:hAnsi="Arial" w:cs="Arial"/>
        </w:rPr>
      </w:pPr>
      <w:r w:rsidRPr="00954640">
        <w:rPr>
          <w:rFonts w:ascii="Arial" w:hAnsi="Arial" w:cs="Arial"/>
        </w:rPr>
        <w:t>We conducted sensitivity analysis for lower vaccine acceptance in pregnant women – 70% compared to baseline 88%. This sensitivity analysis was inspired by a survey of 16 countries conducted in late 2020</w:t>
      </w:r>
      <w:r>
        <w:rPr>
          <w:rFonts w:ascii="Arial" w:hAnsi="Arial" w:cs="Arial"/>
        </w:rPr>
        <w:t xml:space="preserve"> </w:t>
      </w:r>
      <w:r>
        <w:rPr>
          <w:rFonts w:ascii="Arial" w:hAnsi="Arial" w:cs="Arial"/>
          <w:noProof/>
        </w:rPr>
        <w:t>[64]</w:t>
      </w:r>
      <w:r>
        <w:rPr>
          <w:rFonts w:ascii="Arial" w:hAnsi="Arial" w:cs="Arial"/>
        </w:rPr>
        <w:t>.</w:t>
      </w:r>
      <w:r w:rsidRPr="00954640">
        <w:rPr>
          <w:rFonts w:ascii="Arial" w:hAnsi="Arial" w:cs="Arial"/>
        </w:rPr>
        <w:t xml:space="preserve"> The survey reported lower vaccine acceptance in pregnant women (52.0%, range 28.8%-84.4%) compared to non-pregnant women (73.4%, range 48.6%-93.1%). Notably, COVID-19 vaccine acceptance was much higher among pregnant women in low- and middle-income settings (&gt;85% in India and Mexico) compared to high-income settings (&lt;45% in US, Australia, and Russia)</w:t>
      </w:r>
      <w:r>
        <w:rPr>
          <w:rFonts w:ascii="Arial" w:hAnsi="Arial" w:cs="Arial"/>
        </w:rPr>
        <w:t xml:space="preserve"> </w:t>
      </w:r>
      <w:r>
        <w:rPr>
          <w:rFonts w:ascii="Arial" w:hAnsi="Arial" w:cs="Arial"/>
          <w:noProof/>
        </w:rPr>
        <w:t>[64]</w:t>
      </w:r>
      <w:r>
        <w:rPr>
          <w:rFonts w:ascii="Arial" w:hAnsi="Arial" w:cs="Arial"/>
        </w:rPr>
        <w:t>.</w:t>
      </w:r>
      <w:r w:rsidRPr="00954640">
        <w:rPr>
          <w:rFonts w:ascii="Arial" w:hAnsi="Arial" w:cs="Arial"/>
        </w:rPr>
        <w:t xml:space="preserve"> A key concern of vaccine hesitant women (48.8%) was the lack of data on safety and efficacy of COVID-19 vaccines during pregnancy</w:t>
      </w:r>
      <w:r>
        <w:rPr>
          <w:rFonts w:ascii="Arial" w:hAnsi="Arial" w:cs="Arial"/>
        </w:rPr>
        <w:t xml:space="preserve"> </w:t>
      </w:r>
      <w:r>
        <w:rPr>
          <w:rFonts w:ascii="Arial" w:hAnsi="Arial" w:cs="Arial"/>
          <w:noProof/>
        </w:rPr>
        <w:t>[64]</w:t>
      </w:r>
      <w:r>
        <w:rPr>
          <w:rFonts w:ascii="Arial" w:hAnsi="Arial" w:cs="Arial"/>
        </w:rPr>
        <w:t>.</w:t>
      </w:r>
      <w:r w:rsidRPr="00954640">
        <w:rPr>
          <w:rFonts w:ascii="Arial" w:hAnsi="Arial" w:cs="Arial"/>
        </w:rPr>
        <w:t xml:space="preserve"> Pregnant women were not included in the initial randomised controlled trials of COVID-19 vaccines due to safety concerns</w:t>
      </w:r>
      <w:r>
        <w:rPr>
          <w:rFonts w:ascii="Arial" w:hAnsi="Arial" w:cs="Arial"/>
        </w:rPr>
        <w:t xml:space="preserve"> </w:t>
      </w:r>
      <w:r>
        <w:rPr>
          <w:rFonts w:ascii="Arial" w:hAnsi="Arial" w:cs="Arial"/>
          <w:noProof/>
        </w:rPr>
        <w:t>[65, 66]</w:t>
      </w:r>
      <w:r>
        <w:rPr>
          <w:rFonts w:ascii="Arial" w:hAnsi="Arial" w:cs="Arial"/>
        </w:rPr>
        <w:t>.</w:t>
      </w:r>
      <w:r w:rsidRPr="00954640">
        <w:rPr>
          <w:rFonts w:ascii="Arial" w:hAnsi="Arial" w:cs="Arial"/>
        </w:rPr>
        <w:t xml:space="preserve"> We expect vaccine acceptance to have risen over time as data on the safety and efficacy of COVID-19 vaccines among pregnant women has emerged</w:t>
      </w:r>
      <w:r>
        <w:rPr>
          <w:rFonts w:ascii="Arial" w:hAnsi="Arial" w:cs="Arial"/>
        </w:rPr>
        <w:t xml:space="preserve"> </w:t>
      </w:r>
      <w:r>
        <w:rPr>
          <w:rFonts w:ascii="Arial" w:hAnsi="Arial" w:cs="Arial"/>
          <w:noProof/>
        </w:rPr>
        <w:t>[67]</w:t>
      </w:r>
      <w:r>
        <w:rPr>
          <w:rFonts w:ascii="Arial" w:hAnsi="Arial" w:cs="Arial"/>
        </w:rPr>
        <w:t>.</w:t>
      </w:r>
      <w:r w:rsidRPr="00954640">
        <w:rPr>
          <w:rFonts w:ascii="Arial" w:hAnsi="Arial" w:cs="Arial"/>
        </w:rPr>
        <w:t xml:space="preserve"> As such, this sensitivity analysis is a pessimistic estimate of vaccine acceptance in Sierra Leone. Nevertheless, sensitivity analysis supports similar effects for the risk-specific prioritisation of pregnant women (Table S4.4 compared to Table 3 in main paper). The benefit of prioritising pregnant women is simply muted with a reduced uptake of vaccine. </w:t>
      </w:r>
    </w:p>
    <w:p w:rsidR="005D5162" w:rsidRPr="00954640" w:rsidRDefault="005D5162" w:rsidP="00507525">
      <w:pPr>
        <w:spacing w:after="0"/>
        <w:jc w:val="both"/>
        <w:rPr>
          <w:rFonts w:ascii="Arial" w:hAnsi="Arial" w:cs="Arial"/>
        </w:rPr>
      </w:pPr>
    </w:p>
    <w:p w:rsidR="005D5162" w:rsidRPr="00954640" w:rsidRDefault="005D5162" w:rsidP="007315C3">
      <w:pPr>
        <w:rPr>
          <w:rFonts w:ascii="Arial" w:hAnsi="Arial" w:cs="Arial"/>
          <w:sz w:val="20"/>
          <w:szCs w:val="20"/>
        </w:rPr>
      </w:pPr>
      <w:r w:rsidRPr="00954640">
        <w:rPr>
          <w:rFonts w:ascii="Arial" w:hAnsi="Arial" w:cs="Arial"/>
          <w:b/>
          <w:bCs/>
          <w:sz w:val="20"/>
          <w:szCs w:val="20"/>
        </w:rPr>
        <w:t xml:space="preserve">Table S4.4 </w:t>
      </w:r>
      <w:r w:rsidRPr="00954640">
        <w:rPr>
          <w:rFonts w:ascii="Arial" w:hAnsi="Arial" w:cs="Arial"/>
          <w:i/>
          <w:iCs/>
          <w:sz w:val="20"/>
          <w:szCs w:val="20"/>
        </w:rPr>
        <w:t>Sensitivity analysis for the increased vaccine hesitancy in pregnant women.</w:t>
      </w:r>
      <w:r w:rsidRPr="00954640">
        <w:rPr>
          <w:rFonts w:ascii="Arial" w:hAnsi="Arial" w:cs="Arial"/>
          <w:sz w:val="20"/>
          <w:szCs w:val="20"/>
        </w:rPr>
        <w:t xml:space="preserve"> Cumulative outcomes for the prioritisation of pregnant women presented. Outcomes prevented calculated relative to current vaccination program with a population coverage target of 51.6% and uniform eligibility. </w:t>
      </w:r>
    </w:p>
    <w:tbl>
      <w:tblPr>
        <w:tblStyle w:val="TableGrid"/>
        <w:tblW w:w="0" w:type="auto"/>
        <w:tblLook w:val="04A0" w:firstRow="1" w:lastRow="0" w:firstColumn="1" w:lastColumn="0" w:noHBand="0" w:noVBand="1"/>
      </w:tblPr>
      <w:tblGrid>
        <w:gridCol w:w="1867"/>
        <w:gridCol w:w="1174"/>
        <w:gridCol w:w="1359"/>
        <w:gridCol w:w="1483"/>
        <w:gridCol w:w="1003"/>
        <w:gridCol w:w="1004"/>
        <w:gridCol w:w="1126"/>
      </w:tblGrid>
      <w:tr w:rsidR="005D5162" w:rsidRPr="009456C6" w:rsidTr="00EB045E">
        <w:tc>
          <w:tcPr>
            <w:tcW w:w="1867" w:type="dxa"/>
          </w:tcPr>
          <w:p w:rsidR="005D5162" w:rsidRPr="009456C6" w:rsidRDefault="005D5162" w:rsidP="004B717D">
            <w:pPr>
              <w:keepNext/>
              <w:rPr>
                <w:rFonts w:asciiTheme="majorHAnsi" w:hAnsiTheme="majorHAnsi" w:cstheme="majorHAnsi"/>
                <w:sz w:val="18"/>
                <w:szCs w:val="18"/>
              </w:rPr>
            </w:pPr>
          </w:p>
        </w:tc>
        <w:tc>
          <w:tcPr>
            <w:tcW w:w="1174"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w:t>
            </w:r>
          </w:p>
        </w:tc>
        <w:tc>
          <w:tcPr>
            <w:tcW w:w="1359"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Incidence of severe disease</w:t>
            </w:r>
          </w:p>
        </w:tc>
        <w:tc>
          <w:tcPr>
            <w:tcW w:w="1483"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Hospitalisations</w:t>
            </w:r>
          </w:p>
        </w:tc>
        <w:tc>
          <w:tcPr>
            <w:tcW w:w="1003"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Deaths</w:t>
            </w:r>
          </w:p>
        </w:tc>
        <w:tc>
          <w:tcPr>
            <w:tcW w:w="1004"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YLL</w:t>
            </w:r>
          </w:p>
        </w:tc>
        <w:tc>
          <w:tcPr>
            <w:tcW w:w="1126" w:type="dxa"/>
          </w:tcPr>
          <w:p w:rsidR="005D5162" w:rsidRPr="009456C6" w:rsidRDefault="005D5162" w:rsidP="004B717D">
            <w:pPr>
              <w:keepNext/>
              <w:rPr>
                <w:rFonts w:asciiTheme="majorHAnsi" w:hAnsiTheme="majorHAnsi" w:cstheme="majorHAnsi"/>
                <w:sz w:val="18"/>
                <w:szCs w:val="18"/>
              </w:rPr>
            </w:pPr>
            <w:r w:rsidRPr="009456C6">
              <w:rPr>
                <w:rFonts w:asciiTheme="majorHAnsi" w:hAnsiTheme="majorHAnsi" w:cstheme="majorHAnsi"/>
                <w:sz w:val="18"/>
                <w:szCs w:val="18"/>
              </w:rPr>
              <w:t>Neonatal deaths</w:t>
            </w:r>
          </w:p>
        </w:tc>
      </w:tr>
      <w:tr w:rsidR="005D5162" w:rsidRPr="009456C6" w:rsidTr="004B717D">
        <w:tc>
          <w:tcPr>
            <w:tcW w:w="9016" w:type="dxa"/>
            <w:gridSpan w:val="7"/>
          </w:tcPr>
          <w:p w:rsidR="005D5162" w:rsidRPr="009456C6" w:rsidRDefault="005D5162" w:rsidP="004B717D">
            <w:pPr>
              <w:keepNext/>
              <w:rPr>
                <w:rFonts w:asciiTheme="majorHAnsi" w:hAnsiTheme="majorHAnsi" w:cstheme="majorHAnsi"/>
                <w:b/>
                <w:bCs/>
                <w:sz w:val="20"/>
                <w:szCs w:val="20"/>
              </w:rPr>
            </w:pPr>
            <w:r w:rsidRPr="009456C6">
              <w:rPr>
                <w:rFonts w:asciiTheme="majorHAnsi" w:hAnsiTheme="majorHAnsi" w:cstheme="majorHAnsi"/>
                <w:b/>
                <w:bCs/>
                <w:sz w:val="20"/>
                <w:szCs w:val="20"/>
              </w:rPr>
              <w:t>Prioritising within existing rollout capacity</w:t>
            </w:r>
          </w:p>
        </w:tc>
      </w:tr>
      <w:tr w:rsidR="005D5162" w:rsidRPr="009456C6" w:rsidTr="00C768CB">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25% primary dose only</w:t>
            </w:r>
          </w:p>
        </w:tc>
        <w:tc>
          <w:tcPr>
            <w:tcW w:w="117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-111 </w:t>
            </w:r>
          </w:p>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(0.0%)</w:t>
            </w:r>
          </w:p>
        </w:tc>
        <w:tc>
          <w:tcPr>
            <w:tcW w:w="1359"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48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00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(0.0%)</w:t>
            </w:r>
          </w:p>
        </w:tc>
        <w:tc>
          <w:tcPr>
            <w:tcW w:w="100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 (0.0%)</w:t>
            </w:r>
          </w:p>
        </w:tc>
        <w:tc>
          <w:tcPr>
            <w:tcW w:w="1126"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 (0.1%)</w:t>
            </w:r>
          </w:p>
        </w:tc>
      </w:tr>
      <w:tr w:rsidR="005D5162" w:rsidRPr="009456C6" w:rsidTr="00C768CB">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50% primary dose only</w:t>
            </w:r>
          </w:p>
        </w:tc>
        <w:tc>
          <w:tcPr>
            <w:tcW w:w="117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-28 </w:t>
            </w:r>
          </w:p>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(0.0%)</w:t>
            </w:r>
          </w:p>
        </w:tc>
        <w:tc>
          <w:tcPr>
            <w:tcW w:w="1359"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48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00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00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(0.0%)</w:t>
            </w:r>
          </w:p>
        </w:tc>
        <w:tc>
          <w:tcPr>
            <w:tcW w:w="1126"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 </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(0.0%)</w:t>
            </w:r>
          </w:p>
        </w:tc>
      </w:tr>
      <w:tr w:rsidR="005D5162" w:rsidRPr="009456C6" w:rsidTr="00C768CB">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75% primary dose only</w:t>
            </w:r>
          </w:p>
        </w:tc>
        <w:tc>
          <w:tcPr>
            <w:tcW w:w="117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-5 </w:t>
            </w:r>
          </w:p>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(0.0%)</w:t>
            </w:r>
          </w:p>
        </w:tc>
        <w:tc>
          <w:tcPr>
            <w:tcW w:w="1359"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48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00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(0.0%)</w:t>
            </w:r>
          </w:p>
        </w:tc>
        <w:tc>
          <w:tcPr>
            <w:tcW w:w="100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(0.0%)</w:t>
            </w:r>
          </w:p>
        </w:tc>
        <w:tc>
          <w:tcPr>
            <w:tcW w:w="1126"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0 </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(0.0%)</w:t>
            </w:r>
          </w:p>
        </w:tc>
      </w:tr>
      <w:tr w:rsidR="005D5162" w:rsidRPr="009456C6" w:rsidTr="00C768CB">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50% primary and booster provision</w:t>
            </w:r>
          </w:p>
        </w:tc>
        <w:tc>
          <w:tcPr>
            <w:tcW w:w="117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-17,583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(-0.2%)</w:t>
            </w:r>
          </w:p>
        </w:tc>
        <w:tc>
          <w:tcPr>
            <w:tcW w:w="1359" w:type="dxa"/>
            <w:shd w:val="clear" w:color="auto" w:fill="C5E0B3" w:themeFill="accent6" w:themeFillTint="66"/>
            <w:vAlign w:val="bottom"/>
          </w:tcPr>
          <w:p w:rsidR="005D5162" w:rsidRPr="009456C6" w:rsidRDefault="005D5162" w:rsidP="00C768CB">
            <w:pPr>
              <w:keepNext/>
              <w:shd w:val="clear" w:color="auto" w:fill="C5E0B3" w:themeFill="accent6" w:themeFillTint="66"/>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-295 </w:t>
            </w:r>
          </w:p>
          <w:p w:rsidR="005D5162" w:rsidRPr="009456C6" w:rsidRDefault="005D5162" w:rsidP="00C768CB">
            <w:pPr>
              <w:keepNext/>
              <w:shd w:val="clear" w:color="auto" w:fill="C5E0B3" w:themeFill="accent6" w:themeFillTint="66"/>
              <w:jc w:val="right"/>
              <w:rPr>
                <w:rFonts w:asciiTheme="majorHAnsi" w:hAnsiTheme="majorHAnsi" w:cstheme="majorHAnsi"/>
                <w:sz w:val="20"/>
                <w:szCs w:val="20"/>
              </w:rPr>
            </w:pPr>
            <w:r w:rsidRPr="009456C6">
              <w:rPr>
                <w:rFonts w:asciiTheme="majorHAnsi" w:hAnsiTheme="majorHAnsi" w:cstheme="majorHAnsi"/>
                <w:color w:val="000000"/>
                <w:sz w:val="20"/>
                <w:szCs w:val="20"/>
              </w:rPr>
              <w:t>(-1.1%)</w:t>
            </w:r>
          </w:p>
        </w:tc>
        <w:tc>
          <w:tcPr>
            <w:tcW w:w="1483" w:type="dxa"/>
            <w:shd w:val="clear" w:color="auto" w:fill="C5E0B3" w:themeFill="accent6" w:themeFillTint="66"/>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-2,010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(-1.5%)</w:t>
            </w:r>
          </w:p>
        </w:tc>
        <w:tc>
          <w:tcPr>
            <w:tcW w:w="1003"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 (0.0%)</w:t>
            </w:r>
          </w:p>
        </w:tc>
        <w:tc>
          <w:tcPr>
            <w:tcW w:w="100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-105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(-0.4%)</w:t>
            </w:r>
          </w:p>
        </w:tc>
        <w:tc>
          <w:tcPr>
            <w:tcW w:w="1126" w:type="dxa"/>
            <w:shd w:val="clear" w:color="auto" w:fill="8FC26C"/>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-1,113 </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(-29.0%)</w:t>
            </w:r>
          </w:p>
        </w:tc>
      </w:tr>
      <w:tr w:rsidR="005D5162" w:rsidRPr="009456C6" w:rsidTr="004B717D">
        <w:tc>
          <w:tcPr>
            <w:tcW w:w="9016" w:type="dxa"/>
            <w:gridSpan w:val="7"/>
          </w:tcPr>
          <w:p w:rsidR="005D5162" w:rsidRPr="009456C6" w:rsidRDefault="005D5162" w:rsidP="004B717D">
            <w:pPr>
              <w:keepNext/>
              <w:spacing w:before="120"/>
              <w:rPr>
                <w:rFonts w:asciiTheme="majorHAnsi" w:hAnsiTheme="majorHAnsi" w:cstheme="majorHAnsi"/>
                <w:b/>
                <w:bCs/>
                <w:sz w:val="20"/>
                <w:szCs w:val="20"/>
              </w:rPr>
            </w:pPr>
            <w:r w:rsidRPr="009456C6">
              <w:rPr>
                <w:rFonts w:asciiTheme="majorHAnsi" w:hAnsiTheme="majorHAnsi" w:cstheme="majorHAnsi"/>
                <w:b/>
                <w:bCs/>
                <w:sz w:val="20"/>
                <w:szCs w:val="20"/>
              </w:rPr>
              <w:t>Additional rollout capacity (antenatal visits)</w:t>
            </w:r>
          </w:p>
        </w:tc>
      </w:tr>
      <w:tr w:rsidR="005D5162" w:rsidRPr="009456C6" w:rsidTr="00AC3ABE">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Additional primary doses</w:t>
            </w:r>
          </w:p>
        </w:tc>
        <w:tc>
          <w:tcPr>
            <w:tcW w:w="117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b/>
                <w:bCs/>
                <w:sz w:val="20"/>
                <w:szCs w:val="20"/>
              </w:rPr>
            </w:pPr>
            <w:r w:rsidRPr="009456C6">
              <w:rPr>
                <w:rFonts w:asciiTheme="majorHAnsi" w:hAnsiTheme="majorHAnsi" w:cstheme="majorHAnsi"/>
                <w:color w:val="000000"/>
                <w:sz w:val="20"/>
                <w:szCs w:val="20"/>
              </w:rPr>
              <w:t xml:space="preserve"> -2,126 (0.0%)</w:t>
            </w:r>
          </w:p>
        </w:tc>
        <w:tc>
          <w:tcPr>
            <w:tcW w:w="1359"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-22</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(-0.1%)</w:t>
            </w:r>
          </w:p>
        </w:tc>
        <w:tc>
          <w:tcPr>
            <w:tcW w:w="1483"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-74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(-0.1%)</w:t>
            </w:r>
          </w:p>
        </w:tc>
        <w:tc>
          <w:tcPr>
            <w:tcW w:w="1003"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(-0.1%)</w:t>
            </w:r>
          </w:p>
        </w:tc>
        <w:tc>
          <w:tcPr>
            <w:tcW w:w="100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-20</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(-0.1%)</w:t>
            </w:r>
          </w:p>
        </w:tc>
        <w:tc>
          <w:tcPr>
            <w:tcW w:w="1126" w:type="dxa"/>
            <w:shd w:val="clear" w:color="auto" w:fill="C5E0B3" w:themeFill="accent6" w:themeFillTint="66"/>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 (0.1%)</w:t>
            </w:r>
          </w:p>
        </w:tc>
      </w:tr>
      <w:tr w:rsidR="005D5162" w:rsidRPr="009456C6" w:rsidTr="00EB045E">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Additional primary and booster doses</w:t>
            </w:r>
          </w:p>
        </w:tc>
        <w:tc>
          <w:tcPr>
            <w:tcW w:w="117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-27,231</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(-0.3%)</w:t>
            </w:r>
          </w:p>
        </w:tc>
        <w:tc>
          <w:tcPr>
            <w:tcW w:w="1359" w:type="dxa"/>
            <w:shd w:val="clear" w:color="auto" w:fill="C5E0B3" w:themeFill="accent6" w:themeFillTint="66"/>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-388</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(-1.4%)</w:t>
            </w:r>
          </w:p>
        </w:tc>
        <w:tc>
          <w:tcPr>
            <w:tcW w:w="1483" w:type="dxa"/>
            <w:shd w:val="clear" w:color="auto" w:fill="C5E0B3" w:themeFill="accent6" w:themeFillTint="66"/>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-2,319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(-1.8%)</w:t>
            </w:r>
          </w:p>
        </w:tc>
        <w:tc>
          <w:tcPr>
            <w:tcW w:w="1003"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-8</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(-0.4%)</w:t>
            </w:r>
          </w:p>
        </w:tc>
        <w:tc>
          <w:tcPr>
            <w:tcW w:w="100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-190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(-0.7%)</w:t>
            </w:r>
          </w:p>
        </w:tc>
        <w:tc>
          <w:tcPr>
            <w:tcW w:w="1126" w:type="dxa"/>
            <w:shd w:val="clear" w:color="auto" w:fill="8FC26C"/>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-1,099 </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(-28.6%)</w:t>
            </w:r>
          </w:p>
        </w:tc>
      </w:tr>
      <w:tr w:rsidR="005D5162" w:rsidRPr="009456C6" w:rsidTr="00AC3ABE">
        <w:tc>
          <w:tcPr>
            <w:tcW w:w="1867" w:type="dxa"/>
          </w:tcPr>
          <w:p w:rsidR="005D5162" w:rsidRPr="009456C6" w:rsidRDefault="005D5162" w:rsidP="00C768CB">
            <w:pPr>
              <w:keepNext/>
              <w:rPr>
                <w:rFonts w:asciiTheme="majorHAnsi" w:hAnsiTheme="majorHAnsi" w:cstheme="majorHAnsi"/>
                <w:sz w:val="20"/>
                <w:szCs w:val="20"/>
              </w:rPr>
            </w:pPr>
            <w:r w:rsidRPr="009456C6">
              <w:rPr>
                <w:rFonts w:asciiTheme="majorHAnsi" w:hAnsiTheme="majorHAnsi" w:cstheme="majorHAnsi"/>
                <w:sz w:val="20"/>
                <w:szCs w:val="20"/>
              </w:rPr>
              <w:t>Expanding eligibility to high-risk children</w:t>
            </w:r>
          </w:p>
        </w:tc>
        <w:tc>
          <w:tcPr>
            <w:tcW w:w="1174" w:type="dxa"/>
            <w:shd w:val="clear" w:color="auto" w:fill="F2F2F2" w:themeFill="background1" w:themeFillShade="F2"/>
            <w:vAlign w:val="bottom"/>
          </w:tcPr>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-4,288 (0.0%)</w:t>
            </w:r>
          </w:p>
        </w:tc>
        <w:tc>
          <w:tcPr>
            <w:tcW w:w="1359"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-26</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(-0.1%)</w:t>
            </w:r>
          </w:p>
        </w:tc>
        <w:tc>
          <w:tcPr>
            <w:tcW w:w="1483"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-239</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 xml:space="preserve"> (-0.2%)</w:t>
            </w:r>
          </w:p>
        </w:tc>
        <w:tc>
          <w:tcPr>
            <w:tcW w:w="1003"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(-0.1%)</w:t>
            </w:r>
          </w:p>
        </w:tc>
        <w:tc>
          <w:tcPr>
            <w:tcW w:w="1004" w:type="dxa"/>
            <w:shd w:val="clear" w:color="auto" w:fill="E2EFD9" w:themeFill="accent6" w:themeFillTint="33"/>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-33 </w:t>
            </w:r>
          </w:p>
          <w:p w:rsidR="005D5162" w:rsidRPr="009456C6" w:rsidRDefault="005D5162" w:rsidP="00C768CB">
            <w:pPr>
              <w:keepNext/>
              <w:jc w:val="right"/>
              <w:rPr>
                <w:rFonts w:asciiTheme="majorHAnsi" w:hAnsiTheme="majorHAnsi" w:cstheme="majorHAnsi"/>
                <w:sz w:val="20"/>
                <w:szCs w:val="20"/>
              </w:rPr>
            </w:pPr>
            <w:r w:rsidRPr="009456C6">
              <w:rPr>
                <w:rFonts w:asciiTheme="majorHAnsi" w:hAnsiTheme="majorHAnsi" w:cstheme="majorHAnsi"/>
                <w:color w:val="000000"/>
                <w:sz w:val="20"/>
                <w:szCs w:val="20"/>
              </w:rPr>
              <w:t>(-0.1%)</w:t>
            </w:r>
          </w:p>
        </w:tc>
        <w:tc>
          <w:tcPr>
            <w:tcW w:w="1126" w:type="dxa"/>
            <w:shd w:val="clear" w:color="auto" w:fill="C5E0B3" w:themeFill="accent6" w:themeFillTint="66"/>
            <w:vAlign w:val="bottom"/>
          </w:tcPr>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-90</w:t>
            </w:r>
          </w:p>
          <w:p w:rsidR="005D5162" w:rsidRPr="009456C6" w:rsidRDefault="005D5162" w:rsidP="00C768CB">
            <w:pPr>
              <w:keepNext/>
              <w:jc w:val="right"/>
              <w:rPr>
                <w:rFonts w:asciiTheme="majorHAnsi" w:hAnsiTheme="majorHAnsi" w:cstheme="majorHAnsi"/>
                <w:color w:val="000000"/>
                <w:sz w:val="20"/>
                <w:szCs w:val="20"/>
              </w:rPr>
            </w:pPr>
            <w:r w:rsidRPr="009456C6">
              <w:rPr>
                <w:rFonts w:asciiTheme="majorHAnsi" w:hAnsiTheme="majorHAnsi" w:cstheme="majorHAnsi"/>
                <w:color w:val="000000"/>
                <w:sz w:val="20"/>
                <w:szCs w:val="20"/>
              </w:rPr>
              <w:t xml:space="preserve"> (-2.3%)</w:t>
            </w:r>
          </w:p>
        </w:tc>
      </w:tr>
    </w:tbl>
    <w:p w:rsidR="005D5162" w:rsidRPr="00954640" w:rsidRDefault="005D5162" w:rsidP="004D658F">
      <w:pPr>
        <w:spacing w:after="0"/>
        <w:jc w:val="both"/>
        <w:rPr>
          <w:rFonts w:ascii="Arial" w:hAnsi="Arial" w:cs="Arial"/>
        </w:rPr>
      </w:pPr>
    </w:p>
    <w:p w:rsidR="005D5162" w:rsidRPr="00954640" w:rsidRDefault="005D5162" w:rsidP="000F6F76">
      <w:pPr>
        <w:pStyle w:val="Heading2"/>
        <w:rPr>
          <w:rFonts w:ascii="Arial" w:hAnsi="Arial" w:cs="Arial"/>
          <w:b/>
          <w:color w:val="000000" w:themeColor="text1"/>
        </w:rPr>
      </w:pPr>
      <w:bookmarkStart w:id="34" w:name="_Toc117859602"/>
      <w:bookmarkStart w:id="35" w:name="_Hlk113616594"/>
      <w:r w:rsidRPr="00954640">
        <w:rPr>
          <w:rFonts w:ascii="Arial" w:hAnsi="Arial" w:cs="Arial"/>
          <w:b/>
          <w:color w:val="000000" w:themeColor="text1"/>
        </w:rPr>
        <w:t>S4.5 Reduced vaccine effectiveness in older adults</w:t>
      </w:r>
      <w:bookmarkEnd w:id="34"/>
      <w:r w:rsidRPr="00954640">
        <w:rPr>
          <w:rFonts w:ascii="Arial" w:hAnsi="Arial" w:cs="Arial"/>
          <w:b/>
          <w:color w:val="000000" w:themeColor="text1"/>
        </w:rPr>
        <w:t xml:space="preserve"> </w:t>
      </w:r>
    </w:p>
    <w:p w:rsidR="005D5162" w:rsidRPr="00954640" w:rsidRDefault="005D5162" w:rsidP="004D658F">
      <w:pPr>
        <w:spacing w:after="0"/>
        <w:jc w:val="both"/>
        <w:rPr>
          <w:rFonts w:ascii="Arial" w:hAnsi="Arial" w:cs="Arial"/>
        </w:rPr>
      </w:pPr>
      <w:r w:rsidRPr="00954640">
        <w:rPr>
          <w:rFonts w:ascii="Arial" w:hAnsi="Arial" w:cs="Arial"/>
        </w:rPr>
        <w:t>We examined the impact of age-, dose- and risk-prioritisation strategies if older adults had lower protection from vaccination against severe outcomes. Studies have suggested that older adults may experience a lower protection from vaccination and a faster waning of protection against severe outcomes</w:t>
      </w:r>
      <w:r>
        <w:rPr>
          <w:rFonts w:ascii="Arial" w:hAnsi="Arial" w:cs="Arial"/>
        </w:rPr>
        <w:t xml:space="preserve"> </w:t>
      </w:r>
      <w:r>
        <w:rPr>
          <w:rFonts w:ascii="Arial" w:hAnsi="Arial" w:cs="Arial"/>
          <w:noProof/>
        </w:rPr>
        <w:t>[22, 26, 31, 68]</w:t>
      </w:r>
      <w:r>
        <w:rPr>
          <w:rFonts w:ascii="Arial" w:hAnsi="Arial" w:cs="Arial"/>
        </w:rPr>
        <w:t>.</w:t>
      </w:r>
      <w:r w:rsidRPr="00954640">
        <w:rPr>
          <w:rFonts w:ascii="Arial" w:hAnsi="Arial" w:cs="Arial"/>
        </w:rPr>
        <w:t xml:space="preserve"> There have been no statistically significant age dependent differences reported in VE against infection or symptomatic disease</w:t>
      </w:r>
      <w:r>
        <w:rPr>
          <w:rFonts w:ascii="Arial" w:hAnsi="Arial" w:cs="Arial"/>
        </w:rPr>
        <w:t xml:space="preserve"> </w:t>
      </w:r>
      <w:r>
        <w:rPr>
          <w:rFonts w:ascii="Arial" w:hAnsi="Arial" w:cs="Arial"/>
          <w:noProof/>
        </w:rPr>
        <w:t>[22, 69]</w:t>
      </w:r>
      <w:r>
        <w:rPr>
          <w:rFonts w:ascii="Arial" w:hAnsi="Arial" w:cs="Arial"/>
        </w:rPr>
        <w:t>.</w:t>
      </w:r>
      <w:r w:rsidRPr="00954640">
        <w:rPr>
          <w:rFonts w:ascii="Arial" w:hAnsi="Arial" w:cs="Arial"/>
        </w:rPr>
        <w:t xml:space="preserve"> </w:t>
      </w:r>
    </w:p>
    <w:p w:rsidR="005D5162" w:rsidRPr="00954640" w:rsidRDefault="005D5162" w:rsidP="004D658F">
      <w:pPr>
        <w:spacing w:after="0"/>
        <w:jc w:val="both"/>
        <w:rPr>
          <w:rFonts w:ascii="Arial" w:hAnsi="Arial" w:cs="Arial"/>
        </w:rPr>
      </w:pPr>
    </w:p>
    <w:p w:rsidR="005D5162" w:rsidRPr="00954640" w:rsidRDefault="005D5162" w:rsidP="00873B42">
      <w:pPr>
        <w:jc w:val="both"/>
        <w:rPr>
          <w:rFonts w:ascii="Arial" w:hAnsi="Arial" w:cs="Arial"/>
        </w:rPr>
      </w:pPr>
      <w:r w:rsidRPr="00954640">
        <w:rPr>
          <w:rFonts w:ascii="Arial" w:hAnsi="Arial" w:cs="Arial"/>
        </w:rPr>
        <w:t>For this sensitivity analysis, we used the ratio of VE between age groups, and age-stratified estimates of waning VE against severe outcomes reported by</w:t>
      </w:r>
      <w:r>
        <w:rPr>
          <w:rFonts w:ascii="Arial" w:hAnsi="Arial" w:cs="Arial"/>
        </w:rPr>
        <w:t xml:space="preserve"> Cerqueira-Silva et al. </w:t>
      </w:r>
      <w:r>
        <w:rPr>
          <w:rFonts w:ascii="Arial" w:hAnsi="Arial" w:cs="Arial"/>
          <w:noProof/>
        </w:rPr>
        <w:t>[26, 31]</w:t>
      </w:r>
      <w:r>
        <w:rPr>
          <w:rFonts w:ascii="Arial" w:hAnsi="Arial" w:cs="Arial"/>
        </w:rPr>
        <w:t>.</w:t>
      </w:r>
      <w:r w:rsidRPr="00954640">
        <w:rPr>
          <w:rFonts w:ascii="Arial" w:hAnsi="Arial" w:cs="Arial"/>
        </w:rPr>
        <w:t xml:space="preserve"> This ratio and speed of waning were applied to the point estimates presented in S1.2. The data suggested that immunity derived from a primary schedule waned faster than immunity from a booster dose (Figure S4.3). </w:t>
      </w:r>
    </w:p>
    <w:bookmarkEnd w:id="35"/>
    <w:p w:rsidR="005D5162" w:rsidRPr="00954640" w:rsidRDefault="005D5162" w:rsidP="00873B42">
      <w:pPr>
        <w:spacing w:after="0"/>
        <w:jc w:val="both"/>
        <w:rPr>
          <w:rFonts w:ascii="Arial" w:hAnsi="Arial" w:cs="Arial"/>
          <w:sz w:val="20"/>
          <w:szCs w:val="20"/>
        </w:rPr>
      </w:pPr>
      <w:r w:rsidRPr="00954640">
        <w:rPr>
          <w:rFonts w:ascii="Arial" w:hAnsi="Arial" w:cs="Arial"/>
          <w:noProof/>
          <w:lang w:eastAsia="en-AU"/>
        </w:rPr>
        <w:lastRenderedPageBreak/>
        <w:drawing>
          <wp:inline distT="0" distB="0" distL="0" distR="0" wp14:anchorId="11F6DA7B" wp14:editId="3CD839F7">
            <wp:extent cx="5678905" cy="3564255"/>
            <wp:effectExtent l="0" t="0" r="0" b="0"/>
            <wp:docPr id="25" name="Picture 2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line chart&#10;&#10;Description automatically generated"/>
                    <pic:cNvPicPr/>
                  </pic:nvPicPr>
                  <pic:blipFill rotWithShape="1">
                    <a:blip r:embed="rId21"/>
                    <a:srcRect l="903" t="482" r="-1"/>
                    <a:stretch/>
                  </pic:blipFill>
                  <pic:spPr bwMode="auto">
                    <a:xfrm>
                      <a:off x="0" y="0"/>
                      <a:ext cx="5679745" cy="3564782"/>
                    </a:xfrm>
                    <a:prstGeom prst="rect">
                      <a:avLst/>
                    </a:prstGeom>
                    <a:ln>
                      <a:noFill/>
                    </a:ln>
                    <a:extLst>
                      <a:ext uri="{53640926-AAD7-44D8-BBD7-CCE9431645EC}">
                        <a14:shadowObscured xmlns:a14="http://schemas.microsoft.com/office/drawing/2010/main"/>
                      </a:ext>
                    </a:extLst>
                  </pic:spPr>
                </pic:pic>
              </a:graphicData>
            </a:graphic>
          </wp:inline>
        </w:drawing>
      </w:r>
      <w:r w:rsidRPr="00954640">
        <w:rPr>
          <w:rFonts w:ascii="Arial" w:hAnsi="Arial" w:cs="Arial"/>
          <w:b/>
          <w:bCs/>
          <w:sz w:val="20"/>
          <w:szCs w:val="20"/>
        </w:rPr>
        <w:t xml:space="preserve">Figure S4.3 </w:t>
      </w:r>
      <w:r w:rsidRPr="00A13916">
        <w:rPr>
          <w:rFonts w:ascii="Arial" w:hAnsi="Arial" w:cs="Arial"/>
          <w:sz w:val="20"/>
          <w:szCs w:val="20"/>
        </w:rPr>
        <w:t xml:space="preserve">Speed of waning immunity against severe outcomes (adapted from </w:t>
      </w:r>
      <w:r>
        <w:rPr>
          <w:rFonts w:ascii="Arial" w:hAnsi="Arial" w:cs="Arial"/>
          <w:noProof/>
          <w:sz w:val="20"/>
          <w:szCs w:val="20"/>
        </w:rPr>
        <w:t>[26, 31]</w:t>
      </w:r>
      <w:r w:rsidRPr="00A13916">
        <w:rPr>
          <w:rFonts w:ascii="Arial" w:hAnsi="Arial" w:cs="Arial"/>
          <w:sz w:val="20"/>
          <w:szCs w:val="20"/>
        </w:rPr>
        <w:t>)</w:t>
      </w:r>
    </w:p>
    <w:p w:rsidR="005D5162" w:rsidRPr="00954640" w:rsidRDefault="005D5162" w:rsidP="00873B42">
      <w:pPr>
        <w:jc w:val="both"/>
        <w:rPr>
          <w:rFonts w:ascii="Arial" w:hAnsi="Arial" w:cs="Arial"/>
          <w:sz w:val="20"/>
          <w:szCs w:val="20"/>
        </w:rPr>
      </w:pPr>
    </w:p>
    <w:p w:rsidR="005D5162" w:rsidRPr="00954640" w:rsidRDefault="005D5162" w:rsidP="00873B42">
      <w:pPr>
        <w:jc w:val="both"/>
        <w:rPr>
          <w:rFonts w:ascii="Arial" w:hAnsi="Arial" w:cs="Arial"/>
          <w:sz w:val="20"/>
          <w:szCs w:val="20"/>
        </w:rPr>
        <w:sectPr w:rsidR="005D5162" w:rsidRPr="00954640" w:rsidSect="009B745F">
          <w:pgSz w:w="11906" w:h="16838"/>
          <w:pgMar w:top="1440" w:right="1440" w:bottom="1440" w:left="1440" w:header="708" w:footer="708" w:gutter="0"/>
          <w:cols w:space="708"/>
          <w:docGrid w:linePitch="360"/>
        </w:sectPr>
      </w:pPr>
    </w:p>
    <w:p w:rsidR="005D5162" w:rsidRPr="00954640" w:rsidRDefault="005D5162" w:rsidP="003C2BD3">
      <w:pPr>
        <w:spacing w:before="240"/>
        <w:jc w:val="both"/>
        <w:rPr>
          <w:rFonts w:ascii="Arial" w:hAnsi="Arial" w:cs="Arial"/>
          <w:sz w:val="20"/>
          <w:szCs w:val="20"/>
        </w:rPr>
      </w:pPr>
      <w:r w:rsidRPr="00954640">
        <w:rPr>
          <w:rFonts w:ascii="Arial" w:hAnsi="Arial" w:cs="Arial"/>
          <w:b/>
          <w:bCs/>
          <w:sz w:val="20"/>
          <w:szCs w:val="20"/>
        </w:rPr>
        <w:lastRenderedPageBreak/>
        <w:t xml:space="preserve">Table S4.5 </w:t>
      </w:r>
      <w:r w:rsidRPr="00954640">
        <w:rPr>
          <w:rFonts w:ascii="Arial" w:hAnsi="Arial" w:cs="Arial"/>
          <w:i/>
          <w:iCs/>
          <w:sz w:val="20"/>
          <w:szCs w:val="20"/>
        </w:rPr>
        <w:t xml:space="preserve">Sensitivity analysis of main results assuming lower vaccine-derived protection against severe outcomes in older adults. </w:t>
      </w:r>
      <w:r w:rsidRPr="00954640">
        <w:rPr>
          <w:rFonts w:ascii="Arial" w:hAnsi="Arial" w:cs="Arial"/>
          <w:sz w:val="20"/>
          <w:szCs w:val="20"/>
        </w:rPr>
        <w:t>Cumulative outcomes prevented by prioritisation strategies including children 5 to 17 years. Outcomes prevented calculated relative to current adult vaccination program with a population coverage target of 51.6%. Red/green shading indicates the increase/reduction of an outcome.</w:t>
      </w:r>
    </w:p>
    <w:tbl>
      <w:tblPr>
        <w:tblStyle w:val="TableGrid"/>
        <w:tblW w:w="0" w:type="auto"/>
        <w:tblLook w:val="04A0" w:firstRow="1" w:lastRow="0" w:firstColumn="1" w:lastColumn="0" w:noHBand="0" w:noVBand="1"/>
      </w:tblPr>
      <w:tblGrid>
        <w:gridCol w:w="515"/>
        <w:gridCol w:w="559"/>
        <w:gridCol w:w="592"/>
        <w:gridCol w:w="990"/>
        <w:gridCol w:w="579"/>
        <w:gridCol w:w="552"/>
        <w:gridCol w:w="627"/>
        <w:gridCol w:w="622"/>
        <w:gridCol w:w="990"/>
        <w:gridCol w:w="621"/>
        <w:gridCol w:w="621"/>
        <w:gridCol w:w="627"/>
        <w:gridCol w:w="592"/>
        <w:gridCol w:w="990"/>
        <w:gridCol w:w="579"/>
        <w:gridCol w:w="552"/>
        <w:gridCol w:w="627"/>
        <w:gridCol w:w="592"/>
        <w:gridCol w:w="990"/>
        <w:gridCol w:w="579"/>
        <w:gridCol w:w="552"/>
      </w:tblGrid>
      <w:tr w:rsidR="005D5162" w:rsidRPr="00343860" w:rsidTr="004B717D">
        <w:tc>
          <w:tcPr>
            <w:tcW w:w="515" w:type="dxa"/>
          </w:tcPr>
          <w:p w:rsidR="005D5162" w:rsidRPr="00343860" w:rsidRDefault="005D5162" w:rsidP="004B717D">
            <w:pPr>
              <w:rPr>
                <w:rFonts w:asciiTheme="majorHAnsi" w:hAnsiTheme="majorHAnsi" w:cstheme="majorHAnsi"/>
                <w:sz w:val="12"/>
                <w:szCs w:val="12"/>
              </w:rPr>
            </w:pPr>
          </w:p>
        </w:tc>
        <w:tc>
          <w:tcPr>
            <w:tcW w:w="3272" w:type="dxa"/>
            <w:gridSpan w:val="5"/>
          </w:tcPr>
          <w:p w:rsidR="005D5162" w:rsidRPr="00343860" w:rsidRDefault="005D5162" w:rsidP="004B717D">
            <w:pPr>
              <w:jc w:val="center"/>
              <w:rPr>
                <w:rFonts w:asciiTheme="majorHAnsi" w:hAnsiTheme="majorHAnsi" w:cstheme="majorHAnsi"/>
                <w:sz w:val="12"/>
                <w:szCs w:val="12"/>
              </w:rPr>
            </w:pPr>
            <w:r w:rsidRPr="00343860">
              <w:rPr>
                <w:rFonts w:asciiTheme="majorHAnsi" w:hAnsiTheme="majorHAnsi" w:cstheme="majorHAnsi"/>
                <w:b/>
                <w:bCs/>
                <w:sz w:val="20"/>
                <w:szCs w:val="20"/>
              </w:rPr>
              <w:t>Children (0-4 years)</w:t>
            </w:r>
          </w:p>
        </w:tc>
        <w:tc>
          <w:tcPr>
            <w:tcW w:w="3481" w:type="dxa"/>
            <w:gridSpan w:val="5"/>
          </w:tcPr>
          <w:p w:rsidR="005D5162" w:rsidRPr="00343860" w:rsidRDefault="005D5162" w:rsidP="004B717D">
            <w:pPr>
              <w:jc w:val="center"/>
              <w:rPr>
                <w:rFonts w:asciiTheme="majorHAnsi" w:hAnsiTheme="majorHAnsi" w:cstheme="majorHAnsi"/>
                <w:sz w:val="12"/>
                <w:szCs w:val="12"/>
              </w:rPr>
            </w:pPr>
            <w:r w:rsidRPr="00343860">
              <w:rPr>
                <w:rFonts w:asciiTheme="majorHAnsi" w:hAnsiTheme="majorHAnsi" w:cstheme="majorHAnsi"/>
                <w:b/>
                <w:bCs/>
                <w:sz w:val="20"/>
                <w:szCs w:val="20"/>
              </w:rPr>
              <w:t>Children (5-17 years)</w:t>
            </w:r>
          </w:p>
        </w:tc>
        <w:tc>
          <w:tcPr>
            <w:tcW w:w="3340" w:type="dxa"/>
            <w:gridSpan w:val="5"/>
          </w:tcPr>
          <w:p w:rsidR="005D5162" w:rsidRPr="00343860" w:rsidRDefault="005D5162" w:rsidP="004B717D">
            <w:pPr>
              <w:jc w:val="center"/>
              <w:rPr>
                <w:rFonts w:asciiTheme="majorHAnsi" w:hAnsiTheme="majorHAnsi" w:cstheme="majorHAnsi"/>
                <w:sz w:val="12"/>
                <w:szCs w:val="12"/>
              </w:rPr>
            </w:pPr>
            <w:r w:rsidRPr="00343860">
              <w:rPr>
                <w:rFonts w:asciiTheme="majorHAnsi" w:hAnsiTheme="majorHAnsi" w:cstheme="majorHAnsi"/>
                <w:b/>
                <w:bCs/>
                <w:sz w:val="20"/>
                <w:szCs w:val="20"/>
              </w:rPr>
              <w:t>Adults (18+ years)</w:t>
            </w:r>
          </w:p>
        </w:tc>
        <w:tc>
          <w:tcPr>
            <w:tcW w:w="3340" w:type="dxa"/>
            <w:gridSpan w:val="5"/>
          </w:tcPr>
          <w:p w:rsidR="005D5162" w:rsidRPr="00343860" w:rsidRDefault="005D5162" w:rsidP="004B717D">
            <w:pPr>
              <w:jc w:val="center"/>
              <w:rPr>
                <w:rFonts w:asciiTheme="majorHAnsi" w:hAnsiTheme="majorHAnsi" w:cstheme="majorHAnsi"/>
                <w:sz w:val="12"/>
                <w:szCs w:val="12"/>
              </w:rPr>
            </w:pPr>
            <w:r w:rsidRPr="00343860">
              <w:rPr>
                <w:rFonts w:asciiTheme="majorHAnsi" w:hAnsiTheme="majorHAnsi" w:cstheme="majorHAnsi"/>
                <w:b/>
                <w:bCs/>
                <w:sz w:val="20"/>
                <w:szCs w:val="20"/>
              </w:rPr>
              <w:t>Overall</w:t>
            </w:r>
          </w:p>
        </w:tc>
      </w:tr>
      <w:tr w:rsidR="005D5162" w:rsidRPr="00343860" w:rsidTr="004B717D">
        <w:tc>
          <w:tcPr>
            <w:tcW w:w="515" w:type="dxa"/>
          </w:tcPr>
          <w:p w:rsidR="005D5162" w:rsidRPr="00343860" w:rsidRDefault="005D5162" w:rsidP="004B717D">
            <w:pPr>
              <w:rPr>
                <w:rFonts w:asciiTheme="majorHAnsi" w:hAnsiTheme="majorHAnsi" w:cstheme="majorHAnsi"/>
                <w:sz w:val="12"/>
                <w:szCs w:val="12"/>
              </w:rPr>
            </w:pPr>
          </w:p>
        </w:tc>
        <w:tc>
          <w:tcPr>
            <w:tcW w:w="559"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Cases</w:t>
            </w:r>
          </w:p>
        </w:tc>
        <w:tc>
          <w:tcPr>
            <w:tcW w:w="59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Severe disease</w:t>
            </w:r>
          </w:p>
        </w:tc>
        <w:tc>
          <w:tcPr>
            <w:tcW w:w="990"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Hospitalisations</w:t>
            </w:r>
          </w:p>
        </w:tc>
        <w:tc>
          <w:tcPr>
            <w:tcW w:w="579"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Deaths</w:t>
            </w:r>
          </w:p>
        </w:tc>
        <w:tc>
          <w:tcPr>
            <w:tcW w:w="55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YLL</w:t>
            </w:r>
          </w:p>
        </w:tc>
        <w:tc>
          <w:tcPr>
            <w:tcW w:w="627"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Cases</w:t>
            </w:r>
          </w:p>
        </w:tc>
        <w:tc>
          <w:tcPr>
            <w:tcW w:w="62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Severe disease</w:t>
            </w:r>
          </w:p>
        </w:tc>
        <w:tc>
          <w:tcPr>
            <w:tcW w:w="990"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Hospitalisations</w:t>
            </w:r>
          </w:p>
        </w:tc>
        <w:tc>
          <w:tcPr>
            <w:tcW w:w="621"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Deaths</w:t>
            </w:r>
          </w:p>
        </w:tc>
        <w:tc>
          <w:tcPr>
            <w:tcW w:w="621"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YLL</w:t>
            </w:r>
          </w:p>
        </w:tc>
        <w:tc>
          <w:tcPr>
            <w:tcW w:w="627"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Cases</w:t>
            </w:r>
          </w:p>
        </w:tc>
        <w:tc>
          <w:tcPr>
            <w:tcW w:w="59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Severe disease</w:t>
            </w:r>
          </w:p>
        </w:tc>
        <w:tc>
          <w:tcPr>
            <w:tcW w:w="990"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Hospitalisations</w:t>
            </w:r>
          </w:p>
        </w:tc>
        <w:tc>
          <w:tcPr>
            <w:tcW w:w="579"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Deaths</w:t>
            </w:r>
          </w:p>
        </w:tc>
        <w:tc>
          <w:tcPr>
            <w:tcW w:w="55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YLL</w:t>
            </w:r>
          </w:p>
        </w:tc>
        <w:tc>
          <w:tcPr>
            <w:tcW w:w="627"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Cases</w:t>
            </w:r>
          </w:p>
        </w:tc>
        <w:tc>
          <w:tcPr>
            <w:tcW w:w="59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Severe disease</w:t>
            </w:r>
          </w:p>
        </w:tc>
        <w:tc>
          <w:tcPr>
            <w:tcW w:w="990"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Hospitalisations</w:t>
            </w:r>
          </w:p>
        </w:tc>
        <w:tc>
          <w:tcPr>
            <w:tcW w:w="579"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Deaths</w:t>
            </w:r>
          </w:p>
        </w:tc>
        <w:tc>
          <w:tcPr>
            <w:tcW w:w="552" w:type="dxa"/>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sz w:val="12"/>
                <w:szCs w:val="12"/>
              </w:rPr>
              <w:t>YLL</w:t>
            </w:r>
          </w:p>
        </w:tc>
      </w:tr>
      <w:tr w:rsidR="005D5162" w:rsidRPr="00343860" w:rsidTr="004B717D">
        <w:tc>
          <w:tcPr>
            <w:tcW w:w="13948" w:type="dxa"/>
            <w:gridSpan w:val="21"/>
          </w:tcPr>
          <w:p w:rsidR="005D5162" w:rsidRPr="00343860" w:rsidRDefault="005D5162" w:rsidP="0006565F">
            <w:pPr>
              <w:rPr>
                <w:rFonts w:asciiTheme="majorHAnsi" w:hAnsiTheme="majorHAnsi" w:cstheme="majorHAnsi"/>
                <w:sz w:val="12"/>
                <w:szCs w:val="12"/>
              </w:rPr>
            </w:pPr>
            <w:r w:rsidRPr="00343860">
              <w:rPr>
                <w:rFonts w:asciiTheme="majorHAnsi" w:hAnsiTheme="majorHAnsi" w:cstheme="majorHAnsi"/>
                <w:b/>
                <w:bCs/>
                <w:sz w:val="20"/>
                <w:szCs w:val="20"/>
              </w:rPr>
              <w:t>Expanding to children concurrently with the adult rollout</w:t>
            </w:r>
          </w:p>
        </w:tc>
      </w:tr>
      <w:tr w:rsidR="005D5162" w:rsidRPr="00343860" w:rsidTr="00064AA3">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51.6%</w:t>
            </w:r>
          </w:p>
        </w:tc>
        <w:tc>
          <w:tcPr>
            <w:tcW w:w="559"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2064</w:t>
            </w:r>
          </w:p>
        </w:tc>
        <w:tc>
          <w:tcPr>
            <w:tcW w:w="592"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990"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27</w:t>
            </w:r>
          </w:p>
        </w:tc>
        <w:tc>
          <w:tcPr>
            <w:tcW w:w="579"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52"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-63664</w:t>
            </w:r>
          </w:p>
        </w:tc>
        <w:tc>
          <w:tcPr>
            <w:tcW w:w="62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-48</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-2905</w:t>
            </w:r>
          </w:p>
        </w:tc>
        <w:tc>
          <w:tcPr>
            <w:tcW w:w="621"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w:t>
            </w:r>
          </w:p>
        </w:tc>
        <w:tc>
          <w:tcPr>
            <w:tcW w:w="621"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-259</w:t>
            </w:r>
          </w:p>
        </w:tc>
        <w:tc>
          <w:tcPr>
            <w:tcW w:w="627"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46438</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582</w:t>
            </w:r>
          </w:p>
        </w:tc>
        <w:tc>
          <w:tcPr>
            <w:tcW w:w="990"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2575</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w:t>
            </w:r>
          </w:p>
        </w:tc>
        <w:tc>
          <w:tcPr>
            <w:tcW w:w="55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358</w:t>
            </w:r>
          </w:p>
        </w:tc>
        <w:tc>
          <w:tcPr>
            <w:tcW w:w="627"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-15162</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534</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-302</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552"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102</w:t>
            </w:r>
          </w:p>
        </w:tc>
      </w:tr>
      <w:tr w:rsidR="005D5162" w:rsidRPr="00343860" w:rsidTr="00064AA3">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92"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990"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79"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52" w:type="dxa"/>
            <w:shd w:val="clear" w:color="000000" w:fill="FCE4D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62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-8.5%</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-8.5%</w:t>
            </w:r>
          </w:p>
        </w:tc>
        <w:tc>
          <w:tcPr>
            <w:tcW w:w="621"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-8.4%</w:t>
            </w:r>
          </w:p>
        </w:tc>
        <w:tc>
          <w:tcPr>
            <w:tcW w:w="621"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-8.4%</w:t>
            </w:r>
          </w:p>
        </w:tc>
        <w:tc>
          <w:tcPr>
            <w:tcW w:w="627"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0.8%</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990"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0.8%</w:t>
            </w:r>
          </w:p>
        </w:tc>
        <w:tc>
          <w:tcPr>
            <w:tcW w:w="55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1.6%</w:t>
            </w:r>
          </w:p>
        </w:tc>
        <w:tc>
          <w:tcPr>
            <w:tcW w:w="627"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0.5%</w:t>
            </w:r>
          </w:p>
        </w:tc>
        <w:tc>
          <w:tcPr>
            <w:tcW w:w="552"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0.4%</w:t>
            </w:r>
          </w:p>
        </w:tc>
      </w:tr>
      <w:tr w:rsidR="005D5162" w:rsidRPr="00343860" w:rsidTr="00064AA3">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60%</w:t>
            </w:r>
          </w:p>
        </w:tc>
        <w:tc>
          <w:tcPr>
            <w:tcW w:w="559" w:type="dxa"/>
            <w:shd w:val="clear" w:color="000000" w:fill="E2EFDA"/>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-563</w:t>
            </w:r>
          </w:p>
        </w:tc>
        <w:tc>
          <w:tcPr>
            <w:tcW w:w="592"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990"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79"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52"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-111616</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-72</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-4362</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-389</w:t>
            </w:r>
          </w:p>
        </w:tc>
        <w:tc>
          <w:tcPr>
            <w:tcW w:w="627"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29300</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402</w:t>
            </w:r>
          </w:p>
        </w:tc>
        <w:tc>
          <w:tcPr>
            <w:tcW w:w="990"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1869</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w:t>
            </w:r>
          </w:p>
        </w:tc>
        <w:tc>
          <w:tcPr>
            <w:tcW w:w="552" w:type="dxa"/>
            <w:shd w:val="clear" w:color="auto" w:fill="F7CAAC" w:themeFill="accent2"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227</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-82880</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330</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-2492</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-161</w:t>
            </w:r>
          </w:p>
        </w:tc>
      </w:tr>
      <w:tr w:rsidR="005D5162" w:rsidRPr="00343860" w:rsidTr="00064AA3">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E2EFDA"/>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-0.1%</w:t>
            </w:r>
          </w:p>
        </w:tc>
        <w:tc>
          <w:tcPr>
            <w:tcW w:w="592"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0.0%</w:t>
            </w:r>
          </w:p>
        </w:tc>
        <w:tc>
          <w:tcPr>
            <w:tcW w:w="990"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0.0%</w:t>
            </w:r>
          </w:p>
        </w:tc>
        <w:tc>
          <w:tcPr>
            <w:tcW w:w="579"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0.0%</w:t>
            </w:r>
          </w:p>
        </w:tc>
        <w:tc>
          <w:tcPr>
            <w:tcW w:w="552" w:type="dxa"/>
            <w:shd w:val="clear" w:color="auto" w:fill="F2F2F2" w:themeFill="background1" w:themeFillShade="F2"/>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0.0%</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-3.7%</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-12.7%</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-12.7%</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-12.7%</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-12.7%</w:t>
            </w:r>
          </w:p>
        </w:tc>
        <w:tc>
          <w:tcPr>
            <w:tcW w:w="627"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0.5%</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w:t>
            </w:r>
          </w:p>
        </w:tc>
        <w:tc>
          <w:tcPr>
            <w:tcW w:w="990"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2.2%</w:t>
            </w:r>
          </w:p>
        </w:tc>
        <w:tc>
          <w:tcPr>
            <w:tcW w:w="579"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0.3%</w:t>
            </w:r>
          </w:p>
        </w:tc>
        <w:tc>
          <w:tcPr>
            <w:tcW w:w="552" w:type="dxa"/>
            <w:shd w:val="clear" w:color="auto" w:fill="F7CAAC" w:themeFill="accent2"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-0.9%</w:t>
            </w:r>
          </w:p>
        </w:tc>
        <w:tc>
          <w:tcPr>
            <w:tcW w:w="592" w:type="dxa"/>
            <w:shd w:val="clear" w:color="000000" w:fill="F8CBAD"/>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-0.1%</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-0.6%</w:t>
            </w:r>
          </w:p>
        </w:tc>
      </w:tr>
      <w:tr w:rsidR="005D5162" w:rsidRPr="00343860" w:rsidTr="00E013CC">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70%</w:t>
            </w: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-15528</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-178</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-211613</w:t>
            </w:r>
          </w:p>
        </w:tc>
        <w:tc>
          <w:tcPr>
            <w:tcW w:w="622"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-102</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-6145</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-547</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-44289</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-67</w:t>
            </w:r>
          </w:p>
        </w:tc>
        <w:tc>
          <w:tcPr>
            <w:tcW w:w="990"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309</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-26</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-153</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-271430</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-171</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-6014</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-37</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-721</w:t>
            </w:r>
          </w:p>
        </w:tc>
      </w:tr>
      <w:tr w:rsidR="005D5162" w:rsidRPr="00343860" w:rsidTr="00E013CC">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-1.4%</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-7.0%</w:t>
            </w:r>
          </w:p>
        </w:tc>
        <w:tc>
          <w:tcPr>
            <w:tcW w:w="622" w:type="dxa"/>
            <w:shd w:val="clear" w:color="000000" w:fill="A9D08E"/>
            <w:vAlign w:val="bottom"/>
          </w:tcPr>
          <w:p w:rsidR="005D5162" w:rsidRPr="00343860" w:rsidRDefault="005D5162" w:rsidP="00064AA3">
            <w:pPr>
              <w:jc w:val="right"/>
              <w:rPr>
                <w:rFonts w:asciiTheme="majorHAnsi" w:hAnsiTheme="majorHAnsi" w:cstheme="majorHAnsi"/>
                <w:color w:val="000000"/>
                <w:sz w:val="12"/>
                <w:szCs w:val="12"/>
              </w:rPr>
            </w:pPr>
            <w:r w:rsidRPr="00343860">
              <w:rPr>
                <w:rFonts w:asciiTheme="majorHAnsi" w:hAnsiTheme="majorHAnsi" w:cstheme="majorHAnsi"/>
                <w:color w:val="000000"/>
                <w:sz w:val="12"/>
                <w:szCs w:val="12"/>
              </w:rPr>
              <w:t>-17.9%</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-17.9%</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-17.9%</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-17.8%</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-0.8%</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990" w:type="dxa"/>
            <w:shd w:val="clear" w:color="auto" w:fill="FBE4D5" w:themeFill="accent2"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0.4%</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-1.4%</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-0.7%</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-2.8%</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-0.6%</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-4.5%</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-2.7%</w:t>
            </w:r>
          </w:p>
        </w:tc>
      </w:tr>
      <w:tr w:rsidR="005D5162" w:rsidRPr="00343860" w:rsidTr="00987AE5">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75.5%</w:t>
            </w: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-24746</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-291</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-34</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-264762</w:t>
            </w:r>
          </w:p>
        </w:tc>
        <w:tc>
          <w:tcPr>
            <w:tcW w:w="622"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-114</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-6848</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-610</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-91656</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-329</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-540</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-44</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-369</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-381163</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-446</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-7678</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-57</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-1012</w:t>
            </w:r>
          </w:p>
        </w:tc>
      </w:tr>
      <w:tr w:rsidR="005D5162" w:rsidRPr="00343860" w:rsidTr="00987AE5">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-2.2%</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-8.8%</w:t>
            </w:r>
          </w:p>
        </w:tc>
        <w:tc>
          <w:tcPr>
            <w:tcW w:w="622"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-20.0%</w:t>
            </w:r>
          </w:p>
        </w:tc>
        <w:tc>
          <w:tcPr>
            <w:tcW w:w="990"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-19.9%</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-19.9%</w:t>
            </w:r>
          </w:p>
        </w:tc>
        <w:tc>
          <w:tcPr>
            <w:tcW w:w="621" w:type="dxa"/>
            <w:shd w:val="clear" w:color="000000" w:fill="A9D08E"/>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-19.9%</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-0.6%</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-2.4%</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-3.9%</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-1.6%</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-5.8%</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-3.8%</w:t>
            </w:r>
          </w:p>
        </w:tc>
      </w:tr>
      <w:tr w:rsidR="005D5162" w:rsidRPr="00343860" w:rsidTr="004B717D">
        <w:tc>
          <w:tcPr>
            <w:tcW w:w="13948" w:type="dxa"/>
            <w:gridSpan w:val="21"/>
          </w:tcPr>
          <w:p w:rsidR="005D5162" w:rsidRPr="00343860" w:rsidRDefault="005D5162" w:rsidP="004B717D">
            <w:pPr>
              <w:rPr>
                <w:rFonts w:asciiTheme="majorHAnsi" w:hAnsiTheme="majorHAnsi" w:cstheme="majorHAnsi"/>
                <w:sz w:val="12"/>
                <w:szCs w:val="12"/>
              </w:rPr>
            </w:pPr>
            <w:r w:rsidRPr="00343860">
              <w:rPr>
                <w:rFonts w:asciiTheme="majorHAnsi" w:hAnsiTheme="majorHAnsi" w:cstheme="majorHAnsi"/>
                <w:b/>
                <w:bCs/>
                <w:sz w:val="20"/>
                <w:szCs w:val="20"/>
              </w:rPr>
              <w:t>Expanding to children after adult rollout</w:t>
            </w:r>
          </w:p>
        </w:tc>
      </w:tr>
      <w:tr w:rsidR="005D5162" w:rsidRPr="00343860" w:rsidTr="00987AE5">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60%</w:t>
            </w:r>
          </w:p>
        </w:tc>
        <w:tc>
          <w:tcPr>
            <w:tcW w:w="55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-2987</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-91028</w:t>
            </w:r>
          </w:p>
        </w:tc>
        <w:tc>
          <w:tcPr>
            <w:tcW w:w="62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-54</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-3255</w:t>
            </w:r>
          </w:p>
        </w:tc>
        <w:tc>
          <w:tcPr>
            <w:tcW w:w="621"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w:t>
            </w:r>
          </w:p>
        </w:tc>
        <w:tc>
          <w:tcPr>
            <w:tcW w:w="621"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-290</w:t>
            </w:r>
          </w:p>
        </w:tc>
        <w:tc>
          <w:tcPr>
            <w:tcW w:w="627"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-4353</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-41</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-57</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-52</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-98368</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-96</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-3343</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-346</w:t>
            </w:r>
          </w:p>
        </w:tc>
      </w:tr>
      <w:tr w:rsidR="005D5162" w:rsidRPr="00343860" w:rsidTr="00987AE5">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-0.3%</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w:t>
            </w:r>
          </w:p>
        </w:tc>
        <w:tc>
          <w:tcPr>
            <w:tcW w:w="62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-9.5%</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-9.5%</w:t>
            </w:r>
          </w:p>
        </w:tc>
        <w:tc>
          <w:tcPr>
            <w:tcW w:w="621"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-9.5%</w:t>
            </w:r>
          </w:p>
        </w:tc>
        <w:tc>
          <w:tcPr>
            <w:tcW w:w="621"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-9.5%</w:t>
            </w:r>
          </w:p>
        </w:tc>
        <w:tc>
          <w:tcPr>
            <w:tcW w:w="627"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-0.1%</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990"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-0.1%</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-0.4%</w:t>
            </w:r>
          </w:p>
        </w:tc>
        <w:tc>
          <w:tcPr>
            <w:tcW w:w="55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-0.2%</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592"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-0.3%</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-2.5%</w:t>
            </w:r>
          </w:p>
        </w:tc>
        <w:tc>
          <w:tcPr>
            <w:tcW w:w="579" w:type="dxa"/>
            <w:shd w:val="clear" w:color="auto" w:fill="E2EFD9" w:themeFill="accent6" w:themeFillTint="33"/>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-0.7%</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r>
      <w:tr w:rsidR="005D5162" w:rsidRPr="00343860" w:rsidTr="00E013CC">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70%</w:t>
            </w: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-15912</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-185</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0</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-204398</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-90</w:t>
            </w:r>
          </w:p>
        </w:tc>
        <w:tc>
          <w:tcPr>
            <w:tcW w:w="990"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-5399</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-9</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-481</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-52809</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-326</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-855</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-32</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-311</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-273119</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-418</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-6439</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-42</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-813</w:t>
            </w:r>
          </w:p>
        </w:tc>
      </w:tr>
      <w:tr w:rsidR="005D5162" w:rsidRPr="00343860" w:rsidTr="00E013CC">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-1.4%</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-6.8%</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-15.8%</w:t>
            </w:r>
          </w:p>
        </w:tc>
        <w:tc>
          <w:tcPr>
            <w:tcW w:w="990"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-15.7%</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-15.7%</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-15.7%</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-1.2%</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-1.7%</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-1.4%</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-2.8%</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-4.8%</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55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-3.0%</w:t>
            </w:r>
          </w:p>
        </w:tc>
      </w:tr>
      <w:tr w:rsidR="005D5162" w:rsidRPr="00343860" w:rsidTr="00C5654B">
        <w:tc>
          <w:tcPr>
            <w:tcW w:w="515" w:type="dxa"/>
            <w:vMerge w:val="restart"/>
          </w:tcPr>
          <w:p w:rsidR="005D5162" w:rsidRPr="00343860" w:rsidRDefault="005D5162" w:rsidP="00064AA3">
            <w:pPr>
              <w:rPr>
                <w:rFonts w:asciiTheme="majorHAnsi" w:hAnsiTheme="majorHAnsi" w:cstheme="majorHAnsi"/>
                <w:sz w:val="12"/>
                <w:szCs w:val="12"/>
              </w:rPr>
            </w:pPr>
            <w:r w:rsidRPr="00343860">
              <w:rPr>
                <w:rFonts w:asciiTheme="majorHAnsi" w:hAnsiTheme="majorHAnsi" w:cstheme="majorHAnsi"/>
                <w:sz w:val="12"/>
                <w:szCs w:val="12"/>
              </w:rPr>
              <w:t>75.5%</w:t>
            </w: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-23441</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-277</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-32</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-261503</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-103</w:t>
            </w:r>
          </w:p>
        </w:tc>
        <w:tc>
          <w:tcPr>
            <w:tcW w:w="990"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-6193</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-552</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-84673</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-503</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-1375</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-47</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-466</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-369617</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-609</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-7845</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-58</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-1050</w:t>
            </w:r>
          </w:p>
        </w:tc>
      </w:tr>
      <w:tr w:rsidR="005D5162" w:rsidRPr="00343860" w:rsidTr="00C5654B">
        <w:tc>
          <w:tcPr>
            <w:tcW w:w="515" w:type="dxa"/>
            <w:vMerge/>
          </w:tcPr>
          <w:p w:rsidR="005D5162" w:rsidRPr="00343860" w:rsidRDefault="005D5162" w:rsidP="00064AA3">
            <w:pPr>
              <w:rPr>
                <w:rFonts w:asciiTheme="majorHAnsi" w:hAnsiTheme="majorHAnsi" w:cstheme="majorHAnsi"/>
                <w:sz w:val="12"/>
                <w:szCs w:val="12"/>
              </w:rPr>
            </w:pPr>
          </w:p>
        </w:tc>
        <w:tc>
          <w:tcPr>
            <w:tcW w:w="55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592"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w:t>
            </w:r>
          </w:p>
        </w:tc>
        <w:tc>
          <w:tcPr>
            <w:tcW w:w="579"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-2.0%</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-8.6%</w:t>
            </w:r>
          </w:p>
        </w:tc>
        <w:tc>
          <w:tcPr>
            <w:tcW w:w="622"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-18.1%</w:t>
            </w:r>
          </w:p>
        </w:tc>
        <w:tc>
          <w:tcPr>
            <w:tcW w:w="990"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-18.0%</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-18.0%</w:t>
            </w:r>
          </w:p>
        </w:tc>
        <w:tc>
          <w:tcPr>
            <w:tcW w:w="621" w:type="dxa"/>
            <w:shd w:val="clear" w:color="auto" w:fill="A8D08D" w:themeFill="accent6" w:themeFillTint="99"/>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-18.0%</w:t>
            </w:r>
          </w:p>
        </w:tc>
        <w:tc>
          <w:tcPr>
            <w:tcW w:w="627"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-1.5%</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-1.9%</w:t>
            </w:r>
          </w:p>
        </w:tc>
        <w:tc>
          <w:tcPr>
            <w:tcW w:w="990"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-1.6%</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-2.5%</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-2.1%</w:t>
            </w:r>
          </w:p>
        </w:tc>
        <w:tc>
          <w:tcPr>
            <w:tcW w:w="627"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-3.8%</w:t>
            </w:r>
          </w:p>
        </w:tc>
        <w:tc>
          <w:tcPr>
            <w:tcW w:w="59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-2.2%</w:t>
            </w:r>
          </w:p>
        </w:tc>
        <w:tc>
          <w:tcPr>
            <w:tcW w:w="990" w:type="dxa"/>
            <w:shd w:val="clear" w:color="000000" w:fill="C6E0B4"/>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-5.9%</w:t>
            </w:r>
          </w:p>
        </w:tc>
        <w:tc>
          <w:tcPr>
            <w:tcW w:w="579"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-2.9%</w:t>
            </w:r>
          </w:p>
        </w:tc>
        <w:tc>
          <w:tcPr>
            <w:tcW w:w="552" w:type="dxa"/>
            <w:shd w:val="clear" w:color="auto" w:fill="C5E0B3" w:themeFill="accent6" w:themeFillTint="66"/>
            <w:vAlign w:val="bottom"/>
          </w:tcPr>
          <w:p w:rsidR="005D5162" w:rsidRPr="00343860" w:rsidRDefault="005D5162" w:rsidP="00064AA3">
            <w:pPr>
              <w:jc w:val="right"/>
              <w:rPr>
                <w:rFonts w:asciiTheme="majorHAnsi" w:hAnsiTheme="majorHAnsi" w:cstheme="majorHAnsi"/>
                <w:sz w:val="12"/>
                <w:szCs w:val="12"/>
              </w:rPr>
            </w:pPr>
            <w:r w:rsidRPr="00343860">
              <w:rPr>
                <w:rFonts w:asciiTheme="majorHAnsi" w:hAnsiTheme="majorHAnsi" w:cstheme="majorHAnsi"/>
                <w:color w:val="000000"/>
                <w:sz w:val="12"/>
                <w:szCs w:val="12"/>
              </w:rPr>
              <w:t>-3.9%</w:t>
            </w:r>
          </w:p>
        </w:tc>
      </w:tr>
    </w:tbl>
    <w:p w:rsidR="005D5162" w:rsidRPr="00954640" w:rsidRDefault="005D5162" w:rsidP="004C5629">
      <w:pPr>
        <w:spacing w:before="240" w:after="0"/>
        <w:rPr>
          <w:rFonts w:ascii="Arial" w:hAnsi="Arial" w:cs="Arial"/>
          <w:sz w:val="20"/>
          <w:szCs w:val="20"/>
        </w:rPr>
      </w:pPr>
    </w:p>
    <w:p w:rsidR="005D5162" w:rsidRPr="00954640" w:rsidRDefault="005D5162" w:rsidP="003C2BD3">
      <w:pPr>
        <w:jc w:val="both"/>
        <w:rPr>
          <w:rFonts w:ascii="Arial" w:hAnsi="Arial" w:cs="Arial"/>
          <w:sz w:val="20"/>
          <w:szCs w:val="20"/>
        </w:rPr>
      </w:pPr>
      <w:r w:rsidRPr="00954640">
        <w:rPr>
          <w:rFonts w:ascii="Arial" w:hAnsi="Arial" w:cs="Arial"/>
          <w:sz w:val="20"/>
          <w:szCs w:val="20"/>
        </w:rPr>
        <w:br w:type="page"/>
      </w:r>
      <w:r w:rsidRPr="00954640">
        <w:rPr>
          <w:rFonts w:ascii="Arial" w:hAnsi="Arial" w:cs="Arial"/>
          <w:b/>
          <w:bCs/>
          <w:sz w:val="20"/>
          <w:szCs w:val="20"/>
        </w:rPr>
        <w:lastRenderedPageBreak/>
        <w:t xml:space="preserve">Table S4.6 </w:t>
      </w:r>
      <w:r w:rsidRPr="00954640">
        <w:rPr>
          <w:rFonts w:ascii="Arial" w:hAnsi="Arial" w:cs="Arial"/>
          <w:i/>
          <w:iCs/>
          <w:sz w:val="20"/>
          <w:szCs w:val="20"/>
        </w:rPr>
        <w:t xml:space="preserve">Sensitivity analysis of main results assuming lower vaccine-derived protection against severe outcomes in older adults. </w:t>
      </w:r>
      <w:r w:rsidRPr="00954640">
        <w:rPr>
          <w:rFonts w:ascii="Arial" w:hAnsi="Arial" w:cs="Arial"/>
          <w:sz w:val="20"/>
          <w:szCs w:val="20"/>
        </w:rPr>
        <w:t>Cumulative outcomes prevented by risk-specific prioritisation strategies. Outcomes prevented calculated relative to current adult vaccination program with a population coverage target of 51.6% and uniform eligibility. Red/green shading indicates the increase/reduction of an outcome.</w:t>
      </w:r>
    </w:p>
    <w:tbl>
      <w:tblPr>
        <w:tblStyle w:val="TableGrid"/>
        <w:tblW w:w="0" w:type="auto"/>
        <w:tblLook w:val="04A0" w:firstRow="1" w:lastRow="0" w:firstColumn="1" w:lastColumn="0" w:noHBand="0" w:noVBand="1"/>
      </w:tblPr>
      <w:tblGrid>
        <w:gridCol w:w="3539"/>
        <w:gridCol w:w="1701"/>
        <w:gridCol w:w="2268"/>
        <w:gridCol w:w="1701"/>
        <w:gridCol w:w="1559"/>
        <w:gridCol w:w="1560"/>
        <w:gridCol w:w="1620"/>
      </w:tblGrid>
      <w:tr w:rsidR="005D5162" w:rsidRPr="00343860" w:rsidTr="004B717D">
        <w:tc>
          <w:tcPr>
            <w:tcW w:w="3539" w:type="dxa"/>
          </w:tcPr>
          <w:p w:rsidR="005D5162" w:rsidRPr="00343860" w:rsidRDefault="005D5162" w:rsidP="004B717D">
            <w:pPr>
              <w:keepNext/>
              <w:rPr>
                <w:rFonts w:asciiTheme="majorHAnsi" w:hAnsiTheme="majorHAnsi" w:cstheme="majorHAnsi"/>
                <w:sz w:val="18"/>
                <w:szCs w:val="18"/>
              </w:rPr>
            </w:pPr>
          </w:p>
        </w:tc>
        <w:tc>
          <w:tcPr>
            <w:tcW w:w="1701"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w:t>
            </w:r>
          </w:p>
        </w:tc>
        <w:tc>
          <w:tcPr>
            <w:tcW w:w="2268"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 of severe disease</w:t>
            </w:r>
          </w:p>
        </w:tc>
        <w:tc>
          <w:tcPr>
            <w:tcW w:w="1701"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Hospitalisations</w:t>
            </w:r>
          </w:p>
        </w:tc>
        <w:tc>
          <w:tcPr>
            <w:tcW w:w="1559"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Deaths</w:t>
            </w:r>
          </w:p>
        </w:tc>
        <w:tc>
          <w:tcPr>
            <w:tcW w:w="1560"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YLL</w:t>
            </w:r>
          </w:p>
        </w:tc>
        <w:tc>
          <w:tcPr>
            <w:tcW w:w="1620"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Neonatal deaths</w:t>
            </w:r>
          </w:p>
        </w:tc>
      </w:tr>
      <w:tr w:rsidR="005D5162" w:rsidRPr="00343860" w:rsidTr="004B717D">
        <w:tc>
          <w:tcPr>
            <w:tcW w:w="13948" w:type="dxa"/>
            <w:gridSpan w:val="7"/>
          </w:tcPr>
          <w:p w:rsidR="005D5162" w:rsidRPr="00343860" w:rsidRDefault="005D5162" w:rsidP="004B717D">
            <w:pPr>
              <w:keepNext/>
              <w:spacing w:before="120"/>
              <w:rPr>
                <w:rFonts w:asciiTheme="majorHAnsi" w:hAnsiTheme="majorHAnsi" w:cstheme="majorHAnsi"/>
              </w:rPr>
            </w:pPr>
            <w:r w:rsidRPr="00343860">
              <w:rPr>
                <w:rFonts w:asciiTheme="majorHAnsi" w:hAnsiTheme="majorHAnsi" w:cstheme="majorHAnsi"/>
              </w:rPr>
              <w:t>Pregnant women</w:t>
            </w:r>
          </w:p>
        </w:tc>
      </w:tr>
      <w:tr w:rsidR="005D5162" w:rsidRPr="00343860" w:rsidTr="004B717D">
        <w:tc>
          <w:tcPr>
            <w:tcW w:w="13948" w:type="dxa"/>
            <w:gridSpan w:val="7"/>
          </w:tcPr>
          <w:p w:rsidR="005D5162" w:rsidRPr="00343860" w:rsidRDefault="005D5162" w:rsidP="004B717D">
            <w:pPr>
              <w:keepNext/>
              <w:rPr>
                <w:rFonts w:asciiTheme="majorHAnsi" w:hAnsiTheme="majorHAnsi" w:cstheme="majorHAnsi"/>
                <w:b/>
                <w:bCs/>
                <w:sz w:val="20"/>
                <w:szCs w:val="20"/>
              </w:rPr>
            </w:pPr>
            <w:r w:rsidRPr="00343860">
              <w:rPr>
                <w:rFonts w:asciiTheme="majorHAnsi" w:hAnsiTheme="majorHAnsi" w:cstheme="majorHAnsi"/>
                <w:b/>
                <w:bCs/>
                <w:sz w:val="20"/>
                <w:szCs w:val="20"/>
              </w:rPr>
              <w:t>Prioritising within existing rollout capacity</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560 (0.0%)</w:t>
            </w:r>
          </w:p>
        </w:tc>
        <w:tc>
          <w:tcPr>
            <w:tcW w:w="2268"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 (0.0%)</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 (0.0%)</w:t>
            </w:r>
          </w:p>
        </w:tc>
        <w:tc>
          <w:tcPr>
            <w:tcW w:w="1559"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 (0.0%)</w:t>
            </w:r>
          </w:p>
        </w:tc>
        <w:tc>
          <w:tcPr>
            <w:tcW w:w="1560"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 (0.0%)</w:t>
            </w:r>
          </w:p>
        </w:tc>
        <w:tc>
          <w:tcPr>
            <w:tcW w:w="162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-20 (-0.6%)</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704 (0.0%)</w:t>
            </w:r>
          </w:p>
        </w:tc>
        <w:tc>
          <w:tcPr>
            <w:tcW w:w="2268"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 (0.0%)</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 (0.0%)</w:t>
            </w:r>
          </w:p>
        </w:tc>
        <w:tc>
          <w:tcPr>
            <w:tcW w:w="1559"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(0.0%)</w:t>
            </w:r>
          </w:p>
        </w:tc>
        <w:tc>
          <w:tcPr>
            <w:tcW w:w="1560"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9 (0.0%)</w:t>
            </w:r>
          </w:p>
        </w:tc>
        <w:tc>
          <w:tcPr>
            <w:tcW w:w="162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-23 (-0.6%)</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751 (0.0%)</w:t>
            </w:r>
          </w:p>
        </w:tc>
        <w:tc>
          <w:tcPr>
            <w:tcW w:w="2268"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 (0.0%)</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(0.0%)</w:t>
            </w:r>
          </w:p>
        </w:tc>
        <w:tc>
          <w:tcPr>
            <w:tcW w:w="1559"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(0.0%)</w:t>
            </w:r>
          </w:p>
        </w:tc>
        <w:tc>
          <w:tcPr>
            <w:tcW w:w="1560"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9 (0.0%)</w:t>
            </w:r>
          </w:p>
        </w:tc>
        <w:tc>
          <w:tcPr>
            <w:tcW w:w="162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-24 (-0.7%)</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-21,356 (-0.2%)</w:t>
            </w:r>
          </w:p>
        </w:tc>
        <w:tc>
          <w:tcPr>
            <w:tcW w:w="2268" w:type="dxa"/>
            <w:shd w:val="clear" w:color="auto" w:fill="F7CAAC" w:themeFill="accent2"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-434 (-1.6%)</w:t>
            </w:r>
          </w:p>
        </w:tc>
        <w:tc>
          <w:tcPr>
            <w:tcW w:w="1701"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-2,969 (-2.2%)</w:t>
            </w:r>
          </w:p>
        </w:tc>
        <w:tc>
          <w:tcPr>
            <w:tcW w:w="1559"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(0.0%)</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-153 (-0.6%)</w:t>
            </w:r>
          </w:p>
        </w:tc>
        <w:tc>
          <w:tcPr>
            <w:tcW w:w="1620" w:type="dxa"/>
            <w:shd w:val="clear" w:color="auto" w:fill="8FC26C"/>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-1,647 (-46.3%)</w:t>
            </w:r>
          </w:p>
        </w:tc>
      </w:tr>
      <w:tr w:rsidR="005D5162" w:rsidRPr="00343860" w:rsidTr="004B717D">
        <w:tc>
          <w:tcPr>
            <w:tcW w:w="13948" w:type="dxa"/>
            <w:gridSpan w:val="7"/>
          </w:tcPr>
          <w:p w:rsidR="005D5162" w:rsidRPr="00343860" w:rsidRDefault="005D5162" w:rsidP="004B717D">
            <w:pPr>
              <w:keepNext/>
              <w:spacing w:before="120"/>
              <w:rPr>
                <w:rFonts w:asciiTheme="majorHAnsi" w:hAnsiTheme="majorHAnsi" w:cstheme="majorHAnsi"/>
                <w:b/>
                <w:bCs/>
                <w:sz w:val="20"/>
                <w:szCs w:val="20"/>
              </w:rPr>
            </w:pPr>
            <w:r w:rsidRPr="00343860">
              <w:rPr>
                <w:rFonts w:asciiTheme="majorHAnsi" w:hAnsiTheme="majorHAnsi" w:cstheme="majorHAnsi"/>
                <w:b/>
                <w:bCs/>
                <w:sz w:val="20"/>
                <w:szCs w:val="20"/>
              </w:rPr>
              <w:t>Additional rollout capacity (antenatal visits)</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-2,113 (0.0%)</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-24 (-0.1%)</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-102 (-0.1%)</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-19 (-0.1%)</w:t>
            </w:r>
          </w:p>
        </w:tc>
        <w:tc>
          <w:tcPr>
            <w:tcW w:w="162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-19 (-0.5%)</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-33,244 (-0.3%)</w:t>
            </w:r>
          </w:p>
        </w:tc>
        <w:tc>
          <w:tcPr>
            <w:tcW w:w="2268"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-550 (-2.0%)</w:t>
            </w:r>
          </w:p>
        </w:tc>
        <w:tc>
          <w:tcPr>
            <w:tcW w:w="1701"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-3,338 (-2.5%)</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60"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-260 (-1.0%)</w:t>
            </w:r>
          </w:p>
        </w:tc>
        <w:tc>
          <w:tcPr>
            <w:tcW w:w="1620" w:type="dxa"/>
            <w:shd w:val="clear" w:color="auto" w:fill="8FC26C"/>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-1,616 (-45.4%)</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Expanding eligibility to high-risk children</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-4,852 (-0.1%)</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-29 (-0.1%)</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-320 (-0.2%)</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 (-0.1%)</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-35 (-0.1%)</w:t>
            </w:r>
          </w:p>
        </w:tc>
        <w:tc>
          <w:tcPr>
            <w:tcW w:w="1620"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-142 (-4.0%)</w:t>
            </w:r>
          </w:p>
        </w:tc>
      </w:tr>
      <w:tr w:rsidR="005D5162" w:rsidRPr="00343860" w:rsidTr="004B717D">
        <w:tc>
          <w:tcPr>
            <w:tcW w:w="13948" w:type="dxa"/>
            <w:gridSpan w:val="7"/>
          </w:tcPr>
          <w:p w:rsidR="005D5162" w:rsidRPr="00343860" w:rsidRDefault="005D5162" w:rsidP="004B717D">
            <w:pPr>
              <w:keepNext/>
              <w:spacing w:before="240"/>
              <w:rPr>
                <w:rFonts w:asciiTheme="majorHAnsi" w:hAnsiTheme="majorHAnsi" w:cstheme="majorHAnsi"/>
              </w:rPr>
            </w:pPr>
            <w:r w:rsidRPr="00343860">
              <w:rPr>
                <w:rFonts w:asciiTheme="majorHAnsi" w:hAnsiTheme="majorHAnsi" w:cstheme="majorHAnsi"/>
              </w:rPr>
              <w:t>Adults with comorbidities</w:t>
            </w:r>
          </w:p>
        </w:tc>
      </w:tr>
      <w:tr w:rsidR="005D5162" w:rsidRPr="00343860" w:rsidTr="004B717D">
        <w:tc>
          <w:tcPr>
            <w:tcW w:w="13948" w:type="dxa"/>
            <w:gridSpan w:val="7"/>
          </w:tcPr>
          <w:p w:rsidR="005D5162" w:rsidRPr="00343860" w:rsidRDefault="005D5162" w:rsidP="004B717D">
            <w:pPr>
              <w:keepNext/>
              <w:rPr>
                <w:rFonts w:asciiTheme="majorHAnsi" w:hAnsiTheme="majorHAnsi" w:cstheme="majorHAnsi"/>
                <w:b/>
                <w:bCs/>
                <w:sz w:val="20"/>
                <w:szCs w:val="20"/>
              </w:rPr>
            </w:pPr>
            <w:r w:rsidRPr="00343860">
              <w:rPr>
                <w:rFonts w:asciiTheme="majorHAnsi" w:hAnsiTheme="majorHAnsi" w:cstheme="majorHAnsi"/>
                <w:b/>
                <w:bCs/>
                <w:sz w:val="20"/>
                <w:szCs w:val="20"/>
              </w:rPr>
              <w:t>Prioritising within existing rollout capacity</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392 (0.0%)</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-47 (-0.2%)</w:t>
            </w:r>
          </w:p>
        </w:tc>
        <w:tc>
          <w:tcPr>
            <w:tcW w:w="1701"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-81 (-0.1%)</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 (-0.3%)</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-49 (-0.2%)</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1,083 (0.0%)</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-73 (-0.3%)</w:t>
            </w:r>
          </w:p>
        </w:tc>
        <w:tc>
          <w:tcPr>
            <w:tcW w:w="1701"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-122 (-0.1%)</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 (-0.4%)</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-76 (-0.3%)</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701" w:type="dxa"/>
            <w:shd w:val="clear" w:color="auto" w:fill="F2F2F2" w:themeFill="background1" w:themeFillShade="F2"/>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1,394 (0.0%)</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-81 (-0.3%)</w:t>
            </w:r>
          </w:p>
        </w:tc>
        <w:tc>
          <w:tcPr>
            <w:tcW w:w="1701" w:type="dxa"/>
            <w:shd w:val="clear" w:color="auto" w:fill="C5E0B3" w:themeFill="accent6" w:themeFillTint="66"/>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-133 (-0.1%)</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(-0.5%)</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-84 (-0.3%)</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-42,346 (-0.4%)</w:t>
            </w:r>
          </w:p>
        </w:tc>
        <w:tc>
          <w:tcPr>
            <w:tcW w:w="2268"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-6,403 (-22.9%)</w:t>
            </w:r>
          </w:p>
        </w:tc>
        <w:tc>
          <w:tcPr>
            <w:tcW w:w="1701" w:type="dxa"/>
            <w:shd w:val="clear" w:color="auto" w:fill="A8D08D" w:themeFill="accent6" w:themeFillTint="99"/>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-13,087 (-9.9%)</w:t>
            </w:r>
          </w:p>
        </w:tc>
        <w:tc>
          <w:tcPr>
            <w:tcW w:w="1559"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-682 (-33.7%)</w:t>
            </w:r>
          </w:p>
        </w:tc>
        <w:tc>
          <w:tcPr>
            <w:tcW w:w="1560"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-6,387 (-23.4%)</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r w:rsidR="005D5162" w:rsidRPr="00343860" w:rsidTr="004B717D">
        <w:tc>
          <w:tcPr>
            <w:tcW w:w="13948" w:type="dxa"/>
            <w:gridSpan w:val="7"/>
          </w:tcPr>
          <w:p w:rsidR="005D5162" w:rsidRPr="00343860" w:rsidRDefault="005D5162" w:rsidP="004B717D">
            <w:pPr>
              <w:keepNext/>
              <w:spacing w:before="120"/>
              <w:rPr>
                <w:rFonts w:asciiTheme="majorHAnsi" w:hAnsiTheme="majorHAnsi" w:cstheme="majorHAnsi"/>
                <w:b/>
                <w:bCs/>
                <w:sz w:val="20"/>
                <w:szCs w:val="20"/>
              </w:rPr>
            </w:pPr>
            <w:r w:rsidRPr="00343860">
              <w:rPr>
                <w:rFonts w:asciiTheme="majorHAnsi" w:hAnsiTheme="majorHAnsi" w:cstheme="majorHAnsi"/>
                <w:b/>
                <w:bCs/>
                <w:sz w:val="20"/>
                <w:szCs w:val="20"/>
              </w:rPr>
              <w:t>Additional rollout capacity</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-5,096 (-0.1%)</w:t>
            </w:r>
          </w:p>
        </w:tc>
        <w:tc>
          <w:tcPr>
            <w:tcW w:w="2268"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-110 (-0.4%)</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-306 (-0.2%)</w:t>
            </w:r>
          </w:p>
        </w:tc>
        <w:tc>
          <w:tcPr>
            <w:tcW w:w="1559"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60"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-103 (-0.4%)</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r w:rsidR="005D5162" w:rsidRPr="00343860" w:rsidTr="007342F4">
        <w:tc>
          <w:tcPr>
            <w:tcW w:w="3539" w:type="dxa"/>
          </w:tcPr>
          <w:p w:rsidR="005D5162" w:rsidRPr="00343860" w:rsidRDefault="005D5162" w:rsidP="007342F4">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701" w:type="dxa"/>
            <w:shd w:val="clear" w:color="auto" w:fill="E2EFD9" w:themeFill="accent6" w:themeFillTint="33"/>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-79,413 (-0.8%)</w:t>
            </w:r>
          </w:p>
        </w:tc>
        <w:tc>
          <w:tcPr>
            <w:tcW w:w="2268"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-7,139 (-25.6%)</w:t>
            </w:r>
          </w:p>
        </w:tc>
        <w:tc>
          <w:tcPr>
            <w:tcW w:w="1701" w:type="dxa"/>
            <w:shd w:val="clear" w:color="auto" w:fill="A8D08D" w:themeFill="accent6" w:themeFillTint="99"/>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-15,315 (-11.5%)</w:t>
            </w:r>
          </w:p>
        </w:tc>
        <w:tc>
          <w:tcPr>
            <w:tcW w:w="1559"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-740 (-36.6%)</w:t>
            </w:r>
          </w:p>
        </w:tc>
        <w:tc>
          <w:tcPr>
            <w:tcW w:w="1560" w:type="dxa"/>
            <w:shd w:val="clear" w:color="auto" w:fill="8FC26C"/>
            <w:vAlign w:val="bottom"/>
          </w:tcPr>
          <w:p w:rsidR="005D5162" w:rsidRPr="00343860" w:rsidRDefault="005D5162" w:rsidP="007342F4">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-7,037 (-25.8%)</w:t>
            </w:r>
          </w:p>
        </w:tc>
        <w:tc>
          <w:tcPr>
            <w:tcW w:w="1620" w:type="dxa"/>
            <w:shd w:val="clear" w:color="auto" w:fill="F2F2F2" w:themeFill="background1" w:themeFillShade="F2"/>
          </w:tcPr>
          <w:p w:rsidR="005D5162" w:rsidRPr="00343860" w:rsidRDefault="005D5162" w:rsidP="007342F4">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NA</w:t>
            </w:r>
          </w:p>
        </w:tc>
      </w:tr>
    </w:tbl>
    <w:p w:rsidR="005D5162" w:rsidRPr="00954640" w:rsidRDefault="005D5162" w:rsidP="004C5629">
      <w:pPr>
        <w:rPr>
          <w:rFonts w:ascii="Arial" w:hAnsi="Arial" w:cs="Arial"/>
          <w:sz w:val="20"/>
          <w:szCs w:val="20"/>
        </w:rPr>
      </w:pPr>
    </w:p>
    <w:p w:rsidR="005D5162" w:rsidRPr="00954640" w:rsidRDefault="005D5162" w:rsidP="004C5629">
      <w:pPr>
        <w:rPr>
          <w:rFonts w:ascii="Arial" w:hAnsi="Arial" w:cs="Arial"/>
          <w:sz w:val="20"/>
          <w:szCs w:val="20"/>
        </w:rPr>
      </w:pPr>
    </w:p>
    <w:p w:rsidR="005D5162" w:rsidRPr="00954640" w:rsidRDefault="005D5162" w:rsidP="00980006">
      <w:pPr>
        <w:pStyle w:val="Heading2"/>
        <w:rPr>
          <w:rFonts w:ascii="Arial" w:hAnsi="Arial" w:cs="Arial"/>
        </w:rPr>
        <w:sectPr w:rsidR="005D5162" w:rsidRPr="00954640" w:rsidSect="004C5629">
          <w:pgSz w:w="16838" w:h="11906" w:orient="landscape"/>
          <w:pgMar w:top="1440" w:right="1440" w:bottom="1440" w:left="1440" w:header="708" w:footer="708" w:gutter="0"/>
          <w:cols w:space="708"/>
          <w:docGrid w:linePitch="360"/>
        </w:sectPr>
      </w:pPr>
    </w:p>
    <w:p w:rsidR="005D5162" w:rsidRPr="00954640" w:rsidRDefault="005D5162" w:rsidP="00980006">
      <w:pPr>
        <w:pStyle w:val="Heading2"/>
        <w:rPr>
          <w:rFonts w:ascii="Arial" w:hAnsi="Arial" w:cs="Arial"/>
          <w:b/>
          <w:color w:val="000000" w:themeColor="text1"/>
        </w:rPr>
      </w:pPr>
      <w:bookmarkStart w:id="36" w:name="_Toc117859603"/>
      <w:r w:rsidRPr="00954640">
        <w:rPr>
          <w:rFonts w:ascii="Arial" w:hAnsi="Arial" w:cs="Arial"/>
          <w:b/>
          <w:color w:val="000000" w:themeColor="text1"/>
        </w:rPr>
        <w:lastRenderedPageBreak/>
        <w:t>S4.6 Reduced vaccine effectiveness in older adults and adults with comorbidities</w:t>
      </w:r>
      <w:bookmarkEnd w:id="36"/>
    </w:p>
    <w:p w:rsidR="005D5162" w:rsidRPr="00954640" w:rsidRDefault="005D5162" w:rsidP="004D658F">
      <w:pPr>
        <w:spacing w:after="0"/>
        <w:jc w:val="both"/>
        <w:rPr>
          <w:rFonts w:ascii="Arial" w:hAnsi="Arial" w:cs="Arial"/>
        </w:rPr>
      </w:pPr>
      <w:bookmarkStart w:id="37" w:name="_Hlk113616582"/>
      <w:r w:rsidRPr="00954640">
        <w:rPr>
          <w:rFonts w:ascii="Arial" w:hAnsi="Arial" w:cs="Arial"/>
        </w:rPr>
        <w:t>We also examined the impact of age-, dose- and risk-prioritisation strategies if adults with comorbidities had lower protection from vaccination against severe outcomes. Recent studies report a statistically significant trend of decreased VE against severe outcomes with increased number of comorbidities</w:t>
      </w:r>
      <w:r>
        <w:rPr>
          <w:rFonts w:ascii="Arial" w:hAnsi="Arial" w:cs="Arial"/>
        </w:rPr>
        <w:t xml:space="preserve"> </w:t>
      </w:r>
      <w:r>
        <w:rPr>
          <w:rFonts w:ascii="Arial" w:hAnsi="Arial" w:cs="Arial"/>
          <w:noProof/>
        </w:rPr>
        <w:t>[68, 70]</w:t>
      </w:r>
      <w:r>
        <w:rPr>
          <w:rFonts w:ascii="Arial" w:hAnsi="Arial" w:cs="Arial"/>
        </w:rPr>
        <w:t>.</w:t>
      </w:r>
      <w:r w:rsidRPr="00954640">
        <w:rPr>
          <w:rFonts w:ascii="Arial" w:hAnsi="Arial" w:cs="Arial"/>
        </w:rPr>
        <w:t xml:space="preserve"> There has been no observed differences in VE against symptomatic disease</w:t>
      </w:r>
      <w:r>
        <w:rPr>
          <w:rFonts w:ascii="Arial" w:hAnsi="Arial" w:cs="Arial"/>
        </w:rPr>
        <w:t xml:space="preserve"> </w:t>
      </w:r>
      <w:r>
        <w:rPr>
          <w:rFonts w:ascii="Arial" w:hAnsi="Arial" w:cs="Arial"/>
          <w:noProof/>
        </w:rPr>
        <w:t>[71]</w:t>
      </w:r>
      <w:r w:rsidRPr="00954640">
        <w:rPr>
          <w:rFonts w:ascii="Arial" w:hAnsi="Arial" w:cs="Arial"/>
        </w:rPr>
        <w:t>, or in the speed of waning of vaccine-derived immunity in adults with comorbidities</w:t>
      </w:r>
      <w:r>
        <w:rPr>
          <w:rFonts w:ascii="Arial" w:hAnsi="Arial" w:cs="Arial"/>
          <w:noProof/>
        </w:rPr>
        <w:t xml:space="preserve"> [23, 68]</w:t>
      </w:r>
      <w:r w:rsidRPr="00954640">
        <w:rPr>
          <w:rFonts w:ascii="Arial" w:hAnsi="Arial" w:cs="Arial"/>
        </w:rPr>
        <w:t xml:space="preserve">. </w:t>
      </w:r>
    </w:p>
    <w:p w:rsidR="005D5162" w:rsidRPr="00954640" w:rsidRDefault="005D5162" w:rsidP="004D658F">
      <w:pPr>
        <w:spacing w:after="0"/>
        <w:jc w:val="both"/>
        <w:rPr>
          <w:rFonts w:ascii="Arial" w:hAnsi="Arial" w:cs="Arial"/>
        </w:rPr>
      </w:pPr>
    </w:p>
    <w:p w:rsidR="005D5162" w:rsidRPr="00954640" w:rsidRDefault="005D5162" w:rsidP="004D658F">
      <w:pPr>
        <w:spacing w:after="0"/>
        <w:jc w:val="both"/>
        <w:rPr>
          <w:rFonts w:ascii="Arial" w:hAnsi="Arial" w:cs="Arial"/>
        </w:rPr>
      </w:pPr>
      <w:r w:rsidRPr="00954640">
        <w:rPr>
          <w:rFonts w:ascii="Arial" w:hAnsi="Arial" w:cs="Arial"/>
        </w:rPr>
        <w:t xml:space="preserve">To conduct this sensitivity analysis, we carried across estimates from our previous sensitivity analysis for older adults (S4.4) and applied a 10% reduction to VE against severe outcomes in adults with comorbidities aged 30-59 (average across </w:t>
      </w:r>
      <w:r>
        <w:rPr>
          <w:rFonts w:ascii="Arial" w:hAnsi="Arial" w:cs="Arial"/>
          <w:noProof/>
        </w:rPr>
        <w:t>[68, 70]</w:t>
      </w:r>
      <w:r w:rsidRPr="00954640">
        <w:rPr>
          <w:rFonts w:ascii="Arial" w:hAnsi="Arial" w:cs="Arial"/>
        </w:rPr>
        <w:t>). Recall that we identified our high-risk group of adults as adults aged 30-59 with known comorbidities and all adults aged over 60, as per the Government of Sierra Leone’s COVAX plan</w:t>
      </w:r>
      <w:r>
        <w:rPr>
          <w:rFonts w:ascii="Arial" w:hAnsi="Arial" w:cs="Arial"/>
        </w:rPr>
        <w:t xml:space="preserve"> </w:t>
      </w:r>
      <w:r>
        <w:rPr>
          <w:rFonts w:ascii="Arial" w:hAnsi="Arial" w:cs="Arial"/>
          <w:noProof/>
        </w:rPr>
        <w:t>[43]</w:t>
      </w:r>
      <w:r>
        <w:rPr>
          <w:rFonts w:ascii="Arial" w:hAnsi="Arial" w:cs="Arial"/>
        </w:rPr>
        <w:t>.</w:t>
      </w:r>
    </w:p>
    <w:p w:rsidR="005D5162" w:rsidRPr="00954640" w:rsidRDefault="005D5162" w:rsidP="004D658F">
      <w:pPr>
        <w:spacing w:after="0"/>
        <w:jc w:val="both"/>
        <w:rPr>
          <w:rFonts w:ascii="Arial" w:hAnsi="Arial" w:cs="Arial"/>
        </w:rPr>
      </w:pPr>
      <w:r w:rsidRPr="00954640">
        <w:rPr>
          <w:rFonts w:ascii="Arial" w:hAnsi="Arial" w:cs="Arial"/>
        </w:rPr>
        <w:t xml:space="preserve"> </w:t>
      </w:r>
      <w:bookmarkEnd w:id="37"/>
    </w:p>
    <w:p w:rsidR="005D5162" w:rsidRPr="00954640" w:rsidRDefault="005D5162" w:rsidP="00B333D2">
      <w:pPr>
        <w:spacing w:after="120"/>
        <w:jc w:val="both"/>
        <w:rPr>
          <w:rFonts w:ascii="Arial" w:hAnsi="Arial" w:cs="Arial"/>
          <w:sz w:val="20"/>
          <w:szCs w:val="20"/>
        </w:rPr>
      </w:pPr>
      <w:r w:rsidRPr="00954640">
        <w:rPr>
          <w:rFonts w:ascii="Arial" w:hAnsi="Arial" w:cs="Arial"/>
          <w:b/>
          <w:bCs/>
          <w:sz w:val="20"/>
          <w:szCs w:val="20"/>
        </w:rPr>
        <w:t xml:space="preserve">Table S4.7 </w:t>
      </w:r>
      <w:r w:rsidRPr="00954640">
        <w:rPr>
          <w:rFonts w:ascii="Arial" w:hAnsi="Arial" w:cs="Arial"/>
          <w:i/>
          <w:iCs/>
          <w:sz w:val="20"/>
          <w:szCs w:val="20"/>
        </w:rPr>
        <w:t xml:space="preserve">Sensitivity analysis of main results assuming lower vaccine-derived protection against severe outcomes in older adults and adults with comorbidities. </w:t>
      </w:r>
      <w:r w:rsidRPr="00954640">
        <w:rPr>
          <w:rFonts w:ascii="Arial" w:hAnsi="Arial" w:cs="Arial"/>
          <w:sz w:val="20"/>
          <w:szCs w:val="20"/>
        </w:rPr>
        <w:t>Cumulative outcomes prevented by risk-specific prioritisation strategies. Outcomes prevented calculated relative to current adult vaccination program with a population coverage target of 51.6% and uniform eligibility. Red/green shading indicates the increase/reduction of an outcome.</w:t>
      </w:r>
    </w:p>
    <w:tbl>
      <w:tblPr>
        <w:tblStyle w:val="TableGrid"/>
        <w:tblW w:w="0" w:type="auto"/>
        <w:tblLook w:val="04A0" w:firstRow="1" w:lastRow="0" w:firstColumn="1" w:lastColumn="0" w:noHBand="0" w:noVBand="1"/>
      </w:tblPr>
      <w:tblGrid>
        <w:gridCol w:w="2342"/>
        <w:gridCol w:w="1324"/>
        <w:gridCol w:w="1618"/>
        <w:gridCol w:w="1545"/>
        <w:gridCol w:w="1159"/>
        <w:gridCol w:w="1028"/>
      </w:tblGrid>
      <w:tr w:rsidR="005D5162" w:rsidRPr="00343860" w:rsidTr="0075091A">
        <w:tc>
          <w:tcPr>
            <w:tcW w:w="2342" w:type="dxa"/>
          </w:tcPr>
          <w:p w:rsidR="005D5162" w:rsidRPr="00343860" w:rsidRDefault="005D5162" w:rsidP="004B717D">
            <w:pPr>
              <w:keepNext/>
              <w:rPr>
                <w:rFonts w:asciiTheme="majorHAnsi" w:hAnsiTheme="majorHAnsi" w:cstheme="majorHAnsi"/>
                <w:sz w:val="18"/>
                <w:szCs w:val="18"/>
              </w:rPr>
            </w:pPr>
          </w:p>
        </w:tc>
        <w:tc>
          <w:tcPr>
            <w:tcW w:w="1324"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w:t>
            </w:r>
          </w:p>
        </w:tc>
        <w:tc>
          <w:tcPr>
            <w:tcW w:w="1618"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 of severe disease</w:t>
            </w:r>
          </w:p>
        </w:tc>
        <w:tc>
          <w:tcPr>
            <w:tcW w:w="1545"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Hospitalisations</w:t>
            </w:r>
          </w:p>
        </w:tc>
        <w:tc>
          <w:tcPr>
            <w:tcW w:w="1159"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Deaths</w:t>
            </w:r>
          </w:p>
        </w:tc>
        <w:tc>
          <w:tcPr>
            <w:tcW w:w="1028"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YLL</w:t>
            </w:r>
          </w:p>
        </w:tc>
      </w:tr>
      <w:tr w:rsidR="005D5162" w:rsidRPr="00343860" w:rsidTr="0075091A">
        <w:tc>
          <w:tcPr>
            <w:tcW w:w="9016" w:type="dxa"/>
            <w:gridSpan w:val="6"/>
          </w:tcPr>
          <w:p w:rsidR="005D5162" w:rsidRPr="00343860" w:rsidRDefault="005D5162" w:rsidP="00B333D2">
            <w:pPr>
              <w:keepNext/>
              <w:spacing w:before="120"/>
              <w:rPr>
                <w:rFonts w:asciiTheme="majorHAnsi" w:hAnsiTheme="majorHAnsi" w:cstheme="majorHAnsi"/>
                <w:sz w:val="20"/>
                <w:szCs w:val="20"/>
              </w:rPr>
            </w:pPr>
            <w:r w:rsidRPr="00343860">
              <w:rPr>
                <w:rFonts w:asciiTheme="majorHAnsi" w:hAnsiTheme="majorHAnsi" w:cstheme="majorHAnsi"/>
              </w:rPr>
              <w:t>Adults with comorbidities</w:t>
            </w:r>
          </w:p>
        </w:tc>
      </w:tr>
      <w:tr w:rsidR="005D5162" w:rsidRPr="00343860" w:rsidTr="0075091A">
        <w:tc>
          <w:tcPr>
            <w:tcW w:w="9016" w:type="dxa"/>
            <w:gridSpan w:val="6"/>
          </w:tcPr>
          <w:p w:rsidR="005D5162" w:rsidRPr="00343860" w:rsidRDefault="005D5162" w:rsidP="0075091A">
            <w:pPr>
              <w:keepNext/>
              <w:rPr>
                <w:rFonts w:asciiTheme="majorHAnsi" w:hAnsiTheme="majorHAnsi" w:cstheme="majorHAnsi"/>
                <w:sz w:val="20"/>
                <w:szCs w:val="20"/>
              </w:rPr>
            </w:pPr>
            <w:r w:rsidRPr="00343860">
              <w:rPr>
                <w:rFonts w:asciiTheme="majorHAnsi" w:hAnsiTheme="majorHAnsi" w:cstheme="majorHAnsi"/>
                <w:b/>
                <w:bCs/>
                <w:sz w:val="20"/>
                <w:szCs w:val="20"/>
              </w:rPr>
              <w:t>Prioritising within existing rollout capacity</w:t>
            </w:r>
          </w:p>
        </w:tc>
      </w:tr>
      <w:tr w:rsidR="005D5162" w:rsidRPr="00343860" w:rsidTr="00EE2A62">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324" w:type="dxa"/>
            <w:shd w:val="clear" w:color="auto" w:fill="F2F2F2" w:themeFill="background1" w:themeFillShade="F2"/>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392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(0.0%)</w:t>
            </w:r>
          </w:p>
        </w:tc>
        <w:tc>
          <w:tcPr>
            <w:tcW w:w="1618" w:type="dxa"/>
            <w:shd w:val="clear" w:color="auto" w:fill="A8D08D" w:themeFill="accent6" w:themeFillTint="99"/>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-46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(-0.2%)</w:t>
            </w:r>
          </w:p>
        </w:tc>
        <w:tc>
          <w:tcPr>
            <w:tcW w:w="1545"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(-0.1%)</w:t>
            </w:r>
          </w:p>
        </w:tc>
        <w:tc>
          <w:tcPr>
            <w:tcW w:w="1159"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-5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(-0.3%)</w:t>
            </w:r>
          </w:p>
        </w:tc>
        <w:tc>
          <w:tcPr>
            <w:tcW w:w="1028"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-49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(-0.2%)</w:t>
            </w:r>
          </w:p>
        </w:tc>
      </w:tr>
      <w:tr w:rsidR="005D5162" w:rsidRPr="00343860" w:rsidTr="00EE2A62">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324" w:type="dxa"/>
            <w:shd w:val="clear" w:color="auto" w:fill="F2F2F2" w:themeFill="background1" w:themeFillShade="F2"/>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1,083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(0.0%)</w:t>
            </w:r>
          </w:p>
        </w:tc>
        <w:tc>
          <w:tcPr>
            <w:tcW w:w="1618" w:type="dxa"/>
            <w:shd w:val="clear" w:color="auto" w:fill="A8D08D" w:themeFill="accent6" w:themeFillTint="99"/>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(-0.3%)</w:t>
            </w:r>
          </w:p>
        </w:tc>
        <w:tc>
          <w:tcPr>
            <w:tcW w:w="1545"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-117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(-0.1%)</w:t>
            </w:r>
          </w:p>
        </w:tc>
        <w:tc>
          <w:tcPr>
            <w:tcW w:w="1159"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-8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(-0.4%)</w:t>
            </w:r>
          </w:p>
        </w:tc>
        <w:tc>
          <w:tcPr>
            <w:tcW w:w="1028"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-75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(-0.3%)</w:t>
            </w:r>
          </w:p>
        </w:tc>
      </w:tr>
      <w:tr w:rsidR="005D5162" w:rsidRPr="00343860" w:rsidTr="00EE2A62">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324" w:type="dxa"/>
            <w:shd w:val="clear" w:color="auto" w:fill="F2F2F2" w:themeFill="background1" w:themeFillShade="F2"/>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1,394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(0.0%)</w:t>
            </w:r>
          </w:p>
        </w:tc>
        <w:tc>
          <w:tcPr>
            <w:tcW w:w="1618" w:type="dxa"/>
            <w:shd w:val="clear" w:color="auto" w:fill="A8D08D" w:themeFill="accent6" w:themeFillTint="99"/>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(-0.3%)</w:t>
            </w:r>
          </w:p>
        </w:tc>
        <w:tc>
          <w:tcPr>
            <w:tcW w:w="1545"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-128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(-0.1%)</w:t>
            </w:r>
          </w:p>
        </w:tc>
        <w:tc>
          <w:tcPr>
            <w:tcW w:w="1159"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(-0.5%)</w:t>
            </w:r>
          </w:p>
        </w:tc>
        <w:tc>
          <w:tcPr>
            <w:tcW w:w="1028"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-83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(-0.3%)</w:t>
            </w:r>
          </w:p>
        </w:tc>
      </w:tr>
      <w:tr w:rsidR="005D5162" w:rsidRPr="00343860" w:rsidTr="0075091A">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324"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-42,346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(-0.4%)</w:t>
            </w:r>
          </w:p>
        </w:tc>
        <w:tc>
          <w:tcPr>
            <w:tcW w:w="1618" w:type="dxa"/>
            <w:shd w:val="clear" w:color="auto" w:fill="8FC26C"/>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-6,324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(-22.5%)</w:t>
            </w:r>
          </w:p>
        </w:tc>
        <w:tc>
          <w:tcPr>
            <w:tcW w:w="1545" w:type="dxa"/>
            <w:shd w:val="clear" w:color="auto" w:fill="A8D08D" w:themeFill="accent6" w:themeFillTint="99"/>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-12,819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(-9.6%)</w:t>
            </w:r>
          </w:p>
        </w:tc>
        <w:tc>
          <w:tcPr>
            <w:tcW w:w="1159" w:type="dxa"/>
            <w:shd w:val="clear" w:color="auto" w:fill="8FC26C"/>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-680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(-33.6%)</w:t>
            </w:r>
          </w:p>
        </w:tc>
        <w:tc>
          <w:tcPr>
            <w:tcW w:w="1028" w:type="dxa"/>
            <w:shd w:val="clear" w:color="auto" w:fill="8FC26C"/>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-6,342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(-23.2%)</w:t>
            </w:r>
          </w:p>
        </w:tc>
      </w:tr>
      <w:tr w:rsidR="005D5162" w:rsidRPr="00343860" w:rsidTr="0075091A">
        <w:tc>
          <w:tcPr>
            <w:tcW w:w="9016" w:type="dxa"/>
            <w:gridSpan w:val="6"/>
          </w:tcPr>
          <w:p w:rsidR="005D5162" w:rsidRPr="00343860" w:rsidRDefault="005D5162" w:rsidP="0075091A">
            <w:pPr>
              <w:keepNext/>
              <w:spacing w:before="120"/>
              <w:rPr>
                <w:rFonts w:asciiTheme="majorHAnsi" w:hAnsiTheme="majorHAnsi" w:cstheme="majorHAnsi"/>
                <w:sz w:val="20"/>
                <w:szCs w:val="20"/>
              </w:rPr>
            </w:pPr>
            <w:r w:rsidRPr="00343860">
              <w:rPr>
                <w:rFonts w:asciiTheme="majorHAnsi" w:hAnsiTheme="majorHAnsi" w:cstheme="majorHAnsi"/>
                <w:b/>
                <w:bCs/>
                <w:sz w:val="20"/>
                <w:szCs w:val="20"/>
              </w:rPr>
              <w:t>Additional rollout capacity</w:t>
            </w:r>
          </w:p>
        </w:tc>
      </w:tr>
      <w:tr w:rsidR="005D5162" w:rsidRPr="00343860" w:rsidTr="0075091A">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324" w:type="dxa"/>
            <w:shd w:val="clear" w:color="auto" w:fill="E2EFD9" w:themeFill="accent6" w:themeFillTint="33"/>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-5,096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(-0.1%)</w:t>
            </w:r>
          </w:p>
        </w:tc>
        <w:tc>
          <w:tcPr>
            <w:tcW w:w="1618"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-109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(-0.4%)</w:t>
            </w:r>
          </w:p>
        </w:tc>
        <w:tc>
          <w:tcPr>
            <w:tcW w:w="1545"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-302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(-0.2%)</w:t>
            </w:r>
          </w:p>
        </w:tc>
        <w:tc>
          <w:tcPr>
            <w:tcW w:w="1159"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-10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(-0.5%)</w:t>
            </w:r>
          </w:p>
        </w:tc>
        <w:tc>
          <w:tcPr>
            <w:tcW w:w="1028"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-102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(-0.4%)</w:t>
            </w:r>
          </w:p>
        </w:tc>
      </w:tr>
      <w:tr w:rsidR="005D5162" w:rsidRPr="00343860" w:rsidTr="0075091A">
        <w:tc>
          <w:tcPr>
            <w:tcW w:w="2342" w:type="dxa"/>
          </w:tcPr>
          <w:p w:rsidR="005D5162" w:rsidRPr="00343860" w:rsidRDefault="005D5162" w:rsidP="00795932">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324" w:type="dxa"/>
            <w:shd w:val="clear" w:color="auto" w:fill="C5E0B3" w:themeFill="accent6" w:themeFillTint="66"/>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-79,413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(-0.8%)</w:t>
            </w:r>
          </w:p>
        </w:tc>
        <w:tc>
          <w:tcPr>
            <w:tcW w:w="1618" w:type="dxa"/>
            <w:shd w:val="clear" w:color="auto" w:fill="8FC26C"/>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-7,052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(-25.1%)</w:t>
            </w:r>
          </w:p>
        </w:tc>
        <w:tc>
          <w:tcPr>
            <w:tcW w:w="1545" w:type="dxa"/>
            <w:shd w:val="clear" w:color="auto" w:fill="A8D08D" w:themeFill="accent6" w:themeFillTint="99"/>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-15,022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(-11.3%)</w:t>
            </w:r>
          </w:p>
        </w:tc>
        <w:tc>
          <w:tcPr>
            <w:tcW w:w="1159" w:type="dxa"/>
            <w:shd w:val="clear" w:color="auto" w:fill="8FC26C"/>
            <w:vAlign w:val="bottom"/>
          </w:tcPr>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-738 (-36.4%)</w:t>
            </w:r>
          </w:p>
        </w:tc>
        <w:tc>
          <w:tcPr>
            <w:tcW w:w="1028" w:type="dxa"/>
            <w:shd w:val="clear" w:color="auto" w:fill="8FC26C"/>
            <w:vAlign w:val="bottom"/>
          </w:tcPr>
          <w:p w:rsidR="005D5162" w:rsidRPr="00343860" w:rsidRDefault="005D5162" w:rsidP="00795932">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-6,987 </w:t>
            </w:r>
          </w:p>
          <w:p w:rsidR="005D5162" w:rsidRPr="00343860" w:rsidRDefault="005D5162" w:rsidP="00795932">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(-25.6%)</w:t>
            </w:r>
          </w:p>
        </w:tc>
      </w:tr>
    </w:tbl>
    <w:p w:rsidR="005D5162" w:rsidRPr="00954640" w:rsidRDefault="005D5162" w:rsidP="004D658F">
      <w:pPr>
        <w:spacing w:after="0"/>
        <w:jc w:val="both"/>
        <w:rPr>
          <w:rFonts w:ascii="Arial" w:hAnsi="Arial" w:cs="Arial"/>
          <w:sz w:val="20"/>
          <w:szCs w:val="20"/>
        </w:rPr>
      </w:pPr>
    </w:p>
    <w:p w:rsidR="005D5162" w:rsidRPr="00954640" w:rsidRDefault="005D5162" w:rsidP="0050348B">
      <w:pPr>
        <w:pStyle w:val="Heading2"/>
        <w:rPr>
          <w:rFonts w:ascii="Arial" w:hAnsi="Arial" w:cs="Arial"/>
        </w:rPr>
      </w:pPr>
      <w:bookmarkStart w:id="38" w:name="_Toc117859604"/>
      <w:r w:rsidRPr="00954640">
        <w:rPr>
          <w:rFonts w:ascii="Arial" w:hAnsi="Arial" w:cs="Arial"/>
        </w:rPr>
        <w:t>S4.7 Increased or decreased risk of high-risk groups</w:t>
      </w:r>
      <w:bookmarkEnd w:id="38"/>
    </w:p>
    <w:p w:rsidR="005D5162" w:rsidRPr="00954640" w:rsidRDefault="005D5162" w:rsidP="004D658F">
      <w:pPr>
        <w:spacing w:after="0"/>
        <w:jc w:val="both"/>
        <w:rPr>
          <w:rFonts w:ascii="Arial" w:hAnsi="Arial" w:cs="Arial"/>
        </w:rPr>
      </w:pPr>
      <w:r w:rsidRPr="00954640">
        <w:rPr>
          <w:rFonts w:ascii="Arial" w:hAnsi="Arial" w:cs="Arial"/>
        </w:rPr>
        <w:t xml:space="preserve">We conducted sensitivity analysis for the effects of prioritising pregnant women or adults with comorbidities if their risk of developing severe outcomes was equal to, 1.5 times, or 3 times that of the general population. See Table 3 in the main paper for results using baseline assumptions of 1.95 times increased risk for adults with comorbidities and 2.4 times increased risk for pregnant women (see S1.5). </w:t>
      </w:r>
    </w:p>
    <w:p w:rsidR="005D5162" w:rsidRPr="00954640" w:rsidRDefault="005D5162" w:rsidP="004D658F">
      <w:pPr>
        <w:spacing w:after="0"/>
        <w:jc w:val="both"/>
        <w:rPr>
          <w:rFonts w:ascii="Arial" w:hAnsi="Arial" w:cs="Arial"/>
        </w:rPr>
      </w:pPr>
    </w:p>
    <w:p w:rsidR="005D5162" w:rsidRDefault="005D5162" w:rsidP="00343860">
      <w:pPr>
        <w:jc w:val="both"/>
        <w:rPr>
          <w:rFonts w:ascii="Arial" w:hAnsi="Arial" w:cs="Arial"/>
        </w:rPr>
      </w:pPr>
      <w:r w:rsidRPr="00954640">
        <w:rPr>
          <w:rFonts w:ascii="Arial" w:hAnsi="Arial" w:cs="Arial"/>
        </w:rPr>
        <w:t>The prioritisation of adults with comorbidities was highly beneficial regardless of their relative risk because of the older age demographic of the group, and the increased risk of severe COVID-19 outcomes with age. The prioritisation of pregnant women had minimal effect when they had equal risk compared to the general population. The benefit of prioritising pregnant women improved as their relative risk to general population increased. The opportunistic vaccination of both groups was beneficial in all scenarios.</w:t>
      </w:r>
    </w:p>
    <w:p w:rsidR="005D5162" w:rsidRPr="00343860" w:rsidRDefault="005D5162" w:rsidP="00343860">
      <w:pPr>
        <w:jc w:val="both"/>
        <w:rPr>
          <w:rFonts w:asciiTheme="majorHAnsi" w:hAnsiTheme="majorHAnsi" w:cstheme="majorHAnsi"/>
          <w:sz w:val="20"/>
          <w:szCs w:val="20"/>
        </w:rPr>
      </w:pPr>
      <w:r w:rsidRPr="00343860">
        <w:rPr>
          <w:rFonts w:asciiTheme="majorHAnsi" w:hAnsiTheme="majorHAnsi" w:cstheme="majorHAnsi"/>
          <w:b/>
          <w:bCs/>
          <w:sz w:val="20"/>
          <w:szCs w:val="20"/>
        </w:rPr>
        <w:lastRenderedPageBreak/>
        <w:t xml:space="preserve">Table S4.8 </w:t>
      </w:r>
      <w:r w:rsidRPr="00343860">
        <w:rPr>
          <w:rFonts w:asciiTheme="majorHAnsi" w:hAnsiTheme="majorHAnsi" w:cstheme="majorHAnsi"/>
          <w:sz w:val="20"/>
          <w:szCs w:val="20"/>
        </w:rPr>
        <w:t xml:space="preserve">Sensitivity analysis for prioritisation of high-risk groups where the individuals have </w:t>
      </w:r>
      <w:r w:rsidRPr="00343860">
        <w:rPr>
          <w:rFonts w:asciiTheme="majorHAnsi" w:hAnsiTheme="majorHAnsi" w:cstheme="majorHAnsi"/>
          <w:b/>
          <w:bCs/>
          <w:sz w:val="20"/>
          <w:szCs w:val="20"/>
        </w:rPr>
        <w:t>no increased risk</w:t>
      </w:r>
      <w:r w:rsidRPr="00343860">
        <w:rPr>
          <w:rFonts w:asciiTheme="majorHAnsi" w:hAnsiTheme="majorHAnsi" w:cstheme="majorHAnsi"/>
          <w:sz w:val="20"/>
          <w:szCs w:val="20"/>
        </w:rPr>
        <w:t xml:space="preserve"> compared to the general population. Severe outcomes applicable to the general population presented only.</w:t>
      </w:r>
    </w:p>
    <w:tbl>
      <w:tblPr>
        <w:tblStyle w:val="TableGrid"/>
        <w:tblW w:w="0" w:type="auto"/>
        <w:tblLook w:val="04A0" w:firstRow="1" w:lastRow="0" w:firstColumn="1" w:lastColumn="0" w:noHBand="0" w:noVBand="1"/>
      </w:tblPr>
      <w:tblGrid>
        <w:gridCol w:w="2689"/>
        <w:gridCol w:w="1559"/>
        <w:gridCol w:w="1677"/>
        <w:gridCol w:w="1503"/>
        <w:gridCol w:w="1588"/>
      </w:tblGrid>
      <w:tr w:rsidR="005D5162" w:rsidRPr="00343860" w:rsidTr="0026597F">
        <w:tc>
          <w:tcPr>
            <w:tcW w:w="2689" w:type="dxa"/>
          </w:tcPr>
          <w:p w:rsidR="005D5162" w:rsidRPr="00343860" w:rsidRDefault="005D5162" w:rsidP="004B717D">
            <w:pPr>
              <w:keepNext/>
              <w:rPr>
                <w:rFonts w:asciiTheme="majorHAnsi" w:hAnsiTheme="majorHAnsi" w:cstheme="majorHAnsi"/>
                <w:sz w:val="18"/>
                <w:szCs w:val="18"/>
              </w:rPr>
            </w:pPr>
          </w:p>
        </w:tc>
        <w:tc>
          <w:tcPr>
            <w:tcW w:w="1559"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 of severe disease</w:t>
            </w:r>
          </w:p>
        </w:tc>
        <w:tc>
          <w:tcPr>
            <w:tcW w:w="1677"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Hospitalisations</w:t>
            </w:r>
          </w:p>
        </w:tc>
        <w:tc>
          <w:tcPr>
            <w:tcW w:w="1503"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Deaths</w:t>
            </w:r>
          </w:p>
        </w:tc>
        <w:tc>
          <w:tcPr>
            <w:tcW w:w="1588"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YLL</w:t>
            </w:r>
          </w:p>
        </w:tc>
      </w:tr>
      <w:tr w:rsidR="005D5162" w:rsidRPr="00343860" w:rsidTr="009B745F">
        <w:tc>
          <w:tcPr>
            <w:tcW w:w="9016" w:type="dxa"/>
            <w:gridSpan w:val="5"/>
          </w:tcPr>
          <w:p w:rsidR="005D5162" w:rsidRPr="00343860" w:rsidRDefault="005D5162" w:rsidP="009B745F">
            <w:pPr>
              <w:keepNext/>
              <w:spacing w:before="120"/>
              <w:rPr>
                <w:rFonts w:asciiTheme="majorHAnsi" w:hAnsiTheme="majorHAnsi" w:cstheme="majorHAnsi"/>
                <w:color w:val="000000"/>
                <w:sz w:val="20"/>
                <w:szCs w:val="20"/>
              </w:rPr>
            </w:pPr>
            <w:r w:rsidRPr="00343860">
              <w:rPr>
                <w:rFonts w:asciiTheme="majorHAnsi" w:hAnsiTheme="majorHAnsi" w:cstheme="majorHAnsi"/>
              </w:rPr>
              <w:t>Pregnant women</w:t>
            </w:r>
          </w:p>
        </w:tc>
      </w:tr>
      <w:tr w:rsidR="005D5162" w:rsidRPr="00343860" w:rsidTr="009B745F">
        <w:tc>
          <w:tcPr>
            <w:tcW w:w="9016" w:type="dxa"/>
            <w:gridSpan w:val="5"/>
          </w:tcPr>
          <w:p w:rsidR="005D5162" w:rsidRPr="00343860" w:rsidRDefault="005D5162" w:rsidP="009B745F">
            <w:pPr>
              <w:keepNext/>
              <w:rPr>
                <w:rFonts w:asciiTheme="majorHAnsi" w:hAnsiTheme="majorHAnsi" w:cstheme="majorHAnsi"/>
                <w:color w:val="000000"/>
                <w:sz w:val="20"/>
                <w:szCs w:val="20"/>
              </w:rPr>
            </w:pPr>
            <w:r w:rsidRPr="00343860">
              <w:rPr>
                <w:rFonts w:asciiTheme="majorHAnsi" w:hAnsiTheme="majorHAnsi" w:cstheme="majorHAnsi"/>
                <w:b/>
                <w:bCs/>
                <w:sz w:val="20"/>
                <w:szCs w:val="20"/>
              </w:rPr>
              <w:t>Prioritising within existing rollout capacity</w:t>
            </w:r>
          </w:p>
        </w:tc>
      </w:tr>
      <w:tr w:rsidR="005D5162" w:rsidRPr="00343860" w:rsidTr="0068634D">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559"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(0.0%)</w:t>
            </w:r>
          </w:p>
        </w:tc>
        <w:tc>
          <w:tcPr>
            <w:tcW w:w="1677"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21 (0.0%)</w:t>
            </w:r>
          </w:p>
        </w:tc>
        <w:tc>
          <w:tcPr>
            <w:tcW w:w="1503"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 (0.0%)</w:t>
            </w:r>
          </w:p>
        </w:tc>
        <w:tc>
          <w:tcPr>
            <w:tcW w:w="1588"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(0.0%)</w:t>
            </w:r>
          </w:p>
        </w:tc>
      </w:tr>
      <w:tr w:rsidR="005D5162" w:rsidRPr="00343860" w:rsidTr="0068634D">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559"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 (0.0%)</w:t>
            </w:r>
          </w:p>
        </w:tc>
        <w:tc>
          <w:tcPr>
            <w:tcW w:w="1677"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25 (0.0%)</w:t>
            </w:r>
          </w:p>
        </w:tc>
        <w:tc>
          <w:tcPr>
            <w:tcW w:w="1503" w:type="dxa"/>
            <w:shd w:val="clear" w:color="auto" w:fill="FBE4D5" w:themeFill="accent2"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88"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11 (0.0%)</w:t>
            </w:r>
          </w:p>
        </w:tc>
      </w:tr>
      <w:tr w:rsidR="005D5162" w:rsidRPr="00343860" w:rsidTr="0068634D">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559"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 (0.0%)</w:t>
            </w:r>
          </w:p>
        </w:tc>
        <w:tc>
          <w:tcPr>
            <w:tcW w:w="1677"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26 (0.0%)</w:t>
            </w:r>
          </w:p>
        </w:tc>
        <w:tc>
          <w:tcPr>
            <w:tcW w:w="1503" w:type="dxa"/>
            <w:shd w:val="clear" w:color="auto" w:fill="FBE4D5" w:themeFill="accent2"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88"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11 (0.0%)</w:t>
            </w:r>
          </w:p>
        </w:tc>
      </w:tr>
      <w:tr w:rsidR="005D5162" w:rsidRPr="00343860" w:rsidTr="0068634D">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559"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-106 (-0.4%)</w:t>
            </w:r>
          </w:p>
        </w:tc>
        <w:tc>
          <w:tcPr>
            <w:tcW w:w="1677"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-955 (-0.7%)</w:t>
            </w:r>
          </w:p>
        </w:tc>
        <w:tc>
          <w:tcPr>
            <w:tcW w:w="1503" w:type="dxa"/>
            <w:shd w:val="clear" w:color="auto" w:fill="FBE4D5" w:themeFill="accent2"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 (0.2%)</w:t>
            </w:r>
          </w:p>
        </w:tc>
        <w:tc>
          <w:tcPr>
            <w:tcW w:w="1588"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(0.0%)</w:t>
            </w:r>
          </w:p>
        </w:tc>
      </w:tr>
      <w:tr w:rsidR="005D5162" w:rsidRPr="00343860" w:rsidTr="009B745F">
        <w:tc>
          <w:tcPr>
            <w:tcW w:w="9016" w:type="dxa"/>
            <w:gridSpan w:val="5"/>
          </w:tcPr>
          <w:p w:rsidR="005D5162" w:rsidRPr="00343860" w:rsidRDefault="005D5162" w:rsidP="009B745F">
            <w:pPr>
              <w:keepNext/>
              <w:spacing w:before="120"/>
              <w:rPr>
                <w:rFonts w:asciiTheme="majorHAnsi" w:hAnsiTheme="majorHAnsi" w:cstheme="majorHAnsi"/>
                <w:color w:val="000000"/>
                <w:sz w:val="20"/>
                <w:szCs w:val="20"/>
              </w:rPr>
            </w:pPr>
            <w:r w:rsidRPr="00343860">
              <w:rPr>
                <w:rFonts w:asciiTheme="majorHAnsi" w:hAnsiTheme="majorHAnsi" w:cstheme="majorHAnsi"/>
                <w:b/>
                <w:bCs/>
                <w:sz w:val="20"/>
                <w:szCs w:val="20"/>
              </w:rPr>
              <w:t>Additional rollout capacity (opportunistic vaccination during antenatal visits)</w:t>
            </w:r>
          </w:p>
        </w:tc>
      </w:tr>
      <w:tr w:rsidR="005D5162" w:rsidRPr="00343860" w:rsidTr="0026597F">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559"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-21 (-0.1%)</w:t>
            </w:r>
          </w:p>
        </w:tc>
        <w:tc>
          <w:tcPr>
            <w:tcW w:w="1677"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-83 (-0.1%)</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88"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-17 (-0.1%)</w:t>
            </w:r>
          </w:p>
        </w:tc>
      </w:tr>
      <w:tr w:rsidR="005D5162" w:rsidRPr="00343860" w:rsidTr="0026597F">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559"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-232 (-0.8%)</w:t>
            </w:r>
          </w:p>
        </w:tc>
        <w:tc>
          <w:tcPr>
            <w:tcW w:w="1677"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-1,379 (-1.0%)</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 (-0.3%)</w:t>
            </w:r>
          </w:p>
        </w:tc>
        <w:tc>
          <w:tcPr>
            <w:tcW w:w="1588"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-123 (-0.5%)</w:t>
            </w:r>
          </w:p>
        </w:tc>
      </w:tr>
      <w:tr w:rsidR="005D5162" w:rsidRPr="00343860" w:rsidTr="0026597F">
        <w:tc>
          <w:tcPr>
            <w:tcW w:w="2689"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Expanding eligibility to high-risk children</w:t>
            </w:r>
          </w:p>
        </w:tc>
        <w:tc>
          <w:tcPr>
            <w:tcW w:w="1559"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-24 (-0.1%)</w:t>
            </w:r>
          </w:p>
        </w:tc>
        <w:tc>
          <w:tcPr>
            <w:tcW w:w="1677"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-177 (-0.1%)</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 (-0.1%)</w:t>
            </w:r>
          </w:p>
        </w:tc>
        <w:tc>
          <w:tcPr>
            <w:tcW w:w="1588"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-25 (-0.1%)</w:t>
            </w:r>
          </w:p>
        </w:tc>
      </w:tr>
      <w:tr w:rsidR="005D5162" w:rsidRPr="00343860" w:rsidTr="009B745F">
        <w:tc>
          <w:tcPr>
            <w:tcW w:w="9016" w:type="dxa"/>
            <w:gridSpan w:val="5"/>
          </w:tcPr>
          <w:p w:rsidR="005D5162" w:rsidRPr="00343860" w:rsidRDefault="005D5162" w:rsidP="009B745F">
            <w:pPr>
              <w:keepNext/>
              <w:spacing w:before="120"/>
              <w:rPr>
                <w:rFonts w:asciiTheme="majorHAnsi" w:hAnsiTheme="majorHAnsi" w:cstheme="majorHAnsi"/>
                <w:sz w:val="20"/>
                <w:szCs w:val="20"/>
              </w:rPr>
            </w:pPr>
            <w:r w:rsidRPr="00343860">
              <w:rPr>
                <w:rFonts w:asciiTheme="majorHAnsi" w:hAnsiTheme="majorHAnsi" w:cstheme="majorHAnsi"/>
              </w:rPr>
              <w:t>Adults with comorbidities</w:t>
            </w:r>
          </w:p>
        </w:tc>
      </w:tr>
      <w:tr w:rsidR="005D5162" w:rsidRPr="00343860" w:rsidTr="009B745F">
        <w:tc>
          <w:tcPr>
            <w:tcW w:w="9016" w:type="dxa"/>
            <w:gridSpan w:val="5"/>
          </w:tcPr>
          <w:p w:rsidR="005D5162" w:rsidRPr="00343860" w:rsidRDefault="005D5162" w:rsidP="009B745F">
            <w:pPr>
              <w:keepNext/>
              <w:rPr>
                <w:rFonts w:asciiTheme="majorHAnsi" w:hAnsiTheme="majorHAnsi" w:cstheme="majorHAnsi"/>
                <w:sz w:val="20"/>
                <w:szCs w:val="20"/>
              </w:rPr>
            </w:pPr>
            <w:r w:rsidRPr="00343860">
              <w:rPr>
                <w:rFonts w:asciiTheme="majorHAnsi" w:hAnsiTheme="majorHAnsi" w:cstheme="majorHAnsi"/>
                <w:b/>
                <w:bCs/>
                <w:sz w:val="20"/>
                <w:szCs w:val="20"/>
              </w:rPr>
              <w:t>Prioritising within existing rollout capacity</w:t>
            </w:r>
          </w:p>
        </w:tc>
      </w:tr>
      <w:tr w:rsidR="005D5162" w:rsidRPr="00343860" w:rsidTr="007E04AB">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559"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-45 (-0.2%)</w:t>
            </w:r>
          </w:p>
        </w:tc>
        <w:tc>
          <w:tcPr>
            <w:tcW w:w="1677"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-71 (-0.1%)</w:t>
            </w:r>
          </w:p>
        </w:tc>
        <w:tc>
          <w:tcPr>
            <w:tcW w:w="1503"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 (-0.3%)</w:t>
            </w:r>
          </w:p>
        </w:tc>
        <w:tc>
          <w:tcPr>
            <w:tcW w:w="1588"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-50 (-0.2%)</w:t>
            </w:r>
          </w:p>
        </w:tc>
      </w:tr>
      <w:tr w:rsidR="005D5162" w:rsidRPr="00343860" w:rsidTr="007E04AB">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559"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-70 (-0.3%)</w:t>
            </w:r>
          </w:p>
        </w:tc>
        <w:tc>
          <w:tcPr>
            <w:tcW w:w="1677"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-105 (-0.1%)</w:t>
            </w:r>
          </w:p>
        </w:tc>
        <w:tc>
          <w:tcPr>
            <w:tcW w:w="1503"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(-0.4%)</w:t>
            </w:r>
          </w:p>
        </w:tc>
        <w:tc>
          <w:tcPr>
            <w:tcW w:w="1588"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-77 (-0.3%)</w:t>
            </w:r>
          </w:p>
        </w:tc>
      </w:tr>
      <w:tr w:rsidR="005D5162" w:rsidRPr="00343860" w:rsidTr="007E04AB">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559"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-77 (-0.3%)</w:t>
            </w:r>
          </w:p>
        </w:tc>
        <w:tc>
          <w:tcPr>
            <w:tcW w:w="1677"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-115 (-0.1%)</w:t>
            </w:r>
          </w:p>
        </w:tc>
        <w:tc>
          <w:tcPr>
            <w:tcW w:w="1503"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88"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-85 (-0.3%)</w:t>
            </w:r>
          </w:p>
        </w:tc>
      </w:tr>
      <w:tr w:rsidR="005D5162" w:rsidRPr="00343860" w:rsidTr="00EF217D">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559"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-5,500 (-19.7%)</w:t>
            </w:r>
          </w:p>
        </w:tc>
        <w:tc>
          <w:tcPr>
            <w:tcW w:w="1677" w:type="dxa"/>
            <w:shd w:val="clear" w:color="auto" w:fill="C5E0B3" w:themeFill="accent6" w:themeFillTint="66"/>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-10,667 (-8.0%)</w:t>
            </w:r>
          </w:p>
        </w:tc>
        <w:tc>
          <w:tcPr>
            <w:tcW w:w="1503"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-615 (-31.1%)</w:t>
            </w:r>
          </w:p>
        </w:tc>
        <w:tc>
          <w:tcPr>
            <w:tcW w:w="1588"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-5,655 (-20.9%)</w:t>
            </w:r>
          </w:p>
        </w:tc>
      </w:tr>
      <w:tr w:rsidR="005D5162" w:rsidRPr="00343860" w:rsidTr="009B745F">
        <w:tc>
          <w:tcPr>
            <w:tcW w:w="9016" w:type="dxa"/>
            <w:gridSpan w:val="5"/>
          </w:tcPr>
          <w:p w:rsidR="005D5162" w:rsidRPr="00343860" w:rsidRDefault="005D5162" w:rsidP="009B745F">
            <w:pPr>
              <w:keepNext/>
              <w:spacing w:before="120"/>
              <w:rPr>
                <w:rFonts w:asciiTheme="majorHAnsi" w:hAnsiTheme="majorHAnsi" w:cstheme="majorHAnsi"/>
                <w:sz w:val="20"/>
                <w:szCs w:val="20"/>
              </w:rPr>
            </w:pPr>
            <w:r w:rsidRPr="00343860">
              <w:rPr>
                <w:rFonts w:asciiTheme="majorHAnsi" w:hAnsiTheme="majorHAnsi" w:cstheme="majorHAnsi"/>
                <w:b/>
                <w:bCs/>
                <w:sz w:val="20"/>
                <w:szCs w:val="20"/>
              </w:rPr>
              <w:t>Additional rollout capacity (opportunistic vaccination during regular care visits)</w:t>
            </w:r>
          </w:p>
        </w:tc>
      </w:tr>
      <w:tr w:rsidR="005D5162" w:rsidRPr="00343860" w:rsidTr="007E04AB">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559"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-108 (-0.4%)</w:t>
            </w:r>
          </w:p>
        </w:tc>
        <w:tc>
          <w:tcPr>
            <w:tcW w:w="1677"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-294 (-0.2%)</w:t>
            </w:r>
          </w:p>
        </w:tc>
        <w:tc>
          <w:tcPr>
            <w:tcW w:w="1503"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88" w:type="dxa"/>
            <w:shd w:val="clear" w:color="auto" w:fill="E2EFD9" w:themeFill="accent6" w:themeFillTint="33"/>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-104 (-0.4%)</w:t>
            </w:r>
          </w:p>
        </w:tc>
      </w:tr>
      <w:tr w:rsidR="005D5162" w:rsidRPr="00343860" w:rsidTr="00EF217D">
        <w:tc>
          <w:tcPr>
            <w:tcW w:w="2689" w:type="dxa"/>
          </w:tcPr>
          <w:p w:rsidR="005D5162" w:rsidRPr="00343860" w:rsidRDefault="005D5162" w:rsidP="00E062CB">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559"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-6,158 (-22.1%)</w:t>
            </w:r>
          </w:p>
        </w:tc>
        <w:tc>
          <w:tcPr>
            <w:tcW w:w="1677" w:type="dxa"/>
            <w:shd w:val="clear" w:color="auto" w:fill="C5E0B3" w:themeFill="accent6" w:themeFillTint="66"/>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-12,688 (-9.5%)</w:t>
            </w:r>
          </w:p>
        </w:tc>
        <w:tc>
          <w:tcPr>
            <w:tcW w:w="1503"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-667 (-33.8%)</w:t>
            </w:r>
          </w:p>
        </w:tc>
        <w:tc>
          <w:tcPr>
            <w:tcW w:w="1588" w:type="dxa"/>
            <w:shd w:val="clear" w:color="auto" w:fill="8FC26C"/>
            <w:vAlign w:val="bottom"/>
          </w:tcPr>
          <w:p w:rsidR="005D5162" w:rsidRPr="00343860" w:rsidRDefault="005D5162" w:rsidP="00E062CB">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-6,238 (-23.0%)</w:t>
            </w:r>
          </w:p>
        </w:tc>
      </w:tr>
    </w:tbl>
    <w:p w:rsidR="005D5162" w:rsidRPr="00343860" w:rsidRDefault="005D5162" w:rsidP="00D80BF6">
      <w:pPr>
        <w:jc w:val="both"/>
        <w:rPr>
          <w:rFonts w:asciiTheme="majorHAnsi" w:hAnsiTheme="majorHAnsi" w:cstheme="majorHAnsi"/>
          <w:sz w:val="20"/>
          <w:szCs w:val="20"/>
        </w:rPr>
      </w:pPr>
    </w:p>
    <w:p w:rsidR="005D5162" w:rsidRPr="00343860" w:rsidRDefault="005D5162">
      <w:pPr>
        <w:rPr>
          <w:rFonts w:asciiTheme="majorHAnsi" w:hAnsiTheme="majorHAnsi" w:cstheme="majorHAnsi"/>
          <w:sz w:val="20"/>
          <w:szCs w:val="20"/>
        </w:rPr>
      </w:pPr>
      <w:r w:rsidRPr="00343860">
        <w:rPr>
          <w:rFonts w:asciiTheme="majorHAnsi" w:hAnsiTheme="majorHAnsi" w:cstheme="majorHAnsi"/>
          <w:sz w:val="20"/>
          <w:szCs w:val="20"/>
        </w:rPr>
        <w:br w:type="page"/>
      </w:r>
    </w:p>
    <w:p w:rsidR="005D5162" w:rsidRPr="00954640" w:rsidRDefault="005D5162" w:rsidP="00D80BF6">
      <w:pPr>
        <w:jc w:val="both"/>
        <w:rPr>
          <w:rFonts w:ascii="Arial" w:hAnsi="Arial" w:cs="Arial"/>
          <w:sz w:val="20"/>
          <w:szCs w:val="20"/>
        </w:rPr>
      </w:pPr>
      <w:r w:rsidRPr="00954640">
        <w:rPr>
          <w:rFonts w:ascii="Arial" w:hAnsi="Arial" w:cs="Arial"/>
          <w:b/>
          <w:bCs/>
          <w:sz w:val="20"/>
          <w:szCs w:val="20"/>
        </w:rPr>
        <w:lastRenderedPageBreak/>
        <w:t xml:space="preserve">Table S4.9 </w:t>
      </w:r>
      <w:r w:rsidRPr="00954640">
        <w:rPr>
          <w:rFonts w:ascii="Arial" w:hAnsi="Arial" w:cs="Arial"/>
          <w:sz w:val="20"/>
          <w:szCs w:val="20"/>
        </w:rPr>
        <w:t xml:space="preserve">Sensitivity analysis for prioritisation of high-risk groups where the individuals have </w:t>
      </w:r>
      <w:r w:rsidRPr="00954640">
        <w:rPr>
          <w:rFonts w:ascii="Arial" w:hAnsi="Arial" w:cs="Arial"/>
          <w:b/>
          <w:bCs/>
          <w:sz w:val="20"/>
          <w:szCs w:val="20"/>
        </w:rPr>
        <w:t>1.5 times the risk</w:t>
      </w:r>
      <w:r w:rsidRPr="00954640">
        <w:rPr>
          <w:rFonts w:ascii="Arial" w:hAnsi="Arial" w:cs="Arial"/>
          <w:sz w:val="20"/>
          <w:szCs w:val="20"/>
        </w:rPr>
        <w:t xml:space="preserve"> of the general population. Severe outcomes applicable to the general population presented only.</w:t>
      </w:r>
    </w:p>
    <w:tbl>
      <w:tblPr>
        <w:tblStyle w:val="TableGrid"/>
        <w:tblW w:w="0" w:type="auto"/>
        <w:tblLook w:val="04A0" w:firstRow="1" w:lastRow="0" w:firstColumn="1" w:lastColumn="0" w:noHBand="0" w:noVBand="1"/>
      </w:tblPr>
      <w:tblGrid>
        <w:gridCol w:w="2838"/>
        <w:gridCol w:w="1552"/>
        <w:gridCol w:w="1711"/>
        <w:gridCol w:w="1412"/>
        <w:gridCol w:w="1503"/>
      </w:tblGrid>
      <w:tr w:rsidR="005D5162" w:rsidRPr="00343860" w:rsidTr="00EF217D">
        <w:tc>
          <w:tcPr>
            <w:tcW w:w="2838" w:type="dxa"/>
          </w:tcPr>
          <w:p w:rsidR="005D5162" w:rsidRPr="00343860" w:rsidRDefault="005D5162" w:rsidP="004B717D">
            <w:pPr>
              <w:keepNext/>
              <w:rPr>
                <w:rFonts w:asciiTheme="majorHAnsi" w:hAnsiTheme="majorHAnsi" w:cstheme="majorHAnsi"/>
                <w:sz w:val="18"/>
                <w:szCs w:val="18"/>
              </w:rPr>
            </w:pPr>
          </w:p>
        </w:tc>
        <w:tc>
          <w:tcPr>
            <w:tcW w:w="1552"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Incidence of severe disease</w:t>
            </w:r>
          </w:p>
        </w:tc>
        <w:tc>
          <w:tcPr>
            <w:tcW w:w="1711"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Hospitalisations</w:t>
            </w:r>
          </w:p>
        </w:tc>
        <w:tc>
          <w:tcPr>
            <w:tcW w:w="1412"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Deaths</w:t>
            </w:r>
          </w:p>
        </w:tc>
        <w:tc>
          <w:tcPr>
            <w:tcW w:w="1503" w:type="dxa"/>
          </w:tcPr>
          <w:p w:rsidR="005D5162" w:rsidRPr="00343860" w:rsidRDefault="005D5162" w:rsidP="004B717D">
            <w:pPr>
              <w:keepNext/>
              <w:rPr>
                <w:rFonts w:asciiTheme="majorHAnsi" w:hAnsiTheme="majorHAnsi" w:cstheme="majorHAnsi"/>
                <w:sz w:val="18"/>
                <w:szCs w:val="18"/>
              </w:rPr>
            </w:pPr>
            <w:r w:rsidRPr="00343860">
              <w:rPr>
                <w:rFonts w:asciiTheme="majorHAnsi" w:hAnsiTheme="majorHAnsi" w:cstheme="majorHAnsi"/>
                <w:sz w:val="18"/>
                <w:szCs w:val="18"/>
              </w:rPr>
              <w:t>YLL</w:t>
            </w:r>
          </w:p>
        </w:tc>
      </w:tr>
      <w:tr w:rsidR="005D5162" w:rsidRPr="00343860" w:rsidTr="009B745F">
        <w:tc>
          <w:tcPr>
            <w:tcW w:w="9016" w:type="dxa"/>
            <w:gridSpan w:val="5"/>
          </w:tcPr>
          <w:p w:rsidR="005D5162" w:rsidRPr="00343860" w:rsidRDefault="005D5162" w:rsidP="004B717D">
            <w:pPr>
              <w:keepNext/>
              <w:spacing w:before="120"/>
              <w:rPr>
                <w:rFonts w:asciiTheme="majorHAnsi" w:hAnsiTheme="majorHAnsi" w:cstheme="majorHAnsi"/>
                <w:color w:val="000000"/>
                <w:sz w:val="20"/>
                <w:szCs w:val="20"/>
              </w:rPr>
            </w:pPr>
            <w:r w:rsidRPr="00343860">
              <w:rPr>
                <w:rFonts w:asciiTheme="majorHAnsi" w:hAnsiTheme="majorHAnsi" w:cstheme="majorHAnsi"/>
              </w:rPr>
              <w:t>Pregnant women</w:t>
            </w:r>
          </w:p>
        </w:tc>
      </w:tr>
      <w:tr w:rsidR="005D5162" w:rsidRPr="00343860" w:rsidTr="009B745F">
        <w:tc>
          <w:tcPr>
            <w:tcW w:w="9016" w:type="dxa"/>
            <w:gridSpan w:val="5"/>
          </w:tcPr>
          <w:p w:rsidR="005D5162" w:rsidRPr="00343860" w:rsidRDefault="005D5162" w:rsidP="004B717D">
            <w:pPr>
              <w:keepNext/>
              <w:rPr>
                <w:rFonts w:asciiTheme="majorHAnsi" w:hAnsiTheme="majorHAnsi" w:cstheme="majorHAnsi"/>
                <w:color w:val="000000"/>
                <w:sz w:val="20"/>
                <w:szCs w:val="20"/>
              </w:rPr>
            </w:pPr>
            <w:r w:rsidRPr="00343860">
              <w:rPr>
                <w:rFonts w:asciiTheme="majorHAnsi" w:hAnsiTheme="majorHAnsi" w:cstheme="majorHAnsi"/>
                <w:b/>
                <w:bCs/>
                <w:sz w:val="20"/>
                <w:szCs w:val="20"/>
              </w:rPr>
              <w:t>Prioritising within existing rollout capacity</w:t>
            </w:r>
          </w:p>
        </w:tc>
      </w:tr>
      <w:tr w:rsidR="005D5162" w:rsidRPr="00343860" w:rsidTr="0068634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552"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 (0.0%)</w:t>
            </w:r>
          </w:p>
        </w:tc>
        <w:tc>
          <w:tcPr>
            <w:tcW w:w="1711"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13 (0.0%)</w:t>
            </w:r>
          </w:p>
        </w:tc>
        <w:tc>
          <w:tcPr>
            <w:tcW w:w="1412"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color w:val="000000"/>
                <w:sz w:val="20"/>
                <w:szCs w:val="20"/>
              </w:rPr>
            </w:pPr>
            <w:r w:rsidRPr="00343860">
              <w:rPr>
                <w:rFonts w:asciiTheme="majorHAnsi" w:hAnsiTheme="majorHAnsi" w:cstheme="majorHAnsi"/>
                <w:color w:val="000000"/>
                <w:sz w:val="20"/>
                <w:szCs w:val="20"/>
              </w:rPr>
              <w:t xml:space="preserve">      1 (0.0%)</w:t>
            </w:r>
          </w:p>
        </w:tc>
        <w:tc>
          <w:tcPr>
            <w:tcW w:w="1503"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(0.0%)</w:t>
            </w:r>
          </w:p>
        </w:tc>
      </w:tr>
      <w:tr w:rsidR="005D5162" w:rsidRPr="00343860" w:rsidTr="0068634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552"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(0.0%)</w:t>
            </w:r>
          </w:p>
        </w:tc>
        <w:tc>
          <w:tcPr>
            <w:tcW w:w="1711"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15 (0.0%)</w:t>
            </w:r>
          </w:p>
        </w:tc>
        <w:tc>
          <w:tcPr>
            <w:tcW w:w="1412"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(0.0%)</w:t>
            </w:r>
          </w:p>
        </w:tc>
        <w:tc>
          <w:tcPr>
            <w:tcW w:w="1503"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10 (0.0%)</w:t>
            </w:r>
          </w:p>
        </w:tc>
      </w:tr>
      <w:tr w:rsidR="005D5162" w:rsidRPr="00343860" w:rsidTr="0068634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552"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(0.0%)</w:t>
            </w:r>
          </w:p>
        </w:tc>
        <w:tc>
          <w:tcPr>
            <w:tcW w:w="1711"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16 (0.0%)</w:t>
            </w:r>
          </w:p>
        </w:tc>
        <w:tc>
          <w:tcPr>
            <w:tcW w:w="1412" w:type="dxa"/>
            <w:shd w:val="clear" w:color="auto" w:fill="FBE4D5" w:themeFill="accent2"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03" w:type="dxa"/>
            <w:shd w:val="clear" w:color="auto" w:fill="F2F2F2" w:themeFill="background1" w:themeFillShade="F2"/>
            <w:vAlign w:val="bottom"/>
          </w:tcPr>
          <w:p w:rsidR="005D5162" w:rsidRPr="00343860" w:rsidRDefault="005D5162" w:rsidP="0068634D">
            <w:pPr>
              <w:keepNext/>
              <w:jc w:val="right"/>
              <w:rPr>
                <w:rFonts w:asciiTheme="majorHAnsi" w:hAnsiTheme="majorHAnsi" w:cstheme="majorHAnsi"/>
                <w:b/>
                <w:bCs/>
                <w:sz w:val="20"/>
                <w:szCs w:val="20"/>
              </w:rPr>
            </w:pPr>
            <w:r w:rsidRPr="00343860">
              <w:rPr>
                <w:rFonts w:asciiTheme="majorHAnsi" w:hAnsiTheme="majorHAnsi" w:cstheme="majorHAnsi"/>
                <w:color w:val="000000"/>
                <w:sz w:val="20"/>
                <w:szCs w:val="20"/>
              </w:rPr>
              <w:t xml:space="preserve">     11 (0.0%)</w:t>
            </w:r>
          </w:p>
        </w:tc>
      </w:tr>
      <w:tr w:rsidR="005D5162" w:rsidRPr="00343860" w:rsidTr="00B52F2E">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55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-202 (-0.7%)</w:t>
            </w:r>
          </w:p>
        </w:tc>
        <w:tc>
          <w:tcPr>
            <w:tcW w:w="1711" w:type="dxa"/>
            <w:shd w:val="clear" w:color="auto" w:fill="C5E0B3" w:themeFill="accent6" w:themeFillTint="66"/>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-1,547 (-1.2%)</w:t>
            </w:r>
          </w:p>
        </w:tc>
        <w:tc>
          <w:tcPr>
            <w:tcW w:w="1412" w:type="dxa"/>
            <w:shd w:val="clear" w:color="auto" w:fill="FBE4D5" w:themeFill="accent2"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 (0.1%)</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-52 (-0.2%)</w:t>
            </w:r>
          </w:p>
        </w:tc>
      </w:tr>
      <w:tr w:rsidR="005D5162" w:rsidRPr="00343860" w:rsidTr="009B745F">
        <w:tc>
          <w:tcPr>
            <w:tcW w:w="9016" w:type="dxa"/>
            <w:gridSpan w:val="5"/>
          </w:tcPr>
          <w:p w:rsidR="005D5162" w:rsidRPr="00343860" w:rsidRDefault="005D5162" w:rsidP="004B717D">
            <w:pPr>
              <w:keepNext/>
              <w:spacing w:before="120"/>
              <w:rPr>
                <w:rFonts w:asciiTheme="majorHAnsi" w:hAnsiTheme="majorHAnsi" w:cstheme="majorHAnsi"/>
                <w:color w:val="000000"/>
                <w:sz w:val="20"/>
                <w:szCs w:val="20"/>
              </w:rPr>
            </w:pPr>
            <w:r w:rsidRPr="00343860">
              <w:rPr>
                <w:rFonts w:asciiTheme="majorHAnsi" w:hAnsiTheme="majorHAnsi" w:cstheme="majorHAnsi"/>
                <w:b/>
                <w:bCs/>
                <w:sz w:val="20"/>
                <w:szCs w:val="20"/>
              </w:rPr>
              <w:t>Additional rollout capacity (opportunistic vaccination during antenatal visits)</w:t>
            </w:r>
          </w:p>
        </w:tc>
      </w:tr>
      <w:tr w:rsidR="005D5162" w:rsidRPr="00343860" w:rsidTr="00EF217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55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-22 (-0.1%)</w:t>
            </w:r>
          </w:p>
        </w:tc>
        <w:tc>
          <w:tcPr>
            <w:tcW w:w="1711"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-90 (-0.1%)</w:t>
            </w:r>
          </w:p>
        </w:tc>
        <w:tc>
          <w:tcPr>
            <w:tcW w:w="141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 (-0.1%)</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-18 (-0.1%)</w:t>
            </w:r>
          </w:p>
        </w:tc>
      </w:tr>
      <w:tr w:rsidR="005D5162" w:rsidRPr="00343860" w:rsidTr="00EF217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552" w:type="dxa"/>
            <w:shd w:val="clear" w:color="auto" w:fill="C5E0B3" w:themeFill="accent6" w:themeFillTint="66"/>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-325 (-1.2%)</w:t>
            </w:r>
          </w:p>
        </w:tc>
        <w:tc>
          <w:tcPr>
            <w:tcW w:w="1711" w:type="dxa"/>
            <w:shd w:val="clear" w:color="auto" w:fill="C5E0B3" w:themeFill="accent6" w:themeFillTint="66"/>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-1,956 (-1.5%)</w:t>
            </w:r>
          </w:p>
        </w:tc>
        <w:tc>
          <w:tcPr>
            <w:tcW w:w="141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 (-0.3%)</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-163 (-0.6%)</w:t>
            </w:r>
          </w:p>
        </w:tc>
      </w:tr>
      <w:tr w:rsidR="005D5162" w:rsidRPr="00343860" w:rsidTr="00EF217D">
        <w:tc>
          <w:tcPr>
            <w:tcW w:w="2838" w:type="dxa"/>
          </w:tcPr>
          <w:p w:rsidR="005D5162" w:rsidRPr="00343860" w:rsidRDefault="005D5162" w:rsidP="0068634D">
            <w:pPr>
              <w:keepNext/>
              <w:rPr>
                <w:rFonts w:asciiTheme="majorHAnsi" w:hAnsiTheme="majorHAnsi" w:cstheme="majorHAnsi"/>
                <w:sz w:val="20"/>
                <w:szCs w:val="20"/>
              </w:rPr>
            </w:pPr>
            <w:r w:rsidRPr="00343860">
              <w:rPr>
                <w:rFonts w:asciiTheme="majorHAnsi" w:hAnsiTheme="majorHAnsi" w:cstheme="majorHAnsi"/>
                <w:sz w:val="20"/>
                <w:szCs w:val="20"/>
              </w:rPr>
              <w:t>Expanding eligibility to high-risk children</w:t>
            </w:r>
          </w:p>
        </w:tc>
        <w:tc>
          <w:tcPr>
            <w:tcW w:w="155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-26 (-0.1%)</w:t>
            </w:r>
          </w:p>
        </w:tc>
        <w:tc>
          <w:tcPr>
            <w:tcW w:w="1711"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-225 (-0.2%)</w:t>
            </w:r>
          </w:p>
        </w:tc>
        <w:tc>
          <w:tcPr>
            <w:tcW w:w="1412"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 (-0.1%)</w:t>
            </w:r>
          </w:p>
        </w:tc>
        <w:tc>
          <w:tcPr>
            <w:tcW w:w="1503" w:type="dxa"/>
            <w:shd w:val="clear" w:color="auto" w:fill="E2EFD9" w:themeFill="accent6" w:themeFillTint="33"/>
            <w:vAlign w:val="bottom"/>
          </w:tcPr>
          <w:p w:rsidR="005D5162" w:rsidRPr="00343860" w:rsidRDefault="005D5162" w:rsidP="0068634D">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-29 (-0.1%)</w:t>
            </w:r>
          </w:p>
        </w:tc>
      </w:tr>
      <w:tr w:rsidR="005D5162" w:rsidRPr="00343860" w:rsidTr="009B745F">
        <w:tc>
          <w:tcPr>
            <w:tcW w:w="9016" w:type="dxa"/>
            <w:gridSpan w:val="5"/>
          </w:tcPr>
          <w:p w:rsidR="005D5162" w:rsidRPr="00343860" w:rsidRDefault="005D5162" w:rsidP="004B717D">
            <w:pPr>
              <w:keepNext/>
              <w:spacing w:before="120"/>
              <w:rPr>
                <w:rFonts w:asciiTheme="majorHAnsi" w:hAnsiTheme="majorHAnsi" w:cstheme="majorHAnsi"/>
                <w:sz w:val="20"/>
                <w:szCs w:val="20"/>
              </w:rPr>
            </w:pPr>
            <w:r w:rsidRPr="00343860">
              <w:rPr>
                <w:rFonts w:asciiTheme="majorHAnsi" w:hAnsiTheme="majorHAnsi" w:cstheme="majorHAnsi"/>
              </w:rPr>
              <w:t>Adults with comorbidities</w:t>
            </w:r>
          </w:p>
        </w:tc>
      </w:tr>
      <w:tr w:rsidR="005D5162" w:rsidRPr="00343860" w:rsidTr="009B745F">
        <w:tc>
          <w:tcPr>
            <w:tcW w:w="9016" w:type="dxa"/>
            <w:gridSpan w:val="5"/>
          </w:tcPr>
          <w:p w:rsidR="005D5162" w:rsidRPr="00343860" w:rsidRDefault="005D5162" w:rsidP="004B717D">
            <w:pPr>
              <w:keepNext/>
              <w:rPr>
                <w:rFonts w:asciiTheme="majorHAnsi" w:hAnsiTheme="majorHAnsi" w:cstheme="majorHAnsi"/>
                <w:sz w:val="20"/>
                <w:szCs w:val="20"/>
              </w:rPr>
            </w:pPr>
            <w:r w:rsidRPr="00343860">
              <w:rPr>
                <w:rFonts w:asciiTheme="majorHAnsi" w:hAnsiTheme="majorHAnsi" w:cstheme="majorHAnsi"/>
                <w:b/>
                <w:bCs/>
                <w:sz w:val="20"/>
                <w:szCs w:val="20"/>
              </w:rPr>
              <w:t>Prioritising within existing rollout capacity</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25% primary dose only</w:t>
            </w:r>
          </w:p>
        </w:tc>
        <w:tc>
          <w:tcPr>
            <w:tcW w:w="155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-48 (-0.2%)</w:t>
            </w:r>
          </w:p>
        </w:tc>
        <w:tc>
          <w:tcPr>
            <w:tcW w:w="1711"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-79 (-0.1%)</w:t>
            </w:r>
          </w:p>
        </w:tc>
        <w:tc>
          <w:tcPr>
            <w:tcW w:w="141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 (-0.3%)</w:t>
            </w:r>
          </w:p>
        </w:tc>
        <w:tc>
          <w:tcPr>
            <w:tcW w:w="1503"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-51 (-0.2%)</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50% primary dose only</w:t>
            </w:r>
          </w:p>
        </w:tc>
        <w:tc>
          <w:tcPr>
            <w:tcW w:w="155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-74 (-0.3%)</w:t>
            </w:r>
          </w:p>
        </w:tc>
        <w:tc>
          <w:tcPr>
            <w:tcW w:w="1711"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-118 (-0.1%)</w:t>
            </w:r>
          </w:p>
        </w:tc>
        <w:tc>
          <w:tcPr>
            <w:tcW w:w="141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-9 (-0.5%)</w:t>
            </w:r>
          </w:p>
        </w:tc>
        <w:tc>
          <w:tcPr>
            <w:tcW w:w="1503"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-79 (-0.3%)</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75% primary dose only</w:t>
            </w:r>
          </w:p>
        </w:tc>
        <w:tc>
          <w:tcPr>
            <w:tcW w:w="155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-82 (-0.3%)</w:t>
            </w:r>
          </w:p>
        </w:tc>
        <w:tc>
          <w:tcPr>
            <w:tcW w:w="1711"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-129 (-0.1%)</w:t>
            </w:r>
          </w:p>
        </w:tc>
        <w:tc>
          <w:tcPr>
            <w:tcW w:w="141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03"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-88 (-0.3%)</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50% primary and booster provision</w:t>
            </w:r>
          </w:p>
        </w:tc>
        <w:tc>
          <w:tcPr>
            <w:tcW w:w="1552"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-5,717 (-20.5%)</w:t>
            </w:r>
          </w:p>
        </w:tc>
        <w:tc>
          <w:tcPr>
            <w:tcW w:w="1711" w:type="dxa"/>
            <w:shd w:val="clear" w:color="auto" w:fill="A8D08D" w:themeFill="accent6" w:themeFillTint="99"/>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-11,396 (-8.5%)</w:t>
            </w:r>
          </w:p>
        </w:tc>
        <w:tc>
          <w:tcPr>
            <w:tcW w:w="1412"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-621 (-31.4%)</w:t>
            </w:r>
          </w:p>
        </w:tc>
        <w:tc>
          <w:tcPr>
            <w:tcW w:w="1503"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-5,780 (-21.4%)</w:t>
            </w:r>
          </w:p>
        </w:tc>
      </w:tr>
      <w:tr w:rsidR="005D5162" w:rsidRPr="00343860" w:rsidTr="009B745F">
        <w:tc>
          <w:tcPr>
            <w:tcW w:w="9016" w:type="dxa"/>
            <w:gridSpan w:val="5"/>
          </w:tcPr>
          <w:p w:rsidR="005D5162" w:rsidRPr="00343860" w:rsidRDefault="005D5162" w:rsidP="004B717D">
            <w:pPr>
              <w:keepNext/>
              <w:spacing w:before="120"/>
              <w:rPr>
                <w:rFonts w:asciiTheme="majorHAnsi" w:hAnsiTheme="majorHAnsi" w:cstheme="majorHAnsi"/>
                <w:sz w:val="20"/>
                <w:szCs w:val="20"/>
              </w:rPr>
            </w:pPr>
            <w:r w:rsidRPr="00343860">
              <w:rPr>
                <w:rFonts w:asciiTheme="majorHAnsi" w:hAnsiTheme="majorHAnsi" w:cstheme="majorHAnsi"/>
                <w:b/>
                <w:bCs/>
                <w:sz w:val="20"/>
                <w:szCs w:val="20"/>
              </w:rPr>
              <w:t>Additional rollout capacity (opportunistic vaccination during regular care visits)</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Additional primary doses</w:t>
            </w:r>
          </w:p>
        </w:tc>
        <w:tc>
          <w:tcPr>
            <w:tcW w:w="155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-111 (-0.4%)</w:t>
            </w:r>
          </w:p>
        </w:tc>
        <w:tc>
          <w:tcPr>
            <w:tcW w:w="1711"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-302 (-0.2%)</w:t>
            </w:r>
          </w:p>
        </w:tc>
        <w:tc>
          <w:tcPr>
            <w:tcW w:w="1412"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 (-0.5%)</w:t>
            </w:r>
          </w:p>
        </w:tc>
        <w:tc>
          <w:tcPr>
            <w:tcW w:w="1503" w:type="dxa"/>
            <w:shd w:val="clear" w:color="auto" w:fill="C5E0B3" w:themeFill="accent6" w:themeFillTint="66"/>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-106 (-0.4%)</w:t>
            </w:r>
          </w:p>
        </w:tc>
      </w:tr>
      <w:tr w:rsidR="005D5162" w:rsidRPr="00343860" w:rsidTr="00EF217D">
        <w:tc>
          <w:tcPr>
            <w:tcW w:w="2838" w:type="dxa"/>
          </w:tcPr>
          <w:p w:rsidR="005D5162" w:rsidRPr="00343860" w:rsidRDefault="005D5162" w:rsidP="00EA1A70">
            <w:pPr>
              <w:keepNext/>
              <w:rPr>
                <w:rFonts w:asciiTheme="majorHAnsi" w:hAnsiTheme="majorHAnsi" w:cstheme="majorHAnsi"/>
                <w:sz w:val="20"/>
                <w:szCs w:val="20"/>
              </w:rPr>
            </w:pPr>
            <w:r w:rsidRPr="00343860">
              <w:rPr>
                <w:rFonts w:asciiTheme="majorHAnsi" w:hAnsiTheme="majorHAnsi" w:cstheme="majorHAnsi"/>
                <w:sz w:val="20"/>
                <w:szCs w:val="20"/>
              </w:rPr>
              <w:t>Additional primary and booster doses</w:t>
            </w:r>
          </w:p>
        </w:tc>
        <w:tc>
          <w:tcPr>
            <w:tcW w:w="1552"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-6,381 (-22.9%)</w:t>
            </w:r>
          </w:p>
        </w:tc>
        <w:tc>
          <w:tcPr>
            <w:tcW w:w="1711" w:type="dxa"/>
            <w:shd w:val="clear" w:color="auto" w:fill="A8D08D" w:themeFill="accent6" w:themeFillTint="99"/>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-13,436 (-10.1%)</w:t>
            </w:r>
          </w:p>
        </w:tc>
        <w:tc>
          <w:tcPr>
            <w:tcW w:w="1412"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 xml:space="preserve">  -673 (-34.0%)</w:t>
            </w:r>
          </w:p>
        </w:tc>
        <w:tc>
          <w:tcPr>
            <w:tcW w:w="1503" w:type="dxa"/>
            <w:shd w:val="clear" w:color="auto" w:fill="8FC26C"/>
            <w:vAlign w:val="bottom"/>
          </w:tcPr>
          <w:p w:rsidR="005D5162" w:rsidRPr="00343860" w:rsidRDefault="005D5162" w:rsidP="00EA1A70">
            <w:pPr>
              <w:keepNext/>
              <w:jc w:val="right"/>
              <w:rPr>
                <w:rFonts w:asciiTheme="majorHAnsi" w:hAnsiTheme="majorHAnsi" w:cstheme="majorHAnsi"/>
                <w:sz w:val="20"/>
                <w:szCs w:val="20"/>
              </w:rPr>
            </w:pPr>
            <w:r w:rsidRPr="00343860">
              <w:rPr>
                <w:rFonts w:asciiTheme="majorHAnsi" w:hAnsiTheme="majorHAnsi" w:cstheme="majorHAnsi"/>
                <w:color w:val="000000"/>
                <w:sz w:val="20"/>
                <w:szCs w:val="20"/>
              </w:rPr>
              <w:t>-6,366 (-23.5%)</w:t>
            </w:r>
          </w:p>
        </w:tc>
      </w:tr>
    </w:tbl>
    <w:p w:rsidR="005D5162" w:rsidRPr="00954640" w:rsidRDefault="005D5162" w:rsidP="00D80BF6">
      <w:pPr>
        <w:jc w:val="both"/>
        <w:rPr>
          <w:rFonts w:ascii="Arial" w:hAnsi="Arial" w:cs="Arial"/>
          <w:sz w:val="20"/>
          <w:szCs w:val="20"/>
        </w:rPr>
      </w:pPr>
    </w:p>
    <w:p w:rsidR="005D5162" w:rsidRPr="00954640" w:rsidRDefault="005D5162" w:rsidP="00D80BF6">
      <w:pPr>
        <w:jc w:val="both"/>
        <w:rPr>
          <w:rFonts w:ascii="Arial" w:hAnsi="Arial" w:cs="Arial"/>
          <w:sz w:val="20"/>
          <w:szCs w:val="20"/>
        </w:rPr>
      </w:pPr>
    </w:p>
    <w:p w:rsidR="005D5162" w:rsidRPr="00954640" w:rsidRDefault="005D5162">
      <w:pPr>
        <w:rPr>
          <w:rFonts w:ascii="Arial" w:hAnsi="Arial" w:cs="Arial"/>
          <w:sz w:val="20"/>
          <w:szCs w:val="20"/>
        </w:rPr>
      </w:pPr>
      <w:r w:rsidRPr="00954640">
        <w:rPr>
          <w:rFonts w:ascii="Arial" w:hAnsi="Arial" w:cs="Arial"/>
          <w:sz w:val="20"/>
          <w:szCs w:val="20"/>
        </w:rPr>
        <w:br w:type="page"/>
      </w:r>
    </w:p>
    <w:p w:rsidR="005D5162" w:rsidRPr="00954640" w:rsidRDefault="005D5162" w:rsidP="00D80BF6">
      <w:pPr>
        <w:jc w:val="both"/>
        <w:rPr>
          <w:rFonts w:ascii="Arial" w:hAnsi="Arial" w:cs="Arial"/>
          <w:sz w:val="20"/>
          <w:szCs w:val="20"/>
        </w:rPr>
      </w:pPr>
      <w:r w:rsidRPr="00954640">
        <w:rPr>
          <w:rFonts w:ascii="Arial" w:hAnsi="Arial" w:cs="Arial"/>
          <w:b/>
          <w:bCs/>
          <w:sz w:val="20"/>
          <w:szCs w:val="20"/>
        </w:rPr>
        <w:lastRenderedPageBreak/>
        <w:t xml:space="preserve">Table S4.10 </w:t>
      </w:r>
      <w:r w:rsidRPr="00954640">
        <w:rPr>
          <w:rFonts w:ascii="Arial" w:hAnsi="Arial" w:cs="Arial"/>
          <w:sz w:val="20"/>
          <w:szCs w:val="20"/>
        </w:rPr>
        <w:t xml:space="preserve">Sensitivity analysis for prioritisation of high-risk groups where the individuals have </w:t>
      </w:r>
      <w:r w:rsidRPr="00954640">
        <w:rPr>
          <w:rFonts w:ascii="Arial" w:hAnsi="Arial" w:cs="Arial"/>
          <w:b/>
          <w:bCs/>
          <w:sz w:val="20"/>
          <w:szCs w:val="20"/>
        </w:rPr>
        <w:t>3 times the risk</w:t>
      </w:r>
      <w:r w:rsidRPr="00954640">
        <w:rPr>
          <w:rFonts w:ascii="Arial" w:hAnsi="Arial" w:cs="Arial"/>
          <w:sz w:val="20"/>
          <w:szCs w:val="20"/>
        </w:rPr>
        <w:t xml:space="preserve"> of the general population. Severe outcomes applicable to the general population presented only.</w:t>
      </w:r>
    </w:p>
    <w:tbl>
      <w:tblPr>
        <w:tblStyle w:val="TableGrid"/>
        <w:tblW w:w="0" w:type="auto"/>
        <w:tblLook w:val="04A0" w:firstRow="1" w:lastRow="0" w:firstColumn="1" w:lastColumn="0" w:noHBand="0" w:noVBand="1"/>
      </w:tblPr>
      <w:tblGrid>
        <w:gridCol w:w="2838"/>
        <w:gridCol w:w="1552"/>
        <w:gridCol w:w="1701"/>
        <w:gridCol w:w="1422"/>
        <w:gridCol w:w="1503"/>
      </w:tblGrid>
      <w:tr w:rsidR="005D5162" w:rsidRPr="00910939" w:rsidTr="00D15B9D">
        <w:tc>
          <w:tcPr>
            <w:tcW w:w="2838" w:type="dxa"/>
          </w:tcPr>
          <w:p w:rsidR="005D5162" w:rsidRPr="00910939" w:rsidRDefault="005D5162" w:rsidP="004B717D">
            <w:pPr>
              <w:keepNext/>
              <w:rPr>
                <w:rFonts w:asciiTheme="majorHAnsi" w:hAnsiTheme="majorHAnsi" w:cstheme="majorHAnsi"/>
                <w:sz w:val="18"/>
                <w:szCs w:val="18"/>
              </w:rPr>
            </w:pPr>
          </w:p>
        </w:tc>
        <w:tc>
          <w:tcPr>
            <w:tcW w:w="1552" w:type="dxa"/>
          </w:tcPr>
          <w:p w:rsidR="005D5162" w:rsidRPr="00910939" w:rsidRDefault="005D5162" w:rsidP="004B717D">
            <w:pPr>
              <w:keepNext/>
              <w:rPr>
                <w:rFonts w:asciiTheme="majorHAnsi" w:hAnsiTheme="majorHAnsi" w:cstheme="majorHAnsi"/>
                <w:sz w:val="18"/>
                <w:szCs w:val="18"/>
              </w:rPr>
            </w:pPr>
            <w:r w:rsidRPr="00910939">
              <w:rPr>
                <w:rFonts w:asciiTheme="majorHAnsi" w:hAnsiTheme="majorHAnsi" w:cstheme="majorHAnsi"/>
                <w:sz w:val="18"/>
                <w:szCs w:val="18"/>
              </w:rPr>
              <w:t>Incidence of severe disease</w:t>
            </w:r>
          </w:p>
        </w:tc>
        <w:tc>
          <w:tcPr>
            <w:tcW w:w="1701" w:type="dxa"/>
          </w:tcPr>
          <w:p w:rsidR="005D5162" w:rsidRPr="00910939" w:rsidRDefault="005D5162" w:rsidP="004B717D">
            <w:pPr>
              <w:keepNext/>
              <w:rPr>
                <w:rFonts w:asciiTheme="majorHAnsi" w:hAnsiTheme="majorHAnsi" w:cstheme="majorHAnsi"/>
                <w:sz w:val="18"/>
                <w:szCs w:val="18"/>
              </w:rPr>
            </w:pPr>
            <w:r w:rsidRPr="00910939">
              <w:rPr>
                <w:rFonts w:asciiTheme="majorHAnsi" w:hAnsiTheme="majorHAnsi" w:cstheme="majorHAnsi"/>
                <w:sz w:val="18"/>
                <w:szCs w:val="18"/>
              </w:rPr>
              <w:t>Hospitalisations</w:t>
            </w:r>
          </w:p>
        </w:tc>
        <w:tc>
          <w:tcPr>
            <w:tcW w:w="1422" w:type="dxa"/>
          </w:tcPr>
          <w:p w:rsidR="005D5162" w:rsidRPr="00910939" w:rsidRDefault="005D5162" w:rsidP="004B717D">
            <w:pPr>
              <w:keepNext/>
              <w:rPr>
                <w:rFonts w:asciiTheme="majorHAnsi" w:hAnsiTheme="majorHAnsi" w:cstheme="majorHAnsi"/>
                <w:sz w:val="18"/>
                <w:szCs w:val="18"/>
              </w:rPr>
            </w:pPr>
            <w:r w:rsidRPr="00910939">
              <w:rPr>
                <w:rFonts w:asciiTheme="majorHAnsi" w:hAnsiTheme="majorHAnsi" w:cstheme="majorHAnsi"/>
                <w:sz w:val="18"/>
                <w:szCs w:val="18"/>
              </w:rPr>
              <w:t>Deaths</w:t>
            </w:r>
          </w:p>
        </w:tc>
        <w:tc>
          <w:tcPr>
            <w:tcW w:w="1503" w:type="dxa"/>
          </w:tcPr>
          <w:p w:rsidR="005D5162" w:rsidRPr="00910939" w:rsidRDefault="005D5162" w:rsidP="004B717D">
            <w:pPr>
              <w:keepNext/>
              <w:rPr>
                <w:rFonts w:asciiTheme="majorHAnsi" w:hAnsiTheme="majorHAnsi" w:cstheme="majorHAnsi"/>
                <w:sz w:val="18"/>
                <w:szCs w:val="18"/>
              </w:rPr>
            </w:pPr>
            <w:r w:rsidRPr="00910939">
              <w:rPr>
                <w:rFonts w:asciiTheme="majorHAnsi" w:hAnsiTheme="majorHAnsi" w:cstheme="majorHAnsi"/>
                <w:sz w:val="18"/>
                <w:szCs w:val="18"/>
              </w:rPr>
              <w:t>YLL</w:t>
            </w:r>
          </w:p>
        </w:tc>
      </w:tr>
      <w:tr w:rsidR="005D5162" w:rsidRPr="00910939" w:rsidTr="004B717D">
        <w:tc>
          <w:tcPr>
            <w:tcW w:w="9016" w:type="dxa"/>
            <w:gridSpan w:val="5"/>
          </w:tcPr>
          <w:p w:rsidR="005D5162" w:rsidRPr="00910939" w:rsidRDefault="005D5162" w:rsidP="004B717D">
            <w:pPr>
              <w:keepNext/>
              <w:spacing w:before="120"/>
              <w:rPr>
                <w:rFonts w:asciiTheme="majorHAnsi" w:hAnsiTheme="majorHAnsi" w:cstheme="majorHAnsi"/>
                <w:color w:val="000000"/>
                <w:sz w:val="20"/>
                <w:szCs w:val="20"/>
              </w:rPr>
            </w:pPr>
            <w:r w:rsidRPr="00910939">
              <w:rPr>
                <w:rFonts w:asciiTheme="majorHAnsi" w:hAnsiTheme="majorHAnsi" w:cstheme="majorHAnsi"/>
              </w:rPr>
              <w:t>Pregnant women</w:t>
            </w:r>
          </w:p>
        </w:tc>
      </w:tr>
      <w:tr w:rsidR="005D5162" w:rsidRPr="00910939" w:rsidTr="004B717D">
        <w:tc>
          <w:tcPr>
            <w:tcW w:w="9016" w:type="dxa"/>
            <w:gridSpan w:val="5"/>
          </w:tcPr>
          <w:p w:rsidR="005D5162" w:rsidRPr="00910939" w:rsidRDefault="005D5162" w:rsidP="004B717D">
            <w:pPr>
              <w:keepNext/>
              <w:rPr>
                <w:rFonts w:asciiTheme="majorHAnsi" w:hAnsiTheme="majorHAnsi" w:cstheme="majorHAnsi"/>
                <w:color w:val="000000"/>
                <w:sz w:val="20"/>
                <w:szCs w:val="20"/>
              </w:rPr>
            </w:pPr>
            <w:r w:rsidRPr="00910939">
              <w:rPr>
                <w:rFonts w:asciiTheme="majorHAnsi" w:hAnsiTheme="majorHAnsi" w:cstheme="majorHAnsi"/>
                <w:b/>
                <w:bCs/>
                <w:sz w:val="20"/>
                <w:szCs w:val="20"/>
              </w:rPr>
              <w:t>Prioritising within existing rollout capacity</w:t>
            </w:r>
          </w:p>
        </w:tc>
      </w:tr>
      <w:tr w:rsidR="005D5162" w:rsidRPr="00910939" w:rsidTr="0068634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25% primary dose only</w:t>
            </w:r>
          </w:p>
        </w:tc>
        <w:tc>
          <w:tcPr>
            <w:tcW w:w="155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4 (0.0%)</w:t>
            </w:r>
          </w:p>
        </w:tc>
        <w:tc>
          <w:tcPr>
            <w:tcW w:w="1701"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(0.0%)</w:t>
            </w:r>
          </w:p>
        </w:tc>
        <w:tc>
          <w:tcPr>
            <w:tcW w:w="142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color w:val="000000"/>
                <w:sz w:val="20"/>
                <w:szCs w:val="20"/>
              </w:rPr>
            </w:pPr>
            <w:r w:rsidRPr="00910939">
              <w:rPr>
                <w:rFonts w:asciiTheme="majorHAnsi" w:hAnsiTheme="majorHAnsi" w:cstheme="majorHAnsi"/>
                <w:color w:val="000000"/>
                <w:sz w:val="20"/>
                <w:szCs w:val="20"/>
              </w:rPr>
              <w:t xml:space="preserve">      1 (0.0%)</w:t>
            </w:r>
          </w:p>
        </w:tc>
        <w:tc>
          <w:tcPr>
            <w:tcW w:w="1503"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7 (0.0%)</w:t>
            </w:r>
          </w:p>
        </w:tc>
      </w:tr>
      <w:tr w:rsidR="005D5162" w:rsidRPr="00910939" w:rsidTr="0068634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50% primary dose only</w:t>
            </w:r>
          </w:p>
        </w:tc>
        <w:tc>
          <w:tcPr>
            <w:tcW w:w="155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5 (0.0%)</w:t>
            </w:r>
          </w:p>
        </w:tc>
        <w:tc>
          <w:tcPr>
            <w:tcW w:w="1701"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(0.0%)</w:t>
            </w:r>
          </w:p>
        </w:tc>
        <w:tc>
          <w:tcPr>
            <w:tcW w:w="142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 (0.0%)</w:t>
            </w:r>
          </w:p>
        </w:tc>
        <w:tc>
          <w:tcPr>
            <w:tcW w:w="1503"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b/>
                <w:bCs/>
                <w:sz w:val="20"/>
                <w:szCs w:val="20"/>
              </w:rPr>
            </w:pPr>
            <w:r w:rsidRPr="00910939">
              <w:rPr>
                <w:rFonts w:asciiTheme="majorHAnsi" w:hAnsiTheme="majorHAnsi" w:cstheme="majorHAnsi"/>
                <w:color w:val="000000"/>
                <w:sz w:val="20"/>
                <w:szCs w:val="20"/>
              </w:rPr>
              <w:t xml:space="preserve">      8 (0.0%)</w:t>
            </w:r>
          </w:p>
        </w:tc>
      </w:tr>
      <w:tr w:rsidR="005D5162" w:rsidRPr="00910939" w:rsidTr="0068634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75% primary dose only</w:t>
            </w:r>
          </w:p>
        </w:tc>
        <w:tc>
          <w:tcPr>
            <w:tcW w:w="155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5 (0.0%)</w:t>
            </w:r>
          </w:p>
        </w:tc>
        <w:tc>
          <w:tcPr>
            <w:tcW w:w="1701"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(0.0%)</w:t>
            </w:r>
          </w:p>
        </w:tc>
        <w:tc>
          <w:tcPr>
            <w:tcW w:w="142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 (0.0%)</w:t>
            </w:r>
          </w:p>
        </w:tc>
        <w:tc>
          <w:tcPr>
            <w:tcW w:w="1503"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b/>
                <w:bCs/>
                <w:sz w:val="20"/>
                <w:szCs w:val="20"/>
              </w:rPr>
            </w:pPr>
            <w:r w:rsidRPr="00910939">
              <w:rPr>
                <w:rFonts w:asciiTheme="majorHAnsi" w:hAnsiTheme="majorHAnsi" w:cstheme="majorHAnsi"/>
                <w:color w:val="000000"/>
                <w:sz w:val="20"/>
                <w:szCs w:val="20"/>
              </w:rPr>
              <w:t xml:space="preserve">      9 (0.0%)</w:t>
            </w:r>
          </w:p>
        </w:tc>
      </w:tr>
      <w:tr w:rsidR="005D5162" w:rsidRPr="00910939" w:rsidTr="0068634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50% primary and booster provision</w:t>
            </w:r>
          </w:p>
        </w:tc>
        <w:tc>
          <w:tcPr>
            <w:tcW w:w="1552" w:type="dxa"/>
            <w:shd w:val="clear" w:color="auto" w:fill="C5E0B3" w:themeFill="accent6" w:themeFillTint="66"/>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-459 (-1.6%)</w:t>
            </w:r>
          </w:p>
        </w:tc>
        <w:tc>
          <w:tcPr>
            <w:tcW w:w="1701" w:type="dxa"/>
            <w:shd w:val="clear" w:color="auto" w:fill="C5E0B3" w:themeFill="accent6" w:themeFillTint="66"/>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-3,109 (-2.3%)</w:t>
            </w:r>
          </w:p>
        </w:tc>
        <w:tc>
          <w:tcPr>
            <w:tcW w:w="1422" w:type="dxa"/>
            <w:shd w:val="clear" w:color="auto" w:fill="F2F2F2" w:themeFill="background1" w:themeFillShade="F2"/>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 (0.0%)</w:t>
            </w:r>
          </w:p>
        </w:tc>
        <w:tc>
          <w:tcPr>
            <w:tcW w:w="1503"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-162 (-0.6%)</w:t>
            </w:r>
          </w:p>
        </w:tc>
      </w:tr>
      <w:tr w:rsidR="005D5162" w:rsidRPr="00910939" w:rsidTr="004B717D">
        <w:tc>
          <w:tcPr>
            <w:tcW w:w="9016" w:type="dxa"/>
            <w:gridSpan w:val="5"/>
          </w:tcPr>
          <w:p w:rsidR="005D5162" w:rsidRPr="00910939" w:rsidRDefault="005D5162" w:rsidP="004B717D">
            <w:pPr>
              <w:keepNext/>
              <w:spacing w:before="120"/>
              <w:rPr>
                <w:rFonts w:asciiTheme="majorHAnsi" w:hAnsiTheme="majorHAnsi" w:cstheme="majorHAnsi"/>
                <w:color w:val="000000"/>
                <w:sz w:val="20"/>
                <w:szCs w:val="20"/>
              </w:rPr>
            </w:pPr>
            <w:r w:rsidRPr="00910939">
              <w:rPr>
                <w:rFonts w:asciiTheme="majorHAnsi" w:hAnsiTheme="majorHAnsi" w:cstheme="majorHAnsi"/>
                <w:b/>
                <w:bCs/>
                <w:sz w:val="20"/>
                <w:szCs w:val="20"/>
              </w:rPr>
              <w:t>Additional rollout capacity (opportunistic vaccination during antenatal visits)</w:t>
            </w:r>
          </w:p>
        </w:tc>
      </w:tr>
      <w:tr w:rsidR="005D5162" w:rsidRPr="00910939" w:rsidTr="00D15B9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Additional primary doses</w:t>
            </w:r>
          </w:p>
        </w:tc>
        <w:tc>
          <w:tcPr>
            <w:tcW w:w="1552"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-25 (-0.1%)</w:t>
            </w:r>
          </w:p>
        </w:tc>
        <w:tc>
          <w:tcPr>
            <w:tcW w:w="1701"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-107 (-0.1%)</w:t>
            </w:r>
          </w:p>
        </w:tc>
        <w:tc>
          <w:tcPr>
            <w:tcW w:w="1422"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 (-0.1%)</w:t>
            </w:r>
          </w:p>
        </w:tc>
        <w:tc>
          <w:tcPr>
            <w:tcW w:w="1503"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-19 (-0.1%)</w:t>
            </w:r>
          </w:p>
        </w:tc>
      </w:tr>
      <w:tr w:rsidR="005D5162" w:rsidRPr="00910939" w:rsidTr="00D15B9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Additional primary and booster doses</w:t>
            </w:r>
          </w:p>
        </w:tc>
        <w:tc>
          <w:tcPr>
            <w:tcW w:w="1552" w:type="dxa"/>
            <w:shd w:val="clear" w:color="auto" w:fill="C5E0B3" w:themeFill="accent6" w:themeFillTint="66"/>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-575 (-2.1%)</w:t>
            </w:r>
          </w:p>
        </w:tc>
        <w:tc>
          <w:tcPr>
            <w:tcW w:w="1701" w:type="dxa"/>
            <w:shd w:val="clear" w:color="auto" w:fill="C5E0B3" w:themeFill="accent6" w:themeFillTint="66"/>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-3,477 (-2.6%)</w:t>
            </w:r>
          </w:p>
        </w:tc>
        <w:tc>
          <w:tcPr>
            <w:tcW w:w="1422"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(-0.5%)</w:t>
            </w:r>
          </w:p>
        </w:tc>
        <w:tc>
          <w:tcPr>
            <w:tcW w:w="1503" w:type="dxa"/>
            <w:shd w:val="clear" w:color="auto" w:fill="C5E0B3" w:themeFill="accent6" w:themeFillTint="66"/>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-271 (-1.0%)</w:t>
            </w:r>
          </w:p>
        </w:tc>
      </w:tr>
      <w:tr w:rsidR="005D5162" w:rsidRPr="00910939" w:rsidTr="00D15B9D">
        <w:tc>
          <w:tcPr>
            <w:tcW w:w="2838" w:type="dxa"/>
          </w:tcPr>
          <w:p w:rsidR="005D5162" w:rsidRPr="00910939" w:rsidRDefault="005D5162" w:rsidP="0068634D">
            <w:pPr>
              <w:keepNext/>
              <w:rPr>
                <w:rFonts w:asciiTheme="majorHAnsi" w:hAnsiTheme="majorHAnsi" w:cstheme="majorHAnsi"/>
                <w:sz w:val="20"/>
                <w:szCs w:val="20"/>
              </w:rPr>
            </w:pPr>
            <w:r w:rsidRPr="00910939">
              <w:rPr>
                <w:rFonts w:asciiTheme="majorHAnsi" w:hAnsiTheme="majorHAnsi" w:cstheme="majorHAnsi"/>
                <w:sz w:val="20"/>
                <w:szCs w:val="20"/>
              </w:rPr>
              <w:t>Expanding eligibility to high-risk children</w:t>
            </w:r>
          </w:p>
        </w:tc>
        <w:tc>
          <w:tcPr>
            <w:tcW w:w="1552"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-30 (-0.1%)</w:t>
            </w:r>
          </w:p>
        </w:tc>
        <w:tc>
          <w:tcPr>
            <w:tcW w:w="1701"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-361 (-0.3%)</w:t>
            </w:r>
          </w:p>
        </w:tc>
        <w:tc>
          <w:tcPr>
            <w:tcW w:w="1422"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-2 (-0.1%)</w:t>
            </w:r>
          </w:p>
        </w:tc>
        <w:tc>
          <w:tcPr>
            <w:tcW w:w="1503" w:type="dxa"/>
            <w:shd w:val="clear" w:color="auto" w:fill="E2EFD9" w:themeFill="accent6" w:themeFillTint="33"/>
            <w:vAlign w:val="bottom"/>
          </w:tcPr>
          <w:p w:rsidR="005D5162" w:rsidRPr="00910939" w:rsidRDefault="005D5162" w:rsidP="0068634D">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-39 (-0.1%)</w:t>
            </w:r>
          </w:p>
        </w:tc>
      </w:tr>
      <w:tr w:rsidR="005D5162" w:rsidRPr="00910939" w:rsidTr="004B717D">
        <w:tc>
          <w:tcPr>
            <w:tcW w:w="9016" w:type="dxa"/>
            <w:gridSpan w:val="5"/>
          </w:tcPr>
          <w:p w:rsidR="005D5162" w:rsidRPr="00910939" w:rsidRDefault="005D5162" w:rsidP="004B717D">
            <w:pPr>
              <w:keepNext/>
              <w:spacing w:before="120"/>
              <w:rPr>
                <w:rFonts w:asciiTheme="majorHAnsi" w:hAnsiTheme="majorHAnsi" w:cstheme="majorHAnsi"/>
                <w:sz w:val="20"/>
                <w:szCs w:val="20"/>
              </w:rPr>
            </w:pPr>
            <w:r w:rsidRPr="00910939">
              <w:rPr>
                <w:rFonts w:asciiTheme="majorHAnsi" w:hAnsiTheme="majorHAnsi" w:cstheme="majorHAnsi"/>
              </w:rPr>
              <w:t>Adults with comorbidities</w:t>
            </w:r>
          </w:p>
        </w:tc>
      </w:tr>
      <w:tr w:rsidR="005D5162" w:rsidRPr="00910939" w:rsidTr="004B717D">
        <w:tc>
          <w:tcPr>
            <w:tcW w:w="9016" w:type="dxa"/>
            <w:gridSpan w:val="5"/>
          </w:tcPr>
          <w:p w:rsidR="005D5162" w:rsidRPr="00910939" w:rsidRDefault="005D5162" w:rsidP="004B717D">
            <w:pPr>
              <w:keepNext/>
              <w:rPr>
                <w:rFonts w:asciiTheme="majorHAnsi" w:hAnsiTheme="majorHAnsi" w:cstheme="majorHAnsi"/>
                <w:sz w:val="20"/>
                <w:szCs w:val="20"/>
              </w:rPr>
            </w:pPr>
            <w:r w:rsidRPr="00910939">
              <w:rPr>
                <w:rFonts w:asciiTheme="majorHAnsi" w:hAnsiTheme="majorHAnsi" w:cstheme="majorHAnsi"/>
                <w:b/>
                <w:bCs/>
                <w:sz w:val="20"/>
                <w:szCs w:val="20"/>
              </w:rPr>
              <w:t>Prioritising within existing rollout capacity</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25% primary dose only</w:t>
            </w:r>
          </w:p>
        </w:tc>
        <w:tc>
          <w:tcPr>
            <w:tcW w:w="155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-53 (-0.2%)</w:t>
            </w:r>
          </w:p>
        </w:tc>
        <w:tc>
          <w:tcPr>
            <w:tcW w:w="1701"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-98 (-0.1%)</w:t>
            </w:r>
          </w:p>
        </w:tc>
        <w:tc>
          <w:tcPr>
            <w:tcW w:w="142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-6 (-0.3%)</w:t>
            </w:r>
          </w:p>
        </w:tc>
        <w:tc>
          <w:tcPr>
            <w:tcW w:w="1503"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-54 (-0.2%)</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50% primary dose only</w:t>
            </w:r>
          </w:p>
        </w:tc>
        <w:tc>
          <w:tcPr>
            <w:tcW w:w="155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-83 (-0.3%)</w:t>
            </w:r>
          </w:p>
        </w:tc>
        <w:tc>
          <w:tcPr>
            <w:tcW w:w="1701"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-149 (-0.1%)</w:t>
            </w:r>
          </w:p>
        </w:tc>
        <w:tc>
          <w:tcPr>
            <w:tcW w:w="142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-9 (-0.5%)</w:t>
            </w:r>
          </w:p>
        </w:tc>
        <w:tc>
          <w:tcPr>
            <w:tcW w:w="1503"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-84 (-0.3%)</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75% primary dose only</w:t>
            </w:r>
          </w:p>
        </w:tc>
        <w:tc>
          <w:tcPr>
            <w:tcW w:w="155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-92 (-0.3%)</w:t>
            </w:r>
          </w:p>
        </w:tc>
        <w:tc>
          <w:tcPr>
            <w:tcW w:w="1701"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-163 (-0.1%)</w:t>
            </w:r>
          </w:p>
        </w:tc>
        <w:tc>
          <w:tcPr>
            <w:tcW w:w="142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(-0.5%)</w:t>
            </w:r>
          </w:p>
        </w:tc>
        <w:tc>
          <w:tcPr>
            <w:tcW w:w="1503"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-94 (-0.3%)</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50% primary and booster provision</w:t>
            </w:r>
          </w:p>
        </w:tc>
        <w:tc>
          <w:tcPr>
            <w:tcW w:w="1552"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-6,262 (-22.4%)</w:t>
            </w:r>
          </w:p>
        </w:tc>
        <w:tc>
          <w:tcPr>
            <w:tcW w:w="1701" w:type="dxa"/>
            <w:shd w:val="clear" w:color="auto" w:fill="A8D08D" w:themeFill="accent6" w:themeFillTint="99"/>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-13,225 (-9.9%)</w:t>
            </w:r>
          </w:p>
        </w:tc>
        <w:tc>
          <w:tcPr>
            <w:tcW w:w="1422"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-634 (-32.1%)</w:t>
            </w:r>
          </w:p>
        </w:tc>
        <w:tc>
          <w:tcPr>
            <w:tcW w:w="1503"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-6,092 (-22.5%)</w:t>
            </w:r>
          </w:p>
        </w:tc>
      </w:tr>
      <w:tr w:rsidR="005D5162" w:rsidRPr="00910939" w:rsidTr="004B717D">
        <w:tc>
          <w:tcPr>
            <w:tcW w:w="9016" w:type="dxa"/>
            <w:gridSpan w:val="5"/>
          </w:tcPr>
          <w:p w:rsidR="005D5162" w:rsidRPr="00910939" w:rsidRDefault="005D5162" w:rsidP="004B717D">
            <w:pPr>
              <w:keepNext/>
              <w:spacing w:before="120"/>
              <w:rPr>
                <w:rFonts w:asciiTheme="majorHAnsi" w:hAnsiTheme="majorHAnsi" w:cstheme="majorHAnsi"/>
                <w:sz w:val="20"/>
                <w:szCs w:val="20"/>
              </w:rPr>
            </w:pPr>
            <w:r w:rsidRPr="00910939">
              <w:rPr>
                <w:rFonts w:asciiTheme="majorHAnsi" w:hAnsiTheme="majorHAnsi" w:cstheme="majorHAnsi"/>
                <w:b/>
                <w:bCs/>
                <w:sz w:val="20"/>
                <w:szCs w:val="20"/>
              </w:rPr>
              <w:t>Additional rollout capacity (opportunistic vaccination during regular care visits)</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Additional primary doses</w:t>
            </w:r>
          </w:p>
        </w:tc>
        <w:tc>
          <w:tcPr>
            <w:tcW w:w="155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-116 (-0.4%)</w:t>
            </w:r>
          </w:p>
        </w:tc>
        <w:tc>
          <w:tcPr>
            <w:tcW w:w="1701"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-322 (-0.2%)</w:t>
            </w:r>
          </w:p>
        </w:tc>
        <w:tc>
          <w:tcPr>
            <w:tcW w:w="1422"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 (-0.5%)</w:t>
            </w:r>
          </w:p>
        </w:tc>
        <w:tc>
          <w:tcPr>
            <w:tcW w:w="1503" w:type="dxa"/>
            <w:shd w:val="clear" w:color="auto" w:fill="E2EFD9" w:themeFill="accent6" w:themeFillTint="33"/>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-109 (-0.4%)</w:t>
            </w:r>
          </w:p>
        </w:tc>
      </w:tr>
      <w:tr w:rsidR="005D5162" w:rsidRPr="00910939" w:rsidTr="00D15B9D">
        <w:tc>
          <w:tcPr>
            <w:tcW w:w="2838" w:type="dxa"/>
          </w:tcPr>
          <w:p w:rsidR="005D5162" w:rsidRPr="00910939" w:rsidRDefault="005D5162" w:rsidP="006D27F1">
            <w:pPr>
              <w:keepNext/>
              <w:rPr>
                <w:rFonts w:asciiTheme="majorHAnsi" w:hAnsiTheme="majorHAnsi" w:cstheme="majorHAnsi"/>
                <w:sz w:val="20"/>
                <w:szCs w:val="20"/>
              </w:rPr>
            </w:pPr>
            <w:r w:rsidRPr="00910939">
              <w:rPr>
                <w:rFonts w:asciiTheme="majorHAnsi" w:hAnsiTheme="majorHAnsi" w:cstheme="majorHAnsi"/>
                <w:sz w:val="20"/>
                <w:szCs w:val="20"/>
              </w:rPr>
              <w:t>Additional primary and booster doses</w:t>
            </w:r>
          </w:p>
        </w:tc>
        <w:tc>
          <w:tcPr>
            <w:tcW w:w="1552"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-6,939 (-24.9%)</w:t>
            </w:r>
          </w:p>
        </w:tc>
        <w:tc>
          <w:tcPr>
            <w:tcW w:w="1701" w:type="dxa"/>
            <w:shd w:val="clear" w:color="auto" w:fill="A8D08D" w:themeFill="accent6" w:themeFillTint="99"/>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-15,311 (-11.5%)</w:t>
            </w:r>
          </w:p>
        </w:tc>
        <w:tc>
          <w:tcPr>
            <w:tcW w:w="1422"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 xml:space="preserve"> -686 (-34.7%)</w:t>
            </w:r>
          </w:p>
        </w:tc>
        <w:tc>
          <w:tcPr>
            <w:tcW w:w="1503" w:type="dxa"/>
            <w:shd w:val="clear" w:color="auto" w:fill="8FC26C"/>
            <w:vAlign w:val="bottom"/>
          </w:tcPr>
          <w:p w:rsidR="005D5162" w:rsidRPr="00910939" w:rsidRDefault="005D5162" w:rsidP="006D27F1">
            <w:pPr>
              <w:keepNext/>
              <w:jc w:val="right"/>
              <w:rPr>
                <w:rFonts w:asciiTheme="majorHAnsi" w:hAnsiTheme="majorHAnsi" w:cstheme="majorHAnsi"/>
                <w:sz w:val="20"/>
                <w:szCs w:val="20"/>
              </w:rPr>
            </w:pPr>
            <w:r w:rsidRPr="00910939">
              <w:rPr>
                <w:rFonts w:asciiTheme="majorHAnsi" w:hAnsiTheme="majorHAnsi" w:cstheme="majorHAnsi"/>
                <w:color w:val="000000"/>
                <w:sz w:val="20"/>
                <w:szCs w:val="20"/>
              </w:rPr>
              <w:t>-6,685 (-24.7%)</w:t>
            </w:r>
          </w:p>
        </w:tc>
      </w:tr>
    </w:tbl>
    <w:p w:rsidR="005D5162" w:rsidRPr="00954640" w:rsidRDefault="005D5162" w:rsidP="00D80BF6">
      <w:pPr>
        <w:jc w:val="both"/>
        <w:rPr>
          <w:rFonts w:ascii="Arial" w:hAnsi="Arial" w:cs="Arial"/>
          <w:sz w:val="20"/>
          <w:szCs w:val="20"/>
        </w:rPr>
      </w:pPr>
    </w:p>
    <w:p w:rsidR="005D5162" w:rsidRPr="00954640" w:rsidRDefault="005D5162" w:rsidP="00D80BF6">
      <w:pPr>
        <w:jc w:val="both"/>
        <w:rPr>
          <w:rFonts w:ascii="Arial" w:hAnsi="Arial" w:cs="Arial"/>
          <w:sz w:val="20"/>
          <w:szCs w:val="20"/>
        </w:rPr>
      </w:pPr>
    </w:p>
    <w:p w:rsidR="005D5162" w:rsidRPr="00954640" w:rsidRDefault="005D5162" w:rsidP="00D80BF6">
      <w:pPr>
        <w:jc w:val="both"/>
        <w:rPr>
          <w:rFonts w:ascii="Arial" w:hAnsi="Arial" w:cs="Arial"/>
          <w:sz w:val="20"/>
          <w:szCs w:val="20"/>
        </w:rPr>
      </w:pPr>
    </w:p>
    <w:p w:rsidR="005D5162" w:rsidRPr="00954640" w:rsidRDefault="005D5162" w:rsidP="00D80BF6">
      <w:pPr>
        <w:rPr>
          <w:rFonts w:ascii="Arial" w:hAnsi="Arial" w:cs="Arial"/>
          <w:sz w:val="20"/>
          <w:szCs w:val="20"/>
        </w:rPr>
      </w:pPr>
    </w:p>
    <w:p w:rsidR="005D5162" w:rsidRPr="00954640" w:rsidRDefault="005D5162" w:rsidP="00D80BF6">
      <w:pPr>
        <w:rPr>
          <w:rFonts w:ascii="Arial" w:hAnsi="Arial" w:cs="Arial"/>
          <w:sz w:val="20"/>
          <w:szCs w:val="20"/>
        </w:rPr>
      </w:pPr>
    </w:p>
    <w:p w:rsidR="005D5162" w:rsidRPr="00954640" w:rsidRDefault="005D5162" w:rsidP="0050348B">
      <w:pPr>
        <w:rPr>
          <w:rFonts w:ascii="Arial" w:hAnsi="Arial" w:cs="Arial"/>
        </w:rPr>
      </w:pPr>
    </w:p>
    <w:p w:rsidR="005D5162" w:rsidRPr="00954640" w:rsidRDefault="005D5162">
      <w:pPr>
        <w:rPr>
          <w:rFonts w:ascii="Arial" w:eastAsiaTheme="majorEastAsia" w:hAnsi="Arial" w:cs="Arial"/>
          <w:color w:val="2E74B5" w:themeColor="accent1" w:themeShade="BF"/>
          <w:sz w:val="32"/>
          <w:szCs w:val="32"/>
        </w:rPr>
      </w:pPr>
      <w:bookmarkStart w:id="39" w:name="_Toc95397111"/>
      <w:r w:rsidRPr="00954640">
        <w:rPr>
          <w:rFonts w:ascii="Arial" w:hAnsi="Arial" w:cs="Arial"/>
        </w:rPr>
        <w:br w:type="page"/>
      </w:r>
    </w:p>
    <w:p w:rsidR="005D5162" w:rsidRPr="00954640" w:rsidRDefault="005D5162" w:rsidP="00090588">
      <w:pPr>
        <w:pStyle w:val="Heading1"/>
        <w:rPr>
          <w:rFonts w:ascii="Arial" w:hAnsi="Arial" w:cs="Arial"/>
        </w:rPr>
        <w:sectPr w:rsidR="005D5162" w:rsidRPr="00954640" w:rsidSect="009B745F">
          <w:pgSz w:w="11906" w:h="16838"/>
          <w:pgMar w:top="1440" w:right="1440" w:bottom="1440" w:left="1440" w:header="708" w:footer="708" w:gutter="0"/>
          <w:cols w:space="708"/>
          <w:docGrid w:linePitch="360"/>
        </w:sectPr>
      </w:pPr>
    </w:p>
    <w:p w:rsidR="005D5162" w:rsidRPr="00954640" w:rsidRDefault="005D5162" w:rsidP="00090588">
      <w:pPr>
        <w:pStyle w:val="Heading1"/>
        <w:rPr>
          <w:rFonts w:ascii="Arial" w:hAnsi="Arial" w:cs="Arial"/>
          <w:b/>
          <w:color w:val="000000" w:themeColor="text1"/>
        </w:rPr>
      </w:pPr>
      <w:bookmarkStart w:id="40" w:name="_Toc117859605"/>
      <w:r w:rsidRPr="00954640">
        <w:rPr>
          <w:rFonts w:ascii="Arial" w:hAnsi="Arial" w:cs="Arial"/>
          <w:b/>
          <w:color w:val="000000" w:themeColor="text1"/>
        </w:rPr>
        <w:lastRenderedPageBreak/>
        <w:t>Reference List</w:t>
      </w:r>
      <w:bookmarkEnd w:id="9"/>
      <w:bookmarkEnd w:id="39"/>
      <w:bookmarkEnd w:id="40"/>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w:t>
      </w:r>
      <w:r w:rsidRPr="00F97855">
        <w:rPr>
          <w:rFonts w:ascii="Arial" w:hAnsi="Arial" w:cs="Arial"/>
        </w:rPr>
        <w:tab/>
        <w:t xml:space="preserve">Choi Y, Kim JS, Kim JE, Choi H, Lee CH: </w:t>
      </w:r>
      <w:r w:rsidRPr="00F97855">
        <w:rPr>
          <w:rFonts w:ascii="Arial" w:hAnsi="Arial" w:cs="Arial"/>
          <w:b/>
        </w:rPr>
        <w:t>Vaccination Prioritization Strategies for COVID-19 in Korea: A Mathematical Modeling Approach</w:t>
      </w:r>
      <w:r w:rsidRPr="00F97855">
        <w:rPr>
          <w:rFonts w:ascii="Arial" w:hAnsi="Arial" w:cs="Arial"/>
        </w:rPr>
        <w:t xml:space="preserve">. </w:t>
      </w:r>
      <w:r w:rsidRPr="00F97855">
        <w:rPr>
          <w:rFonts w:ascii="Arial" w:hAnsi="Arial" w:cs="Arial"/>
          <w:i/>
        </w:rPr>
        <w:t xml:space="preserve">Int J Environ Res Public Health </w:t>
      </w:r>
      <w:r w:rsidRPr="00F97855">
        <w:rPr>
          <w:rFonts w:ascii="Arial" w:hAnsi="Arial" w:cs="Arial"/>
        </w:rPr>
        <w:t xml:space="preserve">2021, </w:t>
      </w:r>
      <w:r w:rsidRPr="00F97855">
        <w:rPr>
          <w:rFonts w:ascii="Arial" w:hAnsi="Arial" w:cs="Arial"/>
          <w:b/>
        </w:rPr>
        <w:t>18</w:t>
      </w:r>
      <w:r w:rsidRPr="00F97855">
        <w:rPr>
          <w:rFonts w:ascii="Arial" w:hAnsi="Arial" w:cs="Arial"/>
        </w:rPr>
        <w:t>(8).</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w:t>
      </w:r>
      <w:r w:rsidRPr="00F97855">
        <w:rPr>
          <w:rFonts w:ascii="Arial" w:hAnsi="Arial" w:cs="Arial"/>
        </w:rPr>
        <w:tab/>
        <w:t xml:space="preserve">Gozzi N, Bajardi P, Perra N: </w:t>
      </w:r>
      <w:r w:rsidRPr="00F97855">
        <w:rPr>
          <w:rFonts w:ascii="Arial" w:hAnsi="Arial" w:cs="Arial"/>
          <w:b/>
        </w:rPr>
        <w:t>The importance of non-pharmaceutical interventions during the COVID-19 vaccine rollout</w:t>
      </w:r>
      <w:r w:rsidRPr="00F97855">
        <w:rPr>
          <w:rFonts w:ascii="Arial" w:hAnsi="Arial" w:cs="Arial"/>
        </w:rPr>
        <w:t xml:space="preserve">. </w:t>
      </w:r>
      <w:r w:rsidRPr="00F97855">
        <w:rPr>
          <w:rFonts w:ascii="Arial" w:hAnsi="Arial" w:cs="Arial"/>
          <w:i/>
        </w:rPr>
        <w:t xml:space="preserve">PLoS Comput Biol </w:t>
      </w:r>
      <w:r w:rsidRPr="00F97855">
        <w:rPr>
          <w:rFonts w:ascii="Arial" w:hAnsi="Arial" w:cs="Arial"/>
        </w:rPr>
        <w:t xml:space="preserve">2021, </w:t>
      </w:r>
      <w:r w:rsidRPr="00F97855">
        <w:rPr>
          <w:rFonts w:ascii="Arial" w:hAnsi="Arial" w:cs="Arial"/>
          <w:b/>
        </w:rPr>
        <w:t>17</w:t>
      </w:r>
      <w:r w:rsidRPr="00F97855">
        <w:rPr>
          <w:rFonts w:ascii="Arial" w:hAnsi="Arial" w:cs="Arial"/>
        </w:rPr>
        <w:t>(9):e1009346.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w:t>
      </w:r>
      <w:r w:rsidRPr="00F97855">
        <w:rPr>
          <w:rFonts w:ascii="Arial" w:hAnsi="Arial" w:cs="Arial"/>
        </w:rPr>
        <w:tab/>
        <w:t xml:space="preserve">Saldaña F, Velasco-Hernández JX: </w:t>
      </w:r>
      <w:r w:rsidRPr="00F97855">
        <w:rPr>
          <w:rFonts w:ascii="Arial" w:hAnsi="Arial" w:cs="Arial"/>
          <w:b/>
        </w:rPr>
        <w:t>Modeling the COVID-19 pandemic: a primer and overview of mathematical epidemiology</w:t>
      </w:r>
      <w:r w:rsidRPr="00F97855">
        <w:rPr>
          <w:rFonts w:ascii="Arial" w:hAnsi="Arial" w:cs="Arial"/>
        </w:rPr>
        <w:t xml:space="preserve">. </w:t>
      </w:r>
      <w:r w:rsidRPr="00F97855">
        <w:rPr>
          <w:rFonts w:ascii="Arial" w:hAnsi="Arial" w:cs="Arial"/>
          <w:i/>
        </w:rPr>
        <w:t xml:space="preserve">SeMA Journal </w:t>
      </w:r>
      <w:r w:rsidRPr="00F97855">
        <w:rPr>
          <w:rFonts w:ascii="Arial" w:hAnsi="Arial" w:cs="Arial"/>
        </w:rPr>
        <w:t xml:space="preserve">2021, </w:t>
      </w:r>
      <w:r w:rsidRPr="00F97855">
        <w:rPr>
          <w:rFonts w:ascii="Arial" w:hAnsi="Arial" w:cs="Arial"/>
          <w:b/>
        </w:rPr>
        <w:t>79</w:t>
      </w:r>
      <w:r w:rsidRPr="00F97855">
        <w:rPr>
          <w:rFonts w:ascii="Arial" w:hAnsi="Arial" w:cs="Arial"/>
        </w:rPr>
        <w:t>(2):225-251.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w:t>
      </w:r>
      <w:r w:rsidRPr="00F97855">
        <w:rPr>
          <w:rFonts w:ascii="Arial" w:hAnsi="Arial" w:cs="Arial"/>
        </w:rPr>
        <w:tab/>
        <w:t xml:space="preserve">Davies NG, Klepac P, Liu Y, Prem K, Jit M, group CC-w, Eggo RM: </w:t>
      </w:r>
      <w:r w:rsidRPr="00F97855">
        <w:rPr>
          <w:rFonts w:ascii="Arial" w:hAnsi="Arial" w:cs="Arial"/>
          <w:b/>
        </w:rPr>
        <w:t>Age-dependent effects in the transmission and control of COVID-19 epidemics</w:t>
      </w:r>
      <w:r w:rsidRPr="00F97855">
        <w:rPr>
          <w:rFonts w:ascii="Arial" w:hAnsi="Arial" w:cs="Arial"/>
        </w:rPr>
        <w:t xml:space="preserve">. </w:t>
      </w:r>
      <w:r w:rsidRPr="00F97855">
        <w:rPr>
          <w:rFonts w:ascii="Arial" w:hAnsi="Arial" w:cs="Arial"/>
          <w:i/>
        </w:rPr>
        <w:t xml:space="preserve">Nat Med </w:t>
      </w:r>
      <w:r w:rsidRPr="00F97855">
        <w:rPr>
          <w:rFonts w:ascii="Arial" w:hAnsi="Arial" w:cs="Arial"/>
        </w:rPr>
        <w:t xml:space="preserve">2020, </w:t>
      </w:r>
      <w:r w:rsidRPr="00F97855">
        <w:rPr>
          <w:rFonts w:ascii="Arial" w:hAnsi="Arial" w:cs="Arial"/>
          <w:b/>
        </w:rPr>
        <w:t>26</w:t>
      </w:r>
      <w:r w:rsidRPr="00F97855">
        <w:rPr>
          <w:rFonts w:ascii="Arial" w:hAnsi="Arial" w:cs="Arial"/>
        </w:rPr>
        <w:t>(8):1205-1211.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w:t>
      </w:r>
      <w:r w:rsidRPr="00F97855">
        <w:rPr>
          <w:rFonts w:ascii="Arial" w:hAnsi="Arial" w:cs="Arial"/>
        </w:rPr>
        <w:tab/>
        <w:t xml:space="preserve">Prem K, Zandvoort KV, Klepac P, Eggo RM, Davies NG, Centre for the Mathematical Modelling of Infectious Diseases C-WG, Cook AR, Jit M: </w:t>
      </w:r>
      <w:r w:rsidRPr="00F97855">
        <w:rPr>
          <w:rFonts w:ascii="Arial" w:hAnsi="Arial" w:cs="Arial"/>
          <w:b/>
        </w:rPr>
        <w:t>Projecting contact matrices in 177 geographical regions: An update and comparison with empirical data for the COVID-19 era</w:t>
      </w:r>
      <w:r w:rsidRPr="00F97855">
        <w:rPr>
          <w:rFonts w:ascii="Arial" w:hAnsi="Arial" w:cs="Arial"/>
        </w:rPr>
        <w:t xml:space="preserve">. </w:t>
      </w:r>
      <w:r w:rsidRPr="00F97855">
        <w:rPr>
          <w:rFonts w:ascii="Arial" w:hAnsi="Arial" w:cs="Arial"/>
          <w:i/>
        </w:rPr>
        <w:t xml:space="preserve">PLoS Comput Biol </w:t>
      </w:r>
      <w:r w:rsidRPr="00F97855">
        <w:rPr>
          <w:rFonts w:ascii="Arial" w:hAnsi="Arial" w:cs="Arial"/>
        </w:rPr>
        <w:t xml:space="preserve">2021, </w:t>
      </w:r>
      <w:r w:rsidRPr="00F97855">
        <w:rPr>
          <w:rFonts w:ascii="Arial" w:hAnsi="Arial" w:cs="Arial"/>
          <w:b/>
        </w:rPr>
        <w:t>17</w:t>
      </w:r>
      <w:r w:rsidRPr="00F97855">
        <w:rPr>
          <w:rFonts w:ascii="Arial" w:hAnsi="Arial" w:cs="Arial"/>
        </w:rPr>
        <w:t>(7):e1009098.</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w:t>
      </w:r>
      <w:r w:rsidRPr="00F97855">
        <w:rPr>
          <w:rFonts w:ascii="Arial" w:hAnsi="Arial" w:cs="Arial"/>
        </w:rPr>
        <w:tab/>
        <w:t xml:space="preserve">International Vaccine Access Center, World Health Organisation: </w:t>
      </w:r>
      <w:r w:rsidRPr="00F97855">
        <w:rPr>
          <w:rFonts w:ascii="Arial" w:hAnsi="Arial" w:cs="Arial"/>
          <w:b/>
        </w:rPr>
        <w:t>Results of COVID-19 Vaccine Effectiveness Studies: An Ongoing Systematic Review</w:t>
      </w:r>
      <w:r w:rsidRPr="00F97855">
        <w:rPr>
          <w:rFonts w:ascii="Arial" w:hAnsi="Arial" w:cs="Arial"/>
        </w:rPr>
        <w:t>. In</w:t>
      </w:r>
      <w:r w:rsidRPr="00F97855">
        <w:rPr>
          <w:rFonts w:ascii="Arial" w:hAnsi="Arial" w:cs="Arial"/>
          <w:i/>
        </w:rPr>
        <w:t>.</w:t>
      </w:r>
      <w:r w:rsidRPr="00F97855">
        <w:rPr>
          <w:rFonts w:ascii="Arial" w:hAnsi="Arial" w:cs="Arial"/>
        </w:rPr>
        <w:t>; 2022.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7.</w:t>
      </w:r>
      <w:r w:rsidRPr="00F97855">
        <w:rPr>
          <w:rFonts w:ascii="Arial" w:hAnsi="Arial" w:cs="Arial"/>
        </w:rPr>
        <w:tab/>
        <w:t>Kirsebom FCM, Andrews N, Stowe J, Toffa S, Sachdeva R, Gallagher E, Groves N, O'Connell AM, Chand M, Ramsay M</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COVID-19 vaccine effectiveness against the omicron (BA.2) variant in England</w:t>
      </w:r>
      <w:r w:rsidRPr="00F97855">
        <w:rPr>
          <w:rFonts w:ascii="Arial" w:hAnsi="Arial" w:cs="Arial"/>
        </w:rPr>
        <w:t xml:space="preserve">. </w:t>
      </w:r>
      <w:r w:rsidRPr="00F97855">
        <w:rPr>
          <w:rFonts w:ascii="Arial" w:hAnsi="Arial" w:cs="Arial"/>
          <w:i/>
        </w:rPr>
        <w:t xml:space="preserve">Lancet Infect Dis </w:t>
      </w:r>
      <w:r w:rsidRPr="00F97855">
        <w:rPr>
          <w:rFonts w:ascii="Arial" w:hAnsi="Arial" w:cs="Arial"/>
        </w:rPr>
        <w:t xml:space="preserve">2022, </w:t>
      </w:r>
      <w:r w:rsidRPr="00F97855">
        <w:rPr>
          <w:rFonts w:ascii="Arial" w:hAnsi="Arial" w:cs="Arial"/>
          <w:b/>
        </w:rPr>
        <w:t>22</w:t>
      </w:r>
      <w:r w:rsidRPr="00F97855">
        <w:rPr>
          <w:rFonts w:ascii="Arial" w:hAnsi="Arial" w:cs="Arial"/>
        </w:rPr>
        <w:t>(7):931-933.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8.</w:t>
      </w:r>
      <w:r w:rsidRPr="00F97855">
        <w:rPr>
          <w:rFonts w:ascii="Arial" w:hAnsi="Arial" w:cs="Arial"/>
        </w:rPr>
        <w:tab/>
        <w:t>Altarawneh HN, Chemaitelly H, Ayoub HH, Tang P, Hasan MR, Yassine HM, Al-Khatib HA, Smatti MK, Coyle P, Al-Kanaani Z</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Effects of Previous Infection and Vaccination on Symptomatic Omicron Infections</w:t>
      </w:r>
      <w:r w:rsidRPr="00F97855">
        <w:rPr>
          <w:rFonts w:ascii="Arial" w:hAnsi="Arial" w:cs="Arial"/>
        </w:rPr>
        <w:t xml:space="preserve">. </w:t>
      </w:r>
      <w:r w:rsidRPr="00F97855">
        <w:rPr>
          <w:rFonts w:ascii="Arial" w:hAnsi="Arial" w:cs="Arial"/>
          <w:i/>
        </w:rPr>
        <w:t xml:space="preserve">New England Journal of Medicine </w:t>
      </w:r>
      <w:r w:rsidRPr="00F97855">
        <w:rPr>
          <w:rFonts w:ascii="Arial" w:hAnsi="Arial" w:cs="Arial"/>
        </w:rPr>
        <w:t xml:space="preserve">2022, </w:t>
      </w:r>
      <w:r w:rsidRPr="00F97855">
        <w:rPr>
          <w:rFonts w:ascii="Arial" w:hAnsi="Arial" w:cs="Arial"/>
          <w:b/>
        </w:rPr>
        <w:t>387</w:t>
      </w:r>
      <w:r w:rsidRPr="00F97855">
        <w:rPr>
          <w:rFonts w:ascii="Arial" w:hAnsi="Arial" w:cs="Arial"/>
        </w:rPr>
        <w:t>(1):21-34.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9.</w:t>
      </w:r>
      <w:r w:rsidRPr="00F97855">
        <w:rPr>
          <w:rFonts w:ascii="Arial" w:hAnsi="Arial" w:cs="Arial"/>
        </w:rPr>
        <w:tab/>
        <w:t>Bekker LG, Garrett N, Goga A, Fairall L, Reddy T, Yende-Zuma N, Kassanjee R, Collie S, Sanne I, Boulle A</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the Ad26.COV2.S vaccine in health-care workers in South Africa (the Sisonke study): results from a single-arm, open-label, phase 3B, implementation study</w:t>
      </w:r>
      <w:r w:rsidRPr="00F97855">
        <w:rPr>
          <w:rFonts w:ascii="Arial" w:hAnsi="Arial" w:cs="Arial"/>
        </w:rPr>
        <w:t xml:space="preserve">. </w:t>
      </w:r>
      <w:r w:rsidRPr="00F97855">
        <w:rPr>
          <w:rFonts w:ascii="Arial" w:hAnsi="Arial" w:cs="Arial"/>
          <w:i/>
        </w:rPr>
        <w:t xml:space="preserve">Lancet </w:t>
      </w:r>
      <w:r w:rsidRPr="00F97855">
        <w:rPr>
          <w:rFonts w:ascii="Arial" w:hAnsi="Arial" w:cs="Arial"/>
        </w:rPr>
        <w:t xml:space="preserve">2022, </w:t>
      </w:r>
      <w:r w:rsidRPr="00F97855">
        <w:rPr>
          <w:rFonts w:ascii="Arial" w:hAnsi="Arial" w:cs="Arial"/>
          <w:b/>
        </w:rPr>
        <w:t>399</w:t>
      </w:r>
      <w:r w:rsidRPr="00F97855">
        <w:rPr>
          <w:rFonts w:ascii="Arial" w:hAnsi="Arial" w:cs="Arial"/>
        </w:rPr>
        <w:t>(10330):1141-1153.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10.</w:t>
      </w:r>
      <w:r w:rsidRPr="00F97855">
        <w:rPr>
          <w:rFonts w:ascii="Arial" w:hAnsi="Arial" w:cs="Arial"/>
        </w:rPr>
        <w:tab/>
        <w:t>Andrews N, Tessier E, Stowe J, Gower C, Kirsebom F, Simmons R, Gallagher E, Thelwall S, Groves N, Dabrera G</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Duration of Protection against Mild and Severe Disease by Covid-19 Vaccines</w:t>
      </w:r>
      <w:r w:rsidRPr="00F97855">
        <w:rPr>
          <w:rFonts w:ascii="Arial" w:hAnsi="Arial" w:cs="Arial"/>
        </w:rPr>
        <w:t xml:space="preserve">. </w:t>
      </w:r>
      <w:r w:rsidRPr="00F97855">
        <w:rPr>
          <w:rFonts w:ascii="Arial" w:hAnsi="Arial" w:cs="Arial"/>
          <w:i/>
        </w:rPr>
        <w:t xml:space="preserve">N Engl J Med </w:t>
      </w:r>
      <w:r w:rsidRPr="00F97855">
        <w:rPr>
          <w:rFonts w:ascii="Arial" w:hAnsi="Arial" w:cs="Arial"/>
        </w:rPr>
        <w:t xml:space="preserve">2022, </w:t>
      </w:r>
      <w:r w:rsidRPr="00F97855">
        <w:rPr>
          <w:rFonts w:ascii="Arial" w:hAnsi="Arial" w:cs="Arial"/>
          <w:b/>
        </w:rPr>
        <w:t>386</w:t>
      </w:r>
      <w:r w:rsidRPr="00F97855">
        <w:rPr>
          <w:rFonts w:ascii="Arial" w:hAnsi="Arial" w:cs="Arial"/>
        </w:rPr>
        <w:t>(4):340-350.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11.</w:t>
      </w:r>
      <w:r w:rsidRPr="00F97855">
        <w:rPr>
          <w:rFonts w:ascii="Arial" w:hAnsi="Arial" w:cs="Arial"/>
        </w:rPr>
        <w:tab/>
        <w:t>Bruxvoort KJ, Sy LS, Qian L, Ackerson BK, Luo Y, Lee GS, Tian Y, Florea A, Aragones M, Tubert JE</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mRNA-1273 against delta, mu, and other emerging variants of SARS-CoV-2: test negative case-control study</w:t>
      </w:r>
      <w:r w:rsidRPr="00F97855">
        <w:rPr>
          <w:rFonts w:ascii="Arial" w:hAnsi="Arial" w:cs="Arial"/>
        </w:rPr>
        <w:t xml:space="preserve">. </w:t>
      </w:r>
      <w:r w:rsidRPr="00F97855">
        <w:rPr>
          <w:rFonts w:ascii="Arial" w:hAnsi="Arial" w:cs="Arial"/>
          <w:i/>
        </w:rPr>
        <w:t xml:space="preserve">BMJ </w:t>
      </w:r>
      <w:r w:rsidRPr="00F97855">
        <w:rPr>
          <w:rFonts w:ascii="Arial" w:hAnsi="Arial" w:cs="Arial"/>
        </w:rPr>
        <w:t xml:space="preserve">2021, </w:t>
      </w:r>
      <w:r w:rsidRPr="00F97855">
        <w:rPr>
          <w:rFonts w:ascii="Arial" w:hAnsi="Arial" w:cs="Arial"/>
          <w:b/>
        </w:rPr>
        <w:t>375</w:t>
      </w:r>
      <w:r w:rsidRPr="00F97855">
        <w:rPr>
          <w:rFonts w:ascii="Arial" w:hAnsi="Arial" w:cs="Arial"/>
        </w:rPr>
        <w:t>:e068848.</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12.</w:t>
      </w:r>
      <w:r w:rsidRPr="00F97855">
        <w:rPr>
          <w:rFonts w:ascii="Arial" w:hAnsi="Arial" w:cs="Arial"/>
        </w:rPr>
        <w:tab/>
        <w:t>Suah JL, Husin M, Tok PSK, Tng BH, Thevananthan T, Low EV, Appannan MR, Muhamad Zin F, Mohd Zin S, Yahaya H</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Waning COVID-19 Vaccine Effectiveness for BNT162b2 and CoronaVac in Malaysia: An Observational Study</w:t>
      </w:r>
      <w:r w:rsidRPr="00F97855">
        <w:rPr>
          <w:rFonts w:ascii="Arial" w:hAnsi="Arial" w:cs="Arial"/>
        </w:rPr>
        <w:t xml:space="preserve">. </w:t>
      </w:r>
      <w:r w:rsidRPr="00F97855">
        <w:rPr>
          <w:rFonts w:ascii="Arial" w:hAnsi="Arial" w:cs="Arial"/>
          <w:i/>
        </w:rPr>
        <w:t xml:space="preserve">Int J Infect Dis </w:t>
      </w:r>
      <w:r w:rsidRPr="00F97855">
        <w:rPr>
          <w:rFonts w:ascii="Arial" w:hAnsi="Arial" w:cs="Arial"/>
        </w:rPr>
        <w:t xml:space="preserve">2022, </w:t>
      </w:r>
      <w:r w:rsidRPr="00F97855">
        <w:rPr>
          <w:rFonts w:ascii="Arial" w:hAnsi="Arial" w:cs="Arial"/>
          <w:b/>
        </w:rPr>
        <w:t>119</w:t>
      </w:r>
      <w:r w:rsidRPr="00F97855">
        <w:rPr>
          <w:rFonts w:ascii="Arial" w:hAnsi="Arial" w:cs="Arial"/>
        </w:rPr>
        <w:t>:69-76.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13.</w:t>
      </w:r>
      <w:r w:rsidRPr="00F97855">
        <w:rPr>
          <w:rFonts w:ascii="Arial" w:hAnsi="Arial" w:cs="Arial"/>
        </w:rPr>
        <w:tab/>
        <w:t>Rearte A, Castelli JM, Rearte R, Fuentes N, Pennini V, Pesce M, Barbeira PB, Iummato LE, Laurora M, Bartolomeu ML</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rAd26-rAd5, ChAdOx1 nCoV-19, and BBIBP-CorV vaccines for risk of infection with SARS-CoV-2 and death due to COVID-19 in people older than 60 years in Argentina: a test-negative, case-control, and retrospective longitudinal study</w:t>
      </w:r>
      <w:r w:rsidRPr="00F97855">
        <w:rPr>
          <w:rFonts w:ascii="Arial" w:hAnsi="Arial" w:cs="Arial"/>
        </w:rPr>
        <w:t xml:space="preserve">. </w:t>
      </w:r>
      <w:r w:rsidRPr="00F97855">
        <w:rPr>
          <w:rFonts w:ascii="Arial" w:hAnsi="Arial" w:cs="Arial"/>
          <w:i/>
        </w:rPr>
        <w:t xml:space="preserve">The Lancet </w:t>
      </w:r>
      <w:r w:rsidRPr="00F97855">
        <w:rPr>
          <w:rFonts w:ascii="Arial" w:hAnsi="Arial" w:cs="Arial"/>
        </w:rPr>
        <w:t xml:space="preserve">2022, </w:t>
      </w:r>
      <w:r w:rsidRPr="00F97855">
        <w:rPr>
          <w:rFonts w:ascii="Arial" w:hAnsi="Arial" w:cs="Arial"/>
          <w:b/>
        </w:rPr>
        <w:t>399</w:t>
      </w:r>
      <w:r w:rsidRPr="00F97855">
        <w:rPr>
          <w:rFonts w:ascii="Arial" w:hAnsi="Arial" w:cs="Arial"/>
        </w:rPr>
        <w:t>(10331):1254-1264.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14.</w:t>
      </w:r>
      <w:r w:rsidRPr="00F97855">
        <w:rPr>
          <w:rFonts w:ascii="Arial" w:hAnsi="Arial" w:cs="Arial"/>
        </w:rPr>
        <w:tab/>
        <w:t xml:space="preserve">Belayachi J, Obtel M, Razine R, Abouqal R: </w:t>
      </w:r>
      <w:r w:rsidRPr="00F97855">
        <w:rPr>
          <w:rFonts w:ascii="Arial" w:hAnsi="Arial" w:cs="Arial"/>
          <w:b/>
        </w:rPr>
        <w:t>Long term effectiveness of inactivated vaccine BBIBP-CorV (Vero Cells) against COVID-19 associated severe and critical hospitalization in Morocco</w:t>
      </w:r>
      <w:r w:rsidRPr="00F97855">
        <w:rPr>
          <w:rFonts w:ascii="Arial" w:hAnsi="Arial" w:cs="Arial"/>
        </w:rPr>
        <w:t xml:space="preserve">. </w:t>
      </w:r>
      <w:r w:rsidRPr="00F97855">
        <w:rPr>
          <w:rFonts w:ascii="Arial" w:hAnsi="Arial" w:cs="Arial"/>
          <w:i/>
        </w:rPr>
        <w:t xml:space="preserve">medRxiv </w:t>
      </w:r>
      <w:r w:rsidRPr="00F97855">
        <w:rPr>
          <w:rFonts w:ascii="Arial" w:hAnsi="Arial" w:cs="Arial"/>
        </w:rPr>
        <w:t>2022:2022.2001.2025.22269822.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15.</w:t>
      </w:r>
      <w:r w:rsidRPr="00F97855">
        <w:rPr>
          <w:rFonts w:ascii="Arial" w:hAnsi="Arial" w:cs="Arial"/>
        </w:rPr>
        <w:tab/>
        <w:t>Voko Z, Kiss Z, Surjan G, Surjan O, Barcza Z, Wittmann I, Molnar GA, Nagy D, Muller V, Bogos K</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 xml:space="preserve">Effectiveness and Waning of Protection With Different </w:t>
      </w:r>
      <w:r w:rsidRPr="00F97855">
        <w:rPr>
          <w:rFonts w:ascii="Arial" w:hAnsi="Arial" w:cs="Arial"/>
          <w:b/>
        </w:rPr>
        <w:lastRenderedPageBreak/>
        <w:t>SARS-CoV-2 Primary and Booster Vaccines During the Delta Pandemic Wave in 2021 in Hungary (HUN-VE 3 Study)</w:t>
      </w:r>
      <w:r w:rsidRPr="00F97855">
        <w:rPr>
          <w:rFonts w:ascii="Arial" w:hAnsi="Arial" w:cs="Arial"/>
        </w:rPr>
        <w:t xml:space="preserve">. </w:t>
      </w:r>
      <w:r w:rsidRPr="00F97855">
        <w:rPr>
          <w:rFonts w:ascii="Arial" w:hAnsi="Arial" w:cs="Arial"/>
          <w:i/>
        </w:rPr>
        <w:t xml:space="preserve">Front Immunol </w:t>
      </w:r>
      <w:r w:rsidRPr="00F97855">
        <w:rPr>
          <w:rFonts w:ascii="Arial" w:hAnsi="Arial" w:cs="Arial"/>
        </w:rPr>
        <w:t xml:space="preserve">2022, </w:t>
      </w:r>
      <w:r w:rsidRPr="00F97855">
        <w:rPr>
          <w:rFonts w:ascii="Arial" w:hAnsi="Arial" w:cs="Arial"/>
          <w:b/>
        </w:rPr>
        <w:t>13</w:t>
      </w:r>
      <w:r w:rsidRPr="00F97855">
        <w:rPr>
          <w:rFonts w:ascii="Arial" w:hAnsi="Arial" w:cs="Arial"/>
        </w:rPr>
        <w:t>:919408.</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16.</w:t>
      </w:r>
      <w:r w:rsidRPr="00F97855">
        <w:rPr>
          <w:rFonts w:ascii="Arial" w:hAnsi="Arial" w:cs="Arial"/>
        </w:rPr>
        <w:tab/>
        <w:t xml:space="preserve">Polinski J, Weckstein A, Batech M, Kabelac C, Kamath T, Harvey R, Jain S, Rassen J, Khan N, Schneeweiss S: </w:t>
      </w:r>
      <w:r w:rsidRPr="00F97855">
        <w:rPr>
          <w:rFonts w:ascii="Arial" w:hAnsi="Arial" w:cs="Arial"/>
          <w:b/>
        </w:rPr>
        <w:t>Durability of the Single-Dose Ad26.COV2.S Vaccine in the Prevention of COVID-19 Infections and Hospitalizations in the US Before and During the Delta Variant Surge</w:t>
      </w:r>
      <w:r w:rsidRPr="00F97855">
        <w:rPr>
          <w:rFonts w:ascii="Arial" w:hAnsi="Arial" w:cs="Arial"/>
        </w:rPr>
        <w:t xml:space="preserve">. </w:t>
      </w:r>
      <w:r w:rsidRPr="00F97855">
        <w:rPr>
          <w:rFonts w:ascii="Arial" w:hAnsi="Arial" w:cs="Arial"/>
          <w:i/>
        </w:rPr>
        <w:t xml:space="preserve">JAMA Network Open </w:t>
      </w:r>
      <w:r w:rsidRPr="00F97855">
        <w:rPr>
          <w:rFonts w:ascii="Arial" w:hAnsi="Arial" w:cs="Arial"/>
        </w:rPr>
        <w:t xml:space="preserve">2022, </w:t>
      </w:r>
      <w:r w:rsidRPr="00F97855">
        <w:rPr>
          <w:rFonts w:ascii="Arial" w:hAnsi="Arial" w:cs="Arial"/>
          <w:b/>
        </w:rPr>
        <w:t>5</w:t>
      </w:r>
      <w:r w:rsidRPr="00F97855">
        <w:rPr>
          <w:rFonts w:ascii="Arial" w:hAnsi="Arial" w:cs="Arial"/>
        </w:rPr>
        <w:t>:222959.</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17.</w:t>
      </w:r>
      <w:r w:rsidRPr="00F97855">
        <w:rPr>
          <w:rFonts w:ascii="Arial" w:hAnsi="Arial" w:cs="Arial"/>
        </w:rPr>
        <w:tab/>
        <w:t>Nasreen S, Chung H, He S, Brown KA, Gubbay JB, Buchan SA, Fell DB, Austin PC, Schwartz KL, Sundaram ME</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COVID-19 vaccines against symptomatic SARS-CoV-2 infection and severe outcomes with variants of concern in Ontario</w:t>
      </w:r>
      <w:r w:rsidRPr="00F97855">
        <w:rPr>
          <w:rFonts w:ascii="Arial" w:hAnsi="Arial" w:cs="Arial"/>
        </w:rPr>
        <w:t xml:space="preserve">. </w:t>
      </w:r>
      <w:r w:rsidRPr="00F97855">
        <w:rPr>
          <w:rFonts w:ascii="Arial" w:hAnsi="Arial" w:cs="Arial"/>
          <w:i/>
        </w:rPr>
        <w:t xml:space="preserve">Nature Microbiology </w:t>
      </w:r>
      <w:r w:rsidRPr="00F97855">
        <w:rPr>
          <w:rFonts w:ascii="Arial" w:hAnsi="Arial" w:cs="Arial"/>
        </w:rPr>
        <w:t xml:space="preserve">2022, </w:t>
      </w:r>
      <w:r w:rsidRPr="00F97855">
        <w:rPr>
          <w:rFonts w:ascii="Arial" w:hAnsi="Arial" w:cs="Arial"/>
          <w:b/>
        </w:rPr>
        <w:t>7</w:t>
      </w:r>
      <w:r w:rsidRPr="00F97855">
        <w:rPr>
          <w:rFonts w:ascii="Arial" w:hAnsi="Arial" w:cs="Arial"/>
        </w:rPr>
        <w:t>(3):379-385.</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18.</w:t>
      </w:r>
      <w:r w:rsidRPr="00F97855">
        <w:rPr>
          <w:rFonts w:ascii="Arial" w:hAnsi="Arial" w:cs="Arial"/>
        </w:rPr>
        <w:tab/>
        <w:t>Florea A, Sy LS, Luo Y, Qian L, Bruxvoort KJ, Ackerson BK, Lee GS, Ku JH, Tubert JE, Tian Y</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Durability of mRNA-1273 against COVID-19 in the time of Delta: Interim results from an observational cohort study</w:t>
      </w:r>
      <w:r w:rsidRPr="00F97855">
        <w:rPr>
          <w:rFonts w:ascii="Arial" w:hAnsi="Arial" w:cs="Arial"/>
        </w:rPr>
        <w:t xml:space="preserve">. </w:t>
      </w:r>
      <w:r w:rsidRPr="00F97855">
        <w:rPr>
          <w:rFonts w:ascii="Arial" w:hAnsi="Arial" w:cs="Arial"/>
          <w:i/>
        </w:rPr>
        <w:t xml:space="preserve">PLOS ONE </w:t>
      </w:r>
      <w:r w:rsidRPr="00F97855">
        <w:rPr>
          <w:rFonts w:ascii="Arial" w:hAnsi="Arial" w:cs="Arial"/>
        </w:rPr>
        <w:t xml:space="preserve">2022, </w:t>
      </w:r>
      <w:r w:rsidRPr="00F97855">
        <w:rPr>
          <w:rFonts w:ascii="Arial" w:hAnsi="Arial" w:cs="Arial"/>
          <w:b/>
        </w:rPr>
        <w:t>17</w:t>
      </w:r>
      <w:r w:rsidRPr="00F97855">
        <w:rPr>
          <w:rFonts w:ascii="Arial" w:hAnsi="Arial" w:cs="Arial"/>
        </w:rPr>
        <w:t>(4):e0267824.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19.</w:t>
      </w:r>
      <w:r w:rsidRPr="00F97855">
        <w:rPr>
          <w:rFonts w:ascii="Arial" w:hAnsi="Arial" w:cs="Arial"/>
        </w:rPr>
        <w:tab/>
        <w:t>Pouwels KB, Pritchard E, Matthews PC, Stoesser N, Eyre DW, Vihta K-D, House T, Hay J, Bell JI, Newton JN</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 of Delta variant on viral burden and vaccine effectiveness against new SARS-CoV-2 infections in the UK</w:t>
      </w:r>
      <w:r w:rsidRPr="00F97855">
        <w:rPr>
          <w:rFonts w:ascii="Arial" w:hAnsi="Arial" w:cs="Arial"/>
        </w:rPr>
        <w:t xml:space="preserve">. </w:t>
      </w:r>
      <w:r w:rsidRPr="00F97855">
        <w:rPr>
          <w:rFonts w:ascii="Arial" w:hAnsi="Arial" w:cs="Arial"/>
          <w:i/>
        </w:rPr>
        <w:t xml:space="preserve">Nature Medicine </w:t>
      </w:r>
      <w:r w:rsidRPr="00F97855">
        <w:rPr>
          <w:rFonts w:ascii="Arial" w:hAnsi="Arial" w:cs="Arial"/>
        </w:rPr>
        <w:t xml:space="preserve">2021, </w:t>
      </w:r>
      <w:r w:rsidRPr="00F97855">
        <w:rPr>
          <w:rFonts w:ascii="Arial" w:hAnsi="Arial" w:cs="Arial"/>
          <w:b/>
        </w:rPr>
        <w:t>27</w:t>
      </w:r>
      <w:r w:rsidRPr="00F97855">
        <w:rPr>
          <w:rFonts w:ascii="Arial" w:hAnsi="Arial" w:cs="Arial"/>
        </w:rPr>
        <w:t>(12):2127-2135.</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20.</w:t>
      </w:r>
      <w:r w:rsidRPr="00F97855">
        <w:rPr>
          <w:rFonts w:ascii="Arial" w:hAnsi="Arial" w:cs="Arial"/>
        </w:rPr>
        <w:tab/>
        <w:t>Natarajan K, Prasad N, Dascomb K, Irving SA, Yang DH, Gaglani M, Klein NP, DeSilva MB, Ong TC, Grannis SJ</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Homologous and Heterologous COVID-19 Booster Doses Following 1 Ad.26.COV2.S (Janssen [Johnson &amp; Johnson]) Vaccine Dose Against COVID-19-Associated Emergency Department and Urgent Care Encounters and Hospitalizations Among Adults - VISION Network, 10 States, December 2021-March 2022</w:t>
      </w:r>
      <w:r w:rsidRPr="00F97855">
        <w:rPr>
          <w:rFonts w:ascii="Arial" w:hAnsi="Arial" w:cs="Arial"/>
        </w:rPr>
        <w:t xml:space="preserve">. </w:t>
      </w:r>
      <w:r w:rsidRPr="00F97855">
        <w:rPr>
          <w:rFonts w:ascii="Arial" w:hAnsi="Arial" w:cs="Arial"/>
          <w:i/>
        </w:rPr>
        <w:t xml:space="preserve">MMWR Morb Mortal Wkly Rep </w:t>
      </w:r>
      <w:r w:rsidRPr="00F97855">
        <w:rPr>
          <w:rFonts w:ascii="Arial" w:hAnsi="Arial" w:cs="Arial"/>
        </w:rPr>
        <w:t xml:space="preserve">2022, </w:t>
      </w:r>
      <w:r w:rsidRPr="00F97855">
        <w:rPr>
          <w:rFonts w:ascii="Arial" w:hAnsi="Arial" w:cs="Arial"/>
          <w:b/>
        </w:rPr>
        <w:t>71</w:t>
      </w:r>
      <w:r w:rsidRPr="00F97855">
        <w:rPr>
          <w:rFonts w:ascii="Arial" w:hAnsi="Arial" w:cs="Arial"/>
        </w:rPr>
        <w:t>(13):495-502.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21.</w:t>
      </w:r>
      <w:r w:rsidRPr="00F97855">
        <w:rPr>
          <w:rFonts w:ascii="Arial" w:hAnsi="Arial" w:cs="Arial"/>
        </w:rPr>
        <w:tab/>
        <w:t>Gram MA, Emborg H-D, Schelde AB, Friis NU, Nielsen KF, Moustsen-Helms IR, Legarth R, Lam JUH, Chaine M, Malik AZ</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Vaccine effectiveness against SARS-CoV-2 infection or COVID-19 hospitalization with the Alpha, Delta, or Omicron SARS-CoV-2 variant: A nationwide Danish cohort study</w:t>
      </w:r>
      <w:r w:rsidRPr="00F97855">
        <w:rPr>
          <w:rFonts w:ascii="Arial" w:hAnsi="Arial" w:cs="Arial"/>
        </w:rPr>
        <w:t xml:space="preserve">. </w:t>
      </w:r>
      <w:r w:rsidRPr="00F97855">
        <w:rPr>
          <w:rFonts w:ascii="Arial" w:hAnsi="Arial" w:cs="Arial"/>
          <w:i/>
        </w:rPr>
        <w:t xml:space="preserve">PLOS Medicine </w:t>
      </w:r>
      <w:r w:rsidRPr="00F97855">
        <w:rPr>
          <w:rFonts w:ascii="Arial" w:hAnsi="Arial" w:cs="Arial"/>
        </w:rPr>
        <w:t xml:space="preserve">2022, </w:t>
      </w:r>
      <w:r w:rsidRPr="00F97855">
        <w:rPr>
          <w:rFonts w:ascii="Arial" w:hAnsi="Arial" w:cs="Arial"/>
          <w:b/>
        </w:rPr>
        <w:t>19</w:t>
      </w:r>
      <w:r w:rsidRPr="00F97855">
        <w:rPr>
          <w:rFonts w:ascii="Arial" w:hAnsi="Arial" w:cs="Arial"/>
        </w:rPr>
        <w:t>(9):e1003992.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22.</w:t>
      </w:r>
      <w:r w:rsidRPr="00F97855">
        <w:rPr>
          <w:rFonts w:ascii="Arial" w:hAnsi="Arial" w:cs="Arial"/>
        </w:rPr>
        <w:tab/>
        <w:t>Ranzani OT, Hitchings MDT, de Melo RL, de Franca GVA, Fernandes CFR, Lind ML, Torres MSS, Tsuha DH, David LCS, Said RFC</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an inactivated Covid-19 vaccine with homologous and heterologous boosters against Omicron in Brazil</w:t>
      </w:r>
      <w:r w:rsidRPr="00F97855">
        <w:rPr>
          <w:rFonts w:ascii="Arial" w:hAnsi="Arial" w:cs="Arial"/>
        </w:rPr>
        <w:t xml:space="preserve">. </w:t>
      </w:r>
      <w:r w:rsidRPr="00F97855">
        <w:rPr>
          <w:rFonts w:ascii="Arial" w:hAnsi="Arial" w:cs="Arial"/>
          <w:i/>
        </w:rPr>
        <w:t xml:space="preserve">Nat Commun </w:t>
      </w:r>
      <w:r w:rsidRPr="00F97855">
        <w:rPr>
          <w:rFonts w:ascii="Arial" w:hAnsi="Arial" w:cs="Arial"/>
        </w:rPr>
        <w:t xml:space="preserve">2022, </w:t>
      </w:r>
      <w:r w:rsidRPr="00F97855">
        <w:rPr>
          <w:rFonts w:ascii="Arial" w:hAnsi="Arial" w:cs="Arial"/>
          <w:b/>
        </w:rPr>
        <w:t>13</w:t>
      </w:r>
      <w:r w:rsidRPr="00F97855">
        <w:rPr>
          <w:rFonts w:ascii="Arial" w:hAnsi="Arial" w:cs="Arial"/>
        </w:rPr>
        <w:t>(1):5536.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23.</w:t>
      </w:r>
      <w:r w:rsidRPr="00F97855">
        <w:rPr>
          <w:rFonts w:ascii="Arial" w:hAnsi="Arial" w:cs="Arial"/>
        </w:rPr>
        <w:tab/>
        <w:t xml:space="preserve">Baum U, Poukka E, Leino T, Kilpi T, Nohynek H, Palmu AA: </w:t>
      </w:r>
      <w:r w:rsidRPr="00F97855">
        <w:rPr>
          <w:rFonts w:ascii="Arial" w:hAnsi="Arial" w:cs="Arial"/>
          <w:b/>
        </w:rPr>
        <w:t>High vaccine effectiveness against severe COVID-19 in the elderly in Finland before and after the emergence of Omicron</w:t>
      </w:r>
      <w:r w:rsidRPr="00F97855">
        <w:rPr>
          <w:rFonts w:ascii="Arial" w:hAnsi="Arial" w:cs="Arial"/>
        </w:rPr>
        <w:t xml:space="preserve">. </w:t>
      </w:r>
      <w:r w:rsidRPr="00F97855">
        <w:rPr>
          <w:rFonts w:ascii="Arial" w:hAnsi="Arial" w:cs="Arial"/>
          <w:i/>
        </w:rPr>
        <w:t xml:space="preserve">BMC Infect Dis </w:t>
      </w:r>
      <w:r w:rsidRPr="00F97855">
        <w:rPr>
          <w:rFonts w:ascii="Arial" w:hAnsi="Arial" w:cs="Arial"/>
        </w:rPr>
        <w:t xml:space="preserve">2022, </w:t>
      </w:r>
      <w:r w:rsidRPr="00F97855">
        <w:rPr>
          <w:rFonts w:ascii="Arial" w:hAnsi="Arial" w:cs="Arial"/>
          <w:b/>
        </w:rPr>
        <w:t>22</w:t>
      </w:r>
      <w:r w:rsidRPr="00F97855">
        <w:rPr>
          <w:rFonts w:ascii="Arial" w:hAnsi="Arial" w:cs="Arial"/>
        </w:rPr>
        <w:t>(1):816.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24.</w:t>
      </w:r>
      <w:r w:rsidRPr="00F97855">
        <w:rPr>
          <w:rFonts w:ascii="Arial" w:hAnsi="Arial" w:cs="Arial"/>
        </w:rPr>
        <w:tab/>
        <w:t>Florentino PTV, Millington T, Cerqueira-Silva T, Robertson C, de Araújo Oliveira V, Júnior JBS, Alves FJO, Penna GO, Vital Katikireddi S, Boaventura VS</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Vaccine effectiveness of two-dose BNT162b2 against symptomatic and severe COVID-19 among adolescents in Brazil and Scotland over time: a test-negative case-control study</w:t>
      </w:r>
      <w:r w:rsidRPr="00F97855">
        <w:rPr>
          <w:rFonts w:ascii="Arial" w:hAnsi="Arial" w:cs="Arial"/>
        </w:rPr>
        <w:t xml:space="preserve">. </w:t>
      </w:r>
      <w:r w:rsidRPr="00F97855">
        <w:rPr>
          <w:rFonts w:ascii="Arial" w:hAnsi="Arial" w:cs="Arial"/>
          <w:i/>
        </w:rPr>
        <w:t xml:space="preserve">The Lancet Infectious Diseases </w:t>
      </w:r>
      <w:r w:rsidRPr="00F97855">
        <w:rPr>
          <w:rFonts w:ascii="Arial" w:hAnsi="Arial" w:cs="Arial"/>
        </w:rPr>
        <w:t xml:space="preserve">2022, </w:t>
      </w:r>
      <w:r w:rsidRPr="00F97855">
        <w:rPr>
          <w:rFonts w:ascii="Arial" w:hAnsi="Arial" w:cs="Arial"/>
          <w:b/>
        </w:rPr>
        <w:t>22</w:t>
      </w:r>
      <w:r w:rsidRPr="00F97855">
        <w:rPr>
          <w:rFonts w:ascii="Arial" w:hAnsi="Arial" w:cs="Arial"/>
        </w:rPr>
        <w:t>(11):1577-1586.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25.</w:t>
      </w:r>
      <w:r w:rsidRPr="00F97855">
        <w:rPr>
          <w:rFonts w:ascii="Arial" w:hAnsi="Arial" w:cs="Arial"/>
        </w:rPr>
        <w:tab/>
        <w:t xml:space="preserve">Monge S, Rojas-Benedicto A, Olmedo C, Mazagatos C, José Sierra M, Limia A, Martín-Merino E, Larrauri A, Hernán MA: </w:t>
      </w:r>
      <w:r w:rsidRPr="00F97855">
        <w:rPr>
          <w:rFonts w:ascii="Arial" w:hAnsi="Arial" w:cs="Arial"/>
          <w:b/>
        </w:rPr>
        <w:t>Effectiveness of mRNA vaccine boosters against infection with the SARS-CoV-2 omicron (B.1.1.529) variant in Spain: a nationwide cohort study</w:t>
      </w:r>
      <w:r w:rsidRPr="00F97855">
        <w:rPr>
          <w:rFonts w:ascii="Arial" w:hAnsi="Arial" w:cs="Arial"/>
        </w:rPr>
        <w:t xml:space="preserve">. </w:t>
      </w:r>
      <w:r w:rsidRPr="00F97855">
        <w:rPr>
          <w:rFonts w:ascii="Arial" w:hAnsi="Arial" w:cs="Arial"/>
          <w:i/>
        </w:rPr>
        <w:t xml:space="preserve">Lancet Infect Dis </w:t>
      </w:r>
      <w:r w:rsidRPr="00F97855">
        <w:rPr>
          <w:rFonts w:ascii="Arial" w:hAnsi="Arial" w:cs="Arial"/>
        </w:rPr>
        <w:t xml:space="preserve">2022, </w:t>
      </w:r>
      <w:r w:rsidRPr="00F97855">
        <w:rPr>
          <w:rFonts w:ascii="Arial" w:hAnsi="Arial" w:cs="Arial"/>
          <w:b/>
        </w:rPr>
        <w:t>22</w:t>
      </w:r>
      <w:r w:rsidRPr="00F97855">
        <w:rPr>
          <w:rFonts w:ascii="Arial" w:hAnsi="Arial" w:cs="Arial"/>
        </w:rPr>
        <w:t>(9):1313-1320.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26.</w:t>
      </w:r>
      <w:r w:rsidRPr="00F97855">
        <w:rPr>
          <w:rFonts w:ascii="Arial" w:hAnsi="Arial" w:cs="Arial"/>
        </w:rPr>
        <w:tab/>
        <w:t xml:space="preserve">Cerqueira-Silva T, de Araujo Oliveira V, Paixao ES, Junior JB, Penna GO, Werneck GL, Pearce N, Barreto ML, Boaventura VS, Barral-Netto M: </w:t>
      </w:r>
      <w:r w:rsidRPr="00F97855">
        <w:rPr>
          <w:rFonts w:ascii="Arial" w:hAnsi="Arial" w:cs="Arial"/>
          <w:b/>
        </w:rPr>
        <w:t>Duration of protection of CoronaVac plus heterologous BNT162b2 booster in the Omicron period in Brazil</w:t>
      </w:r>
      <w:r w:rsidRPr="00F97855">
        <w:rPr>
          <w:rFonts w:ascii="Arial" w:hAnsi="Arial" w:cs="Arial"/>
        </w:rPr>
        <w:t xml:space="preserve">. </w:t>
      </w:r>
      <w:r w:rsidRPr="00F97855">
        <w:rPr>
          <w:rFonts w:ascii="Arial" w:hAnsi="Arial" w:cs="Arial"/>
          <w:i/>
        </w:rPr>
        <w:t xml:space="preserve">Nat Commun </w:t>
      </w:r>
      <w:r w:rsidRPr="00F97855">
        <w:rPr>
          <w:rFonts w:ascii="Arial" w:hAnsi="Arial" w:cs="Arial"/>
        </w:rPr>
        <w:t xml:space="preserve">2022, </w:t>
      </w:r>
      <w:r w:rsidRPr="00F97855">
        <w:rPr>
          <w:rFonts w:ascii="Arial" w:hAnsi="Arial" w:cs="Arial"/>
          <w:b/>
        </w:rPr>
        <w:t>13</w:t>
      </w:r>
      <w:r w:rsidRPr="00F97855">
        <w:rPr>
          <w:rFonts w:ascii="Arial" w:hAnsi="Arial" w:cs="Arial"/>
        </w:rPr>
        <w:t>(1):4154.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27.</w:t>
      </w:r>
      <w:r w:rsidRPr="00F97855">
        <w:rPr>
          <w:rFonts w:ascii="Arial" w:hAnsi="Arial" w:cs="Arial"/>
        </w:rPr>
        <w:tab/>
        <w:t>Cerqueira-Silva T, Shah SA, Robertson C, Sanchez MN, Katikireddi SV, de Araújo Oliveira V, Paixão ES, Rudan I, Júnior JB, Penna GO</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Waning of mRNA Boosters after Homologous Primary Series with BNT162b2 or ChadOx1 Against Symptomatic Infection and Severe COVID-19 in Brazil and Scotland: A Test-Negative Design Case-Control Study</w:t>
      </w:r>
      <w:r w:rsidRPr="00F97855">
        <w:rPr>
          <w:rFonts w:ascii="Arial" w:hAnsi="Arial" w:cs="Arial"/>
        </w:rPr>
        <w:t xml:space="preserve">. </w:t>
      </w:r>
      <w:r w:rsidRPr="00F97855">
        <w:rPr>
          <w:rFonts w:ascii="Arial" w:hAnsi="Arial" w:cs="Arial"/>
          <w:i/>
        </w:rPr>
        <w:t xml:space="preserve">SSRN Electronic Journal </w:t>
      </w:r>
      <w:r w:rsidRPr="00F97855">
        <w:rPr>
          <w:rFonts w:ascii="Arial" w:hAnsi="Arial" w:cs="Arial"/>
        </w:rPr>
        <w:t>2022.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lastRenderedPageBreak/>
        <w:t>28.</w:t>
      </w:r>
      <w:r w:rsidRPr="00F97855">
        <w:rPr>
          <w:rFonts w:ascii="Arial" w:hAnsi="Arial" w:cs="Arial"/>
        </w:rPr>
        <w:tab/>
        <w:t xml:space="preserve">Stowe J, Andrews N, Kirsebom F, Ramsay M, Bernal JL: </w:t>
      </w:r>
      <w:r w:rsidRPr="00F97855">
        <w:rPr>
          <w:rFonts w:ascii="Arial" w:hAnsi="Arial" w:cs="Arial"/>
          <w:b/>
        </w:rPr>
        <w:t>Effectiveness of COVID-19 vaccines against Omicron and Delta hospitalisation, a test negative case-control study</w:t>
      </w:r>
      <w:r w:rsidRPr="00F97855">
        <w:rPr>
          <w:rFonts w:ascii="Arial" w:hAnsi="Arial" w:cs="Arial"/>
        </w:rPr>
        <w:t xml:space="preserve">. </w:t>
      </w:r>
      <w:r w:rsidRPr="00F97855">
        <w:rPr>
          <w:rFonts w:ascii="Arial" w:hAnsi="Arial" w:cs="Arial"/>
          <w:i/>
        </w:rPr>
        <w:t xml:space="preserve">Nat Commun </w:t>
      </w:r>
      <w:r w:rsidRPr="00F97855">
        <w:rPr>
          <w:rFonts w:ascii="Arial" w:hAnsi="Arial" w:cs="Arial"/>
        </w:rPr>
        <w:t xml:space="preserve">2022, </w:t>
      </w:r>
      <w:r w:rsidRPr="00F97855">
        <w:rPr>
          <w:rFonts w:ascii="Arial" w:hAnsi="Arial" w:cs="Arial"/>
          <w:b/>
        </w:rPr>
        <w:t>13</w:t>
      </w:r>
      <w:r w:rsidRPr="00F97855">
        <w:rPr>
          <w:rFonts w:ascii="Arial" w:hAnsi="Arial" w:cs="Arial"/>
        </w:rPr>
        <w:t>(1):5736.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29.</w:t>
      </w:r>
      <w:r w:rsidRPr="00F97855">
        <w:rPr>
          <w:rFonts w:ascii="Arial" w:hAnsi="Arial" w:cs="Arial"/>
        </w:rPr>
        <w:tab/>
        <w:t xml:space="preserve">Smid M, Berec L, Pribylova L, Majek O, Pavlik T, Jarkovsky J, Weiner J, Barusova T, Trnka J: </w:t>
      </w:r>
      <w:r w:rsidRPr="00F97855">
        <w:rPr>
          <w:rFonts w:ascii="Arial" w:hAnsi="Arial" w:cs="Arial"/>
          <w:b/>
        </w:rPr>
        <w:t>Protection by Vaccines and Previous Infection Against the Omicron Variant of Severe Acute Respiratory Syndrome Coronavirus 2</w:t>
      </w:r>
      <w:r w:rsidRPr="00F97855">
        <w:rPr>
          <w:rFonts w:ascii="Arial" w:hAnsi="Arial" w:cs="Arial"/>
        </w:rPr>
        <w:t xml:space="preserve">. </w:t>
      </w:r>
      <w:r w:rsidRPr="00F97855">
        <w:rPr>
          <w:rFonts w:ascii="Arial" w:hAnsi="Arial" w:cs="Arial"/>
          <w:i/>
        </w:rPr>
        <w:t xml:space="preserve">J Infect Dis </w:t>
      </w:r>
      <w:r w:rsidRPr="00F97855">
        <w:rPr>
          <w:rFonts w:ascii="Arial" w:hAnsi="Arial" w:cs="Arial"/>
        </w:rPr>
        <w:t xml:space="preserve">2022, </w:t>
      </w:r>
      <w:r w:rsidRPr="00F97855">
        <w:rPr>
          <w:rFonts w:ascii="Arial" w:hAnsi="Arial" w:cs="Arial"/>
          <w:b/>
        </w:rPr>
        <w:t>226</w:t>
      </w:r>
      <w:r w:rsidRPr="00F97855">
        <w:rPr>
          <w:rFonts w:ascii="Arial" w:hAnsi="Arial" w:cs="Arial"/>
        </w:rPr>
        <w:t>(8):1385-1390.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30.</w:t>
      </w:r>
      <w:r w:rsidRPr="00F97855">
        <w:rPr>
          <w:rFonts w:ascii="Arial" w:hAnsi="Arial" w:cs="Arial"/>
        </w:rPr>
        <w:tab/>
        <w:t>Andrews N, Stowe J, Kirsebom F, Toffa S, Rickeard T, Gallagher E, Gower C, Kall M, Groves N, O'Connell AM</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Covid-19 Vaccine Effectiveness against the Omicron (B.1.1.529) Variant</w:t>
      </w:r>
      <w:r w:rsidRPr="00F97855">
        <w:rPr>
          <w:rFonts w:ascii="Arial" w:hAnsi="Arial" w:cs="Arial"/>
        </w:rPr>
        <w:t xml:space="preserve">. </w:t>
      </w:r>
      <w:r w:rsidRPr="00F97855">
        <w:rPr>
          <w:rFonts w:ascii="Arial" w:hAnsi="Arial" w:cs="Arial"/>
          <w:i/>
        </w:rPr>
        <w:t xml:space="preserve">N Engl J Med </w:t>
      </w:r>
      <w:r w:rsidRPr="00F97855">
        <w:rPr>
          <w:rFonts w:ascii="Arial" w:hAnsi="Arial" w:cs="Arial"/>
        </w:rPr>
        <w:t xml:space="preserve">2022, </w:t>
      </w:r>
      <w:r w:rsidRPr="00F97855">
        <w:rPr>
          <w:rFonts w:ascii="Arial" w:hAnsi="Arial" w:cs="Arial"/>
          <w:b/>
        </w:rPr>
        <w:t>386</w:t>
      </w:r>
      <w:r w:rsidRPr="00F97855">
        <w:rPr>
          <w:rFonts w:ascii="Arial" w:hAnsi="Arial" w:cs="Arial"/>
        </w:rPr>
        <w:t>(16):1532-1546.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31.</w:t>
      </w:r>
      <w:r w:rsidRPr="00F97855">
        <w:rPr>
          <w:rFonts w:ascii="Arial" w:hAnsi="Arial" w:cs="Arial"/>
        </w:rPr>
        <w:tab/>
        <w:t>Cerqueira-Silva T, Katikireddi SV, de Araujo Oliveira V, Flores-Ortiz R, Junior JB, Paixao ES, Robertson C, Penna GO, Werneck GL, Barreto ML</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Vaccine effectiveness of heterologous CoronaVac plus BNT162b2 in Brazil</w:t>
      </w:r>
      <w:r w:rsidRPr="00F97855">
        <w:rPr>
          <w:rFonts w:ascii="Arial" w:hAnsi="Arial" w:cs="Arial"/>
        </w:rPr>
        <w:t xml:space="preserve">. </w:t>
      </w:r>
      <w:r w:rsidRPr="00F97855">
        <w:rPr>
          <w:rFonts w:ascii="Arial" w:hAnsi="Arial" w:cs="Arial"/>
          <w:i/>
        </w:rPr>
        <w:t xml:space="preserve">Nat Med </w:t>
      </w:r>
      <w:r w:rsidRPr="00F97855">
        <w:rPr>
          <w:rFonts w:ascii="Arial" w:hAnsi="Arial" w:cs="Arial"/>
        </w:rPr>
        <w:t xml:space="preserve">2022, </w:t>
      </w:r>
      <w:r w:rsidRPr="00F97855">
        <w:rPr>
          <w:rFonts w:ascii="Arial" w:hAnsi="Arial" w:cs="Arial"/>
          <w:b/>
        </w:rPr>
        <w:t>28</w:t>
      </w:r>
      <w:r w:rsidRPr="00F97855">
        <w:rPr>
          <w:rFonts w:ascii="Arial" w:hAnsi="Arial" w:cs="Arial"/>
        </w:rPr>
        <w:t>(4):838-843.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32.</w:t>
      </w:r>
      <w:r w:rsidRPr="00F97855">
        <w:rPr>
          <w:rFonts w:ascii="Arial" w:hAnsi="Arial" w:cs="Arial"/>
        </w:rPr>
        <w:tab/>
        <w:t>Chemaitelly H, Ayoub HH, Coyle P, Tang P, Yassine HM, Al-Khatib HA, Smatti MK, Hasan MR, Al-Kanaani Z, Al-Kuwari E</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Protection of Omicron sub-lineage infection against reinfection with another Omicron sub-lineage</w:t>
      </w:r>
      <w:r w:rsidRPr="00F97855">
        <w:rPr>
          <w:rFonts w:ascii="Arial" w:hAnsi="Arial" w:cs="Arial"/>
        </w:rPr>
        <w:t xml:space="preserve">. </w:t>
      </w:r>
      <w:r w:rsidRPr="00F97855">
        <w:rPr>
          <w:rFonts w:ascii="Arial" w:hAnsi="Arial" w:cs="Arial"/>
          <w:i/>
        </w:rPr>
        <w:t xml:space="preserve">Nat Commun </w:t>
      </w:r>
      <w:r w:rsidRPr="00F97855">
        <w:rPr>
          <w:rFonts w:ascii="Arial" w:hAnsi="Arial" w:cs="Arial"/>
        </w:rPr>
        <w:t xml:space="preserve">2022, </w:t>
      </w:r>
      <w:r w:rsidRPr="00F97855">
        <w:rPr>
          <w:rFonts w:ascii="Arial" w:hAnsi="Arial" w:cs="Arial"/>
          <w:b/>
        </w:rPr>
        <w:t>13</w:t>
      </w:r>
      <w:r w:rsidRPr="00F97855">
        <w:rPr>
          <w:rFonts w:ascii="Arial" w:hAnsi="Arial" w:cs="Arial"/>
        </w:rPr>
        <w:t>(1):4675.</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33.</w:t>
      </w:r>
      <w:r w:rsidRPr="00F97855">
        <w:rPr>
          <w:rFonts w:ascii="Arial" w:hAnsi="Arial" w:cs="Arial"/>
        </w:rPr>
        <w:tab/>
        <w:t>Chemaitelly H, Nagelkerke N, Ayoub HH, Coyle P, Tang P, Yassine HM, Al-Khatib HA, Smatti MK, Hasan MR, Al-Kanaani Z</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Duration of immune protection of SARS-CoV-2 natural infection against reinfection</w:t>
      </w:r>
      <w:r w:rsidRPr="00F97855">
        <w:rPr>
          <w:rFonts w:ascii="Arial" w:hAnsi="Arial" w:cs="Arial"/>
        </w:rPr>
        <w:t xml:space="preserve">. </w:t>
      </w:r>
      <w:r w:rsidRPr="00F97855">
        <w:rPr>
          <w:rFonts w:ascii="Arial" w:hAnsi="Arial" w:cs="Arial"/>
          <w:i/>
        </w:rPr>
        <w:t xml:space="preserve">Journal of Travel Medicine </w:t>
      </w:r>
      <w:r w:rsidRPr="00F97855">
        <w:rPr>
          <w:rFonts w:ascii="Arial" w:hAnsi="Arial" w:cs="Arial"/>
        </w:rPr>
        <w:t>2022.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34.</w:t>
      </w:r>
      <w:r w:rsidRPr="00F97855">
        <w:rPr>
          <w:rFonts w:ascii="Arial" w:hAnsi="Arial" w:cs="Arial"/>
        </w:rPr>
        <w:tab/>
        <w:t>Khare S, Gurry C, Freitas L, Schultz MB, Bach G, Diallo A, Akite N, Ho J, Lee RT, Yeo W</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GISAID's Role in Pandemic Response</w:t>
      </w:r>
      <w:r w:rsidRPr="00F97855">
        <w:rPr>
          <w:rFonts w:ascii="Arial" w:hAnsi="Arial" w:cs="Arial"/>
        </w:rPr>
        <w:t xml:space="preserve">. </w:t>
      </w:r>
      <w:r w:rsidRPr="00F97855">
        <w:rPr>
          <w:rFonts w:ascii="Arial" w:hAnsi="Arial" w:cs="Arial"/>
          <w:i/>
        </w:rPr>
        <w:t xml:space="preserve">China CDC Wkly </w:t>
      </w:r>
      <w:r w:rsidRPr="00F97855">
        <w:rPr>
          <w:rFonts w:ascii="Arial" w:hAnsi="Arial" w:cs="Arial"/>
        </w:rPr>
        <w:t xml:space="preserve">2021, </w:t>
      </w:r>
      <w:r w:rsidRPr="00F97855">
        <w:rPr>
          <w:rFonts w:ascii="Arial" w:hAnsi="Arial" w:cs="Arial"/>
          <w:b/>
        </w:rPr>
        <w:t>3</w:t>
      </w:r>
      <w:r w:rsidRPr="00F97855">
        <w:rPr>
          <w:rFonts w:ascii="Arial" w:hAnsi="Arial" w:cs="Arial"/>
        </w:rPr>
        <w:t>(49):1049-1051.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35.</w:t>
      </w:r>
      <w:r w:rsidRPr="00F97855">
        <w:rPr>
          <w:rFonts w:ascii="Arial" w:hAnsi="Arial" w:cs="Arial"/>
        </w:rPr>
        <w:tab/>
        <w:t xml:space="preserve">Pilz S, Theiler-Schwetz V, Trummer C, Krause R, Ioannidis JPA: </w:t>
      </w:r>
      <w:r w:rsidRPr="00F97855">
        <w:rPr>
          <w:rFonts w:ascii="Arial" w:hAnsi="Arial" w:cs="Arial"/>
          <w:b/>
        </w:rPr>
        <w:t>SARS-CoV-2 reinfections: Overview of efficacy and duration of natural and hybrid immunity</w:t>
      </w:r>
      <w:r w:rsidRPr="00F97855">
        <w:rPr>
          <w:rFonts w:ascii="Arial" w:hAnsi="Arial" w:cs="Arial"/>
        </w:rPr>
        <w:t xml:space="preserve">. </w:t>
      </w:r>
      <w:r w:rsidRPr="00F97855">
        <w:rPr>
          <w:rFonts w:ascii="Arial" w:hAnsi="Arial" w:cs="Arial"/>
          <w:i/>
        </w:rPr>
        <w:t xml:space="preserve">Environ Res </w:t>
      </w:r>
      <w:r w:rsidRPr="00F97855">
        <w:rPr>
          <w:rFonts w:ascii="Arial" w:hAnsi="Arial" w:cs="Arial"/>
        </w:rPr>
        <w:t xml:space="preserve">2022, </w:t>
      </w:r>
      <w:r w:rsidRPr="00F97855">
        <w:rPr>
          <w:rFonts w:ascii="Arial" w:hAnsi="Arial" w:cs="Arial"/>
          <w:b/>
        </w:rPr>
        <w:t>209</w:t>
      </w:r>
      <w:r w:rsidRPr="00F97855">
        <w:rPr>
          <w:rFonts w:ascii="Arial" w:hAnsi="Arial" w:cs="Arial"/>
        </w:rPr>
        <w:t>:112911.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36.</w:t>
      </w:r>
      <w:r w:rsidRPr="00F97855">
        <w:rPr>
          <w:rFonts w:ascii="Arial" w:hAnsi="Arial" w:cs="Arial"/>
        </w:rPr>
        <w:tab/>
        <w:t>Altarawneh HN, Chemaitelly H, Hasan MR, Ayoub HH, Qassim S, AlMukdad S, Coyle P, Yassine HM, Al-Khatib HA, Benslimane FM</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Protection against the Omicron Variant from Previous SARS-CoV-2 Infection</w:t>
      </w:r>
      <w:r w:rsidRPr="00F97855">
        <w:rPr>
          <w:rFonts w:ascii="Arial" w:hAnsi="Arial" w:cs="Arial"/>
        </w:rPr>
        <w:t xml:space="preserve">. </w:t>
      </w:r>
      <w:r w:rsidRPr="00F97855">
        <w:rPr>
          <w:rFonts w:ascii="Arial" w:hAnsi="Arial" w:cs="Arial"/>
          <w:i/>
        </w:rPr>
        <w:t xml:space="preserve">N Engl J Med </w:t>
      </w:r>
      <w:r w:rsidRPr="00F97855">
        <w:rPr>
          <w:rFonts w:ascii="Arial" w:hAnsi="Arial" w:cs="Arial"/>
        </w:rPr>
        <w:t xml:space="preserve">2022, </w:t>
      </w:r>
      <w:r w:rsidRPr="00F97855">
        <w:rPr>
          <w:rFonts w:ascii="Arial" w:hAnsi="Arial" w:cs="Arial"/>
          <w:b/>
        </w:rPr>
        <w:t>386</w:t>
      </w:r>
      <w:r w:rsidRPr="00F97855">
        <w:rPr>
          <w:rFonts w:ascii="Arial" w:hAnsi="Arial" w:cs="Arial"/>
        </w:rPr>
        <w:t>(13):1288-1290.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37.</w:t>
      </w:r>
      <w:r w:rsidRPr="00F97855">
        <w:rPr>
          <w:rFonts w:ascii="Arial" w:hAnsi="Arial" w:cs="Arial"/>
        </w:rPr>
        <w:tab/>
        <w:t xml:space="preserve">Cerqueira-Silva T, de Araujo Oliveira V, Paixao ES, Florentino PTV, Penna GO, Pearce N, Werneck GL, Barreto ML, Boaventura VS, Barral-Netto M: </w:t>
      </w:r>
      <w:r w:rsidRPr="00F97855">
        <w:rPr>
          <w:rFonts w:ascii="Arial" w:hAnsi="Arial" w:cs="Arial"/>
          <w:b/>
        </w:rPr>
        <w:t>Vaccination plus previous infection: protection during the omicron wave in Brazil</w:t>
      </w:r>
      <w:r w:rsidRPr="00F97855">
        <w:rPr>
          <w:rFonts w:ascii="Arial" w:hAnsi="Arial" w:cs="Arial"/>
        </w:rPr>
        <w:t xml:space="preserve">. </w:t>
      </w:r>
      <w:r w:rsidRPr="00F97855">
        <w:rPr>
          <w:rFonts w:ascii="Arial" w:hAnsi="Arial" w:cs="Arial"/>
          <w:i/>
        </w:rPr>
        <w:t xml:space="preserve">Lancet Infect Dis </w:t>
      </w:r>
      <w:r w:rsidRPr="00F97855">
        <w:rPr>
          <w:rFonts w:ascii="Arial" w:hAnsi="Arial" w:cs="Arial"/>
        </w:rPr>
        <w:t xml:space="preserve">2022, </w:t>
      </w:r>
      <w:r w:rsidRPr="00F97855">
        <w:rPr>
          <w:rFonts w:ascii="Arial" w:hAnsi="Arial" w:cs="Arial"/>
          <w:b/>
        </w:rPr>
        <w:t>22</w:t>
      </w:r>
      <w:r w:rsidRPr="00F97855">
        <w:rPr>
          <w:rFonts w:ascii="Arial" w:hAnsi="Arial" w:cs="Arial"/>
        </w:rPr>
        <w:t>(7):945-946.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38.</w:t>
      </w:r>
      <w:r w:rsidRPr="00F97855">
        <w:rPr>
          <w:rFonts w:ascii="Arial" w:hAnsi="Arial" w:cs="Arial"/>
        </w:rPr>
        <w:tab/>
        <w:t xml:space="preserve">Ayoub HH, Mumtaz GR, Seedat S, Makhoul M, Chemaitelly H, Abu-Raddad LJ: </w:t>
      </w:r>
      <w:r w:rsidRPr="00F97855">
        <w:rPr>
          <w:rFonts w:ascii="Arial" w:hAnsi="Arial" w:cs="Arial"/>
          <w:b/>
        </w:rPr>
        <w:t>Estimates of global SARS-CoV-2 infection exposure, infection morbidity, and infection mortality rates in 2020</w:t>
      </w:r>
      <w:r w:rsidRPr="00F97855">
        <w:rPr>
          <w:rFonts w:ascii="Arial" w:hAnsi="Arial" w:cs="Arial"/>
        </w:rPr>
        <w:t xml:space="preserve">. </w:t>
      </w:r>
      <w:r w:rsidRPr="00F97855">
        <w:rPr>
          <w:rFonts w:ascii="Arial" w:hAnsi="Arial" w:cs="Arial"/>
          <w:i/>
        </w:rPr>
        <w:t xml:space="preserve">Glob Epidemiol </w:t>
      </w:r>
      <w:r w:rsidRPr="00F97855">
        <w:rPr>
          <w:rFonts w:ascii="Arial" w:hAnsi="Arial" w:cs="Arial"/>
        </w:rPr>
        <w:t xml:space="preserve">2021, </w:t>
      </w:r>
      <w:r w:rsidRPr="00F97855">
        <w:rPr>
          <w:rFonts w:ascii="Arial" w:hAnsi="Arial" w:cs="Arial"/>
          <w:b/>
        </w:rPr>
        <w:t>3</w:t>
      </w:r>
      <w:r w:rsidRPr="00F97855">
        <w:rPr>
          <w:rFonts w:ascii="Arial" w:hAnsi="Arial" w:cs="Arial"/>
        </w:rPr>
        <w:t>:100068.</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39.</w:t>
      </w:r>
      <w:r w:rsidRPr="00F97855">
        <w:rPr>
          <w:rFonts w:ascii="Arial" w:hAnsi="Arial" w:cs="Arial"/>
        </w:rPr>
        <w:tab/>
        <w:t>Seedat S, Chemaitelly H, Ayoub HH, Makhoul M, Mumtaz GR, Al Kanaani Z, Al Khal A, Al Kuwari E, Butt AA, Coyle P</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SARS-CoV-2 infection hospitalization, severity, criticality, and fatality rates in Qatar</w:t>
      </w:r>
      <w:r w:rsidRPr="00F97855">
        <w:rPr>
          <w:rFonts w:ascii="Arial" w:hAnsi="Arial" w:cs="Arial"/>
        </w:rPr>
        <w:t xml:space="preserve">. </w:t>
      </w:r>
      <w:r w:rsidRPr="00F97855">
        <w:rPr>
          <w:rFonts w:ascii="Arial" w:hAnsi="Arial" w:cs="Arial"/>
          <w:i/>
        </w:rPr>
        <w:t xml:space="preserve">Sci Rep </w:t>
      </w:r>
      <w:r w:rsidRPr="00F97855">
        <w:rPr>
          <w:rFonts w:ascii="Arial" w:hAnsi="Arial" w:cs="Arial"/>
        </w:rPr>
        <w:t xml:space="preserve">2021, </w:t>
      </w:r>
      <w:r w:rsidRPr="00F97855">
        <w:rPr>
          <w:rFonts w:ascii="Arial" w:hAnsi="Arial" w:cs="Arial"/>
          <w:b/>
        </w:rPr>
        <w:t>11</w:t>
      </w:r>
      <w:r w:rsidRPr="00F97855">
        <w:rPr>
          <w:rFonts w:ascii="Arial" w:hAnsi="Arial" w:cs="Arial"/>
        </w:rPr>
        <w:t>(1):18182.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40.</w:t>
      </w:r>
      <w:r w:rsidRPr="00F97855">
        <w:rPr>
          <w:rFonts w:ascii="Arial" w:hAnsi="Arial" w:cs="Arial"/>
        </w:rPr>
        <w:tab/>
        <w:t xml:space="preserve">Ferguson N, Ghani A, Hinsley W, Volz E: </w:t>
      </w:r>
      <w:r w:rsidRPr="00F97855">
        <w:rPr>
          <w:rFonts w:ascii="Arial" w:hAnsi="Arial" w:cs="Arial"/>
          <w:b/>
        </w:rPr>
        <w:t>Report 50 - Hospitalisation risk for Omicron cases in England</w:t>
      </w:r>
      <w:r w:rsidRPr="00F97855">
        <w:rPr>
          <w:rFonts w:ascii="Arial" w:hAnsi="Arial" w:cs="Arial"/>
        </w:rPr>
        <w:t xml:space="preserve">. In: </w:t>
      </w:r>
      <w:r w:rsidRPr="00F97855">
        <w:rPr>
          <w:rFonts w:ascii="Arial" w:hAnsi="Arial" w:cs="Arial"/>
          <w:i/>
        </w:rPr>
        <w:t>Imperial College London.</w:t>
      </w:r>
      <w:r w:rsidRPr="00F97855">
        <w:rPr>
          <w:rFonts w:ascii="Arial" w:hAnsi="Arial" w:cs="Arial"/>
        </w:rPr>
        <w:t xml:space="preserve"> Edited by London IC, vol. 22-12-2021: Imperial College London; 2021.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41.</w:t>
      </w:r>
      <w:r w:rsidRPr="00F97855">
        <w:rPr>
          <w:rFonts w:ascii="Arial" w:hAnsi="Arial" w:cs="Arial"/>
        </w:rPr>
        <w:tab/>
        <w:t xml:space="preserve">Lin L, Liu Y, Tang X, He D: </w:t>
      </w:r>
      <w:r w:rsidRPr="00F97855">
        <w:rPr>
          <w:rFonts w:ascii="Arial" w:hAnsi="Arial" w:cs="Arial"/>
          <w:b/>
        </w:rPr>
        <w:t>The Disease Severity and Clinical Outcomes of the SARS-CoV-2 Variants of Concern</w:t>
      </w:r>
      <w:r w:rsidRPr="00F97855">
        <w:rPr>
          <w:rFonts w:ascii="Arial" w:hAnsi="Arial" w:cs="Arial"/>
        </w:rPr>
        <w:t xml:space="preserve">. </w:t>
      </w:r>
      <w:r w:rsidRPr="00F97855">
        <w:rPr>
          <w:rFonts w:ascii="Arial" w:hAnsi="Arial" w:cs="Arial"/>
          <w:i/>
        </w:rPr>
        <w:t xml:space="preserve">Front Public Health </w:t>
      </w:r>
      <w:r w:rsidRPr="00F97855">
        <w:rPr>
          <w:rFonts w:ascii="Arial" w:hAnsi="Arial" w:cs="Arial"/>
        </w:rPr>
        <w:t xml:space="preserve">2021, </w:t>
      </w:r>
      <w:r w:rsidRPr="00F97855">
        <w:rPr>
          <w:rFonts w:ascii="Arial" w:hAnsi="Arial" w:cs="Arial"/>
          <w:b/>
        </w:rPr>
        <w:t>9</w:t>
      </w:r>
      <w:r w:rsidRPr="00F97855">
        <w:rPr>
          <w:rFonts w:ascii="Arial" w:hAnsi="Arial" w:cs="Arial"/>
        </w:rPr>
        <w:t>:775224.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42.</w:t>
      </w:r>
      <w:r w:rsidRPr="00F97855">
        <w:rPr>
          <w:rFonts w:ascii="Arial" w:hAnsi="Arial" w:cs="Arial"/>
        </w:rPr>
        <w:tab/>
        <w:t xml:space="preserve">United Nations: </w:t>
      </w:r>
      <w:r w:rsidRPr="00F97855">
        <w:rPr>
          <w:rFonts w:ascii="Arial" w:hAnsi="Arial" w:cs="Arial"/>
          <w:b/>
        </w:rPr>
        <w:t>World Population Prospects 2019</w:t>
      </w:r>
      <w:r w:rsidRPr="00F97855">
        <w:rPr>
          <w:rFonts w:ascii="Arial" w:hAnsi="Arial" w:cs="Arial"/>
        </w:rPr>
        <w:t>. In</w:t>
      </w:r>
      <w:r w:rsidRPr="00F97855">
        <w:rPr>
          <w:rFonts w:ascii="Arial" w:hAnsi="Arial" w:cs="Arial"/>
          <w:i/>
        </w:rPr>
        <w:t>.</w:t>
      </w:r>
      <w:r w:rsidRPr="00F97855">
        <w:rPr>
          <w:rFonts w:ascii="Arial" w:hAnsi="Arial" w:cs="Arial"/>
        </w:rPr>
        <w:t xml:space="preserve"> Online Edition; 2019.</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43.</w:t>
      </w:r>
      <w:r w:rsidRPr="00F97855">
        <w:rPr>
          <w:rFonts w:ascii="Arial" w:hAnsi="Arial" w:cs="Arial"/>
        </w:rPr>
        <w:tab/>
        <w:t xml:space="preserve">World Bank Group: </w:t>
      </w:r>
      <w:r w:rsidRPr="00F97855">
        <w:rPr>
          <w:rFonts w:ascii="Arial" w:hAnsi="Arial" w:cs="Arial"/>
          <w:b/>
        </w:rPr>
        <w:t>Sierra Leone - COVID-19 Emergency Preparedness and Response Project (English)</w:t>
      </w:r>
      <w:r w:rsidRPr="00F97855">
        <w:rPr>
          <w:rFonts w:ascii="Arial" w:hAnsi="Arial" w:cs="Arial"/>
        </w:rPr>
        <w:t>. In</w:t>
      </w:r>
      <w:r w:rsidRPr="00F97855">
        <w:rPr>
          <w:rFonts w:ascii="Arial" w:hAnsi="Arial" w:cs="Arial"/>
          <w:i/>
        </w:rPr>
        <w:t>.</w:t>
      </w:r>
      <w:r w:rsidRPr="00F97855">
        <w:rPr>
          <w:rFonts w:ascii="Arial" w:hAnsi="Arial" w:cs="Arial"/>
        </w:rPr>
        <w:t xml:space="preserve"> Washington, D.C.; 2021.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44.</w:t>
      </w:r>
      <w:r w:rsidRPr="00F97855">
        <w:rPr>
          <w:rFonts w:ascii="Arial" w:hAnsi="Arial" w:cs="Arial"/>
        </w:rPr>
        <w:tab/>
        <w:t>Treskova-Schwarzbach M, Haas L, Reda S, Pilic A, Borodova A, Karimi K, Koch J, Nygren T, Scholz S, Schonfeld V</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Pre-existing health conditions and severe COVID-19 outcomes: an umbrella review approach and meta-analysis of global evidence</w:t>
      </w:r>
      <w:r w:rsidRPr="00F97855">
        <w:rPr>
          <w:rFonts w:ascii="Arial" w:hAnsi="Arial" w:cs="Arial"/>
        </w:rPr>
        <w:t xml:space="preserve">. </w:t>
      </w:r>
      <w:r w:rsidRPr="00F97855">
        <w:rPr>
          <w:rFonts w:ascii="Arial" w:hAnsi="Arial" w:cs="Arial"/>
          <w:i/>
        </w:rPr>
        <w:t xml:space="preserve">BMC Med </w:t>
      </w:r>
      <w:r w:rsidRPr="00F97855">
        <w:rPr>
          <w:rFonts w:ascii="Arial" w:hAnsi="Arial" w:cs="Arial"/>
        </w:rPr>
        <w:t xml:space="preserve">2021, </w:t>
      </w:r>
      <w:r w:rsidRPr="00F97855">
        <w:rPr>
          <w:rFonts w:ascii="Arial" w:hAnsi="Arial" w:cs="Arial"/>
          <w:b/>
        </w:rPr>
        <w:t>19</w:t>
      </w:r>
      <w:r w:rsidRPr="00F97855">
        <w:rPr>
          <w:rFonts w:ascii="Arial" w:hAnsi="Arial" w:cs="Arial"/>
        </w:rPr>
        <w:t>(1):212.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lastRenderedPageBreak/>
        <w:t>45.</w:t>
      </w:r>
      <w:r w:rsidRPr="00F97855">
        <w:rPr>
          <w:rFonts w:ascii="Arial" w:hAnsi="Arial" w:cs="Arial"/>
        </w:rPr>
        <w:tab/>
        <w:t xml:space="preserve">Feikin DR, Abu-Raddad LJ, Andrews N, Davies MA, Higdon MM, Orenstein WA, Patel MK: </w:t>
      </w:r>
      <w:r w:rsidRPr="00F97855">
        <w:rPr>
          <w:rFonts w:ascii="Arial" w:hAnsi="Arial" w:cs="Arial"/>
          <w:b/>
        </w:rPr>
        <w:t>Assessing vaccine effectiveness against severe COVID-19 disease caused by omicron variant. Report from a meeting of the World Health Organization</w:t>
      </w:r>
      <w:r w:rsidRPr="00F97855">
        <w:rPr>
          <w:rFonts w:ascii="Arial" w:hAnsi="Arial" w:cs="Arial"/>
        </w:rPr>
        <w:t xml:space="preserve">. </w:t>
      </w:r>
      <w:r w:rsidRPr="00F97855">
        <w:rPr>
          <w:rFonts w:ascii="Arial" w:hAnsi="Arial" w:cs="Arial"/>
          <w:i/>
        </w:rPr>
        <w:t xml:space="preserve">Vaccine </w:t>
      </w:r>
      <w:r w:rsidRPr="00F97855">
        <w:rPr>
          <w:rFonts w:ascii="Arial" w:hAnsi="Arial" w:cs="Arial"/>
        </w:rPr>
        <w:t xml:space="preserve">2022, </w:t>
      </w:r>
      <w:r w:rsidRPr="00F97855">
        <w:rPr>
          <w:rFonts w:ascii="Arial" w:hAnsi="Arial" w:cs="Arial"/>
          <w:b/>
        </w:rPr>
        <w:t>40</w:t>
      </w:r>
      <w:r w:rsidRPr="00F97855">
        <w:rPr>
          <w:rFonts w:ascii="Arial" w:hAnsi="Arial" w:cs="Arial"/>
        </w:rPr>
        <w:t>(26):3516-3527.</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46.</w:t>
      </w:r>
      <w:r w:rsidRPr="00F97855">
        <w:rPr>
          <w:rFonts w:ascii="Arial" w:hAnsi="Arial" w:cs="Arial"/>
        </w:rPr>
        <w:tab/>
        <w:t xml:space="preserve">Sierra Leone Noncommunicable Disease and Injuries Poverty Commission: </w:t>
      </w:r>
      <w:r w:rsidRPr="00F97855">
        <w:rPr>
          <w:rFonts w:ascii="Arial" w:hAnsi="Arial" w:cs="Arial"/>
          <w:b/>
        </w:rPr>
        <w:t>Sierra Leone Non-communicable Disease and Injuries Poverty Commission: Findings and Recommendations</w:t>
      </w:r>
      <w:r w:rsidRPr="00F97855">
        <w:rPr>
          <w:rFonts w:ascii="Arial" w:hAnsi="Arial" w:cs="Arial"/>
        </w:rPr>
        <w:t>. In</w:t>
      </w:r>
      <w:r w:rsidRPr="00F97855">
        <w:rPr>
          <w:rFonts w:ascii="Arial" w:hAnsi="Arial" w:cs="Arial"/>
          <w:i/>
        </w:rPr>
        <w:t>.</w:t>
      </w:r>
      <w:r w:rsidRPr="00F97855">
        <w:rPr>
          <w:rFonts w:ascii="Arial" w:hAnsi="Arial" w:cs="Arial"/>
        </w:rPr>
        <w:t>; 2020.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47.</w:t>
      </w:r>
      <w:r w:rsidRPr="00F97855">
        <w:rPr>
          <w:rFonts w:ascii="Arial" w:hAnsi="Arial" w:cs="Arial"/>
        </w:rPr>
        <w:tab/>
        <w:t xml:space="preserve">Odland ML, Bockarie T, Wurie H, Ansumana R, Lamin J, Nugent R, Bakolis I, Witham M, Davies J: </w:t>
      </w:r>
      <w:r w:rsidRPr="00F97855">
        <w:rPr>
          <w:rFonts w:ascii="Arial" w:hAnsi="Arial" w:cs="Arial"/>
          <w:b/>
        </w:rPr>
        <w:t>Prevalence and access to care for cardiovascular risk factors in older people in Sierra Leone: a cross-sectional survey</w:t>
      </w:r>
      <w:r w:rsidRPr="00F97855">
        <w:rPr>
          <w:rFonts w:ascii="Arial" w:hAnsi="Arial" w:cs="Arial"/>
        </w:rPr>
        <w:t xml:space="preserve">. </w:t>
      </w:r>
      <w:r w:rsidRPr="00F97855">
        <w:rPr>
          <w:rFonts w:ascii="Arial" w:hAnsi="Arial" w:cs="Arial"/>
          <w:i/>
        </w:rPr>
        <w:t xml:space="preserve">BMJ Open </w:t>
      </w:r>
      <w:r w:rsidRPr="00F97855">
        <w:rPr>
          <w:rFonts w:ascii="Arial" w:hAnsi="Arial" w:cs="Arial"/>
        </w:rPr>
        <w:t xml:space="preserve">2020, </w:t>
      </w:r>
      <w:r w:rsidRPr="00F97855">
        <w:rPr>
          <w:rFonts w:ascii="Arial" w:hAnsi="Arial" w:cs="Arial"/>
          <w:b/>
        </w:rPr>
        <w:t>10</w:t>
      </w:r>
      <w:r w:rsidRPr="00F97855">
        <w:rPr>
          <w:rFonts w:ascii="Arial" w:hAnsi="Arial" w:cs="Arial"/>
        </w:rPr>
        <w:t>(9):e038520.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48.</w:t>
      </w:r>
      <w:r w:rsidRPr="00F97855">
        <w:rPr>
          <w:rFonts w:ascii="Arial" w:hAnsi="Arial" w:cs="Arial"/>
        </w:rPr>
        <w:tab/>
        <w:t xml:space="preserve">Statistics Sierra Leone  &amp; ICF: </w:t>
      </w:r>
      <w:r w:rsidRPr="00F97855">
        <w:rPr>
          <w:rFonts w:ascii="Arial" w:hAnsi="Arial" w:cs="Arial"/>
          <w:b/>
        </w:rPr>
        <w:t>Sierra Leone Demographic Health Survey 2019</w:t>
      </w:r>
      <w:r w:rsidRPr="00F97855">
        <w:rPr>
          <w:rFonts w:ascii="Arial" w:hAnsi="Arial" w:cs="Arial"/>
        </w:rPr>
        <w:t>. In</w:t>
      </w:r>
      <w:r w:rsidRPr="00F97855">
        <w:rPr>
          <w:rFonts w:ascii="Arial" w:hAnsi="Arial" w:cs="Arial"/>
          <w:i/>
        </w:rPr>
        <w:t>.</w:t>
      </w:r>
      <w:r w:rsidRPr="00F97855">
        <w:rPr>
          <w:rFonts w:ascii="Arial" w:hAnsi="Arial" w:cs="Arial"/>
        </w:rPr>
        <w:t xml:space="preserve"> Freetown, Sierra Leone, and Rockville, Maryland, USA; 2020.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49.</w:t>
      </w:r>
      <w:r w:rsidRPr="00F97855">
        <w:rPr>
          <w:rFonts w:ascii="Arial" w:hAnsi="Arial" w:cs="Arial"/>
        </w:rPr>
        <w:tab/>
        <w:t xml:space="preserve">Elkasabi M: </w:t>
      </w:r>
      <w:r w:rsidRPr="00F97855">
        <w:rPr>
          <w:rFonts w:ascii="Arial" w:hAnsi="Arial" w:cs="Arial"/>
          <w:b/>
        </w:rPr>
        <w:t>DHS.rates: Calculates Demographic Indicators</w:t>
      </w:r>
      <w:r w:rsidRPr="00F97855">
        <w:rPr>
          <w:rFonts w:ascii="Arial" w:hAnsi="Arial" w:cs="Arial"/>
        </w:rPr>
        <w:t xml:space="preserve">. In: </w:t>
      </w:r>
      <w:r w:rsidRPr="00F97855">
        <w:rPr>
          <w:rFonts w:ascii="Arial" w:hAnsi="Arial" w:cs="Arial"/>
          <w:i/>
        </w:rPr>
        <w:t>R package version 0 91.</w:t>
      </w:r>
      <w:r w:rsidRPr="00F97855">
        <w:rPr>
          <w:rFonts w:ascii="Arial" w:hAnsi="Arial" w:cs="Arial"/>
        </w:rPr>
        <w:t xml:space="preserve"> vol. R package version 0. 9.1. https://CRAN.R-project.org/package=DHS.rates; 2021.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50.</w:t>
      </w:r>
      <w:r w:rsidRPr="00F97855">
        <w:rPr>
          <w:rFonts w:ascii="Arial" w:hAnsi="Arial" w:cs="Arial"/>
        </w:rPr>
        <w:tab/>
      </w:r>
      <w:r w:rsidRPr="00F97855">
        <w:rPr>
          <w:rFonts w:ascii="Arial" w:hAnsi="Arial" w:cs="Arial"/>
          <w:b/>
        </w:rPr>
        <w:t xml:space="preserve">Guide to DHS Statistics </w:t>
      </w:r>
      <w:r w:rsidRPr="00F97855">
        <w:rPr>
          <w:rFonts w:ascii="Arial" w:hAnsi="Arial" w:cs="Arial"/>
        </w:rPr>
        <w:t>[https://dhsprogram.com/data/Guide-to-DHS-Statistics/index.htm#t=Guide_to_DHS_Statistics_DHS-7.htm]</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51.</w:t>
      </w:r>
      <w:r w:rsidRPr="00F97855">
        <w:rPr>
          <w:rFonts w:ascii="Arial" w:hAnsi="Arial" w:cs="Arial"/>
        </w:rPr>
        <w:tab/>
      </w:r>
      <w:r w:rsidRPr="00F97855">
        <w:rPr>
          <w:rFonts w:ascii="Arial" w:hAnsi="Arial" w:cs="Arial"/>
          <w:b/>
        </w:rPr>
        <w:t xml:space="preserve">Coronavirus (COVID-19), infection in pregnancy </w:t>
      </w:r>
      <w:r w:rsidRPr="00F97855">
        <w:rPr>
          <w:rFonts w:ascii="Arial" w:hAnsi="Arial" w:cs="Arial"/>
        </w:rPr>
        <w:t>[https://www.rcog.org.uk/media/xsubnsma/2022-03-07-coronavirus-covid-19-infection-in-pregnancy-v15.pdf]</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52.</w:t>
      </w:r>
      <w:r w:rsidRPr="00F97855">
        <w:rPr>
          <w:rFonts w:ascii="Arial" w:hAnsi="Arial" w:cs="Arial"/>
        </w:rPr>
        <w:tab/>
        <w:t>Carshon-Marsh R, Aimone A, Ansumana R, Swaray IB, Assalif A, Musa A, Meh C, Smart F, Hang Fu S, Newcombe L</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Child, maternal, and adult mortality in Sierra Leone: nationally representative mortality survey 2018–20</w:t>
      </w:r>
      <w:r w:rsidRPr="00F97855">
        <w:rPr>
          <w:rFonts w:ascii="Arial" w:hAnsi="Arial" w:cs="Arial"/>
        </w:rPr>
        <w:t xml:space="preserve">. </w:t>
      </w:r>
      <w:r w:rsidRPr="00F97855">
        <w:rPr>
          <w:rFonts w:ascii="Arial" w:hAnsi="Arial" w:cs="Arial"/>
          <w:i/>
        </w:rPr>
        <w:t xml:space="preserve">The Lancet Global Health </w:t>
      </w:r>
      <w:r w:rsidRPr="00F97855">
        <w:rPr>
          <w:rFonts w:ascii="Arial" w:hAnsi="Arial" w:cs="Arial"/>
        </w:rPr>
        <w:t xml:space="preserve">2022, </w:t>
      </w:r>
      <w:r w:rsidRPr="00F97855">
        <w:rPr>
          <w:rFonts w:ascii="Arial" w:hAnsi="Arial" w:cs="Arial"/>
          <w:b/>
        </w:rPr>
        <w:t>10</w:t>
      </w:r>
      <w:r w:rsidRPr="00F97855">
        <w:rPr>
          <w:rFonts w:ascii="Arial" w:hAnsi="Arial" w:cs="Arial"/>
        </w:rPr>
        <w:t>(1):e114-e123.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53.</w:t>
      </w:r>
      <w:r w:rsidRPr="00F97855">
        <w:rPr>
          <w:rFonts w:ascii="Arial" w:hAnsi="Arial" w:cs="Arial"/>
        </w:rPr>
        <w:tab/>
        <w:t xml:space="preserve">Bubar KM, Reinholt K, Kissler SM, Lipsitch M, Cobey S, Grad YH, Larremore DB: </w:t>
      </w:r>
      <w:r w:rsidRPr="00F97855">
        <w:rPr>
          <w:rFonts w:ascii="Arial" w:hAnsi="Arial" w:cs="Arial"/>
          <w:b/>
        </w:rPr>
        <w:t>Model-informed COVID-19 vaccine prioritization strategies by age and serostatus</w:t>
      </w:r>
      <w:r w:rsidRPr="00F97855">
        <w:rPr>
          <w:rFonts w:ascii="Arial" w:hAnsi="Arial" w:cs="Arial"/>
        </w:rPr>
        <w:t xml:space="preserve">. </w:t>
      </w:r>
      <w:r w:rsidRPr="00F97855">
        <w:rPr>
          <w:rFonts w:ascii="Arial" w:hAnsi="Arial" w:cs="Arial"/>
          <w:i/>
        </w:rPr>
        <w:t xml:space="preserve">Science </w:t>
      </w:r>
      <w:r w:rsidRPr="00F97855">
        <w:rPr>
          <w:rFonts w:ascii="Arial" w:hAnsi="Arial" w:cs="Arial"/>
        </w:rPr>
        <w:t xml:space="preserve">2021, </w:t>
      </w:r>
      <w:r w:rsidRPr="00F97855">
        <w:rPr>
          <w:rFonts w:ascii="Arial" w:hAnsi="Arial" w:cs="Arial"/>
          <w:b/>
        </w:rPr>
        <w:t>371</w:t>
      </w:r>
      <w:r w:rsidRPr="00F97855">
        <w:rPr>
          <w:rFonts w:ascii="Arial" w:hAnsi="Arial" w:cs="Arial"/>
        </w:rPr>
        <w:t>(6532):916-921.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54.</w:t>
      </w:r>
      <w:r w:rsidRPr="00F97855">
        <w:rPr>
          <w:rFonts w:ascii="Arial" w:hAnsi="Arial" w:cs="Arial"/>
        </w:rPr>
        <w:tab/>
        <w:t xml:space="preserve">Buckner JH, Chowell G, Springborn MR: </w:t>
      </w:r>
      <w:r w:rsidRPr="00F97855">
        <w:rPr>
          <w:rFonts w:ascii="Arial" w:hAnsi="Arial" w:cs="Arial"/>
          <w:b/>
        </w:rPr>
        <w:t>Dynamic prioritization of COVID-19 vaccines when social distancing is limited for essential workers</w:t>
      </w:r>
      <w:r w:rsidRPr="00F97855">
        <w:rPr>
          <w:rFonts w:ascii="Arial" w:hAnsi="Arial" w:cs="Arial"/>
        </w:rPr>
        <w:t xml:space="preserve">. </w:t>
      </w:r>
      <w:r w:rsidRPr="00F97855">
        <w:rPr>
          <w:rFonts w:ascii="Arial" w:hAnsi="Arial" w:cs="Arial"/>
          <w:i/>
        </w:rPr>
        <w:t xml:space="preserve">Proc Natl Acad Sci U S A </w:t>
      </w:r>
      <w:r w:rsidRPr="00F97855">
        <w:rPr>
          <w:rFonts w:ascii="Arial" w:hAnsi="Arial" w:cs="Arial"/>
        </w:rPr>
        <w:t xml:space="preserve">2021, </w:t>
      </w:r>
      <w:r w:rsidRPr="00F97855">
        <w:rPr>
          <w:rFonts w:ascii="Arial" w:hAnsi="Arial" w:cs="Arial"/>
          <w:b/>
        </w:rPr>
        <w:t>118</w:t>
      </w:r>
      <w:r w:rsidRPr="00F97855">
        <w:rPr>
          <w:rFonts w:ascii="Arial" w:hAnsi="Arial" w:cs="Arial"/>
        </w:rPr>
        <w:t>(16).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55.</w:t>
      </w:r>
      <w:r w:rsidRPr="00F97855">
        <w:rPr>
          <w:rFonts w:ascii="Arial" w:hAnsi="Arial" w:cs="Arial"/>
        </w:rPr>
        <w:tab/>
        <w:t xml:space="preserve">Choi W, Shim E: </w:t>
      </w:r>
      <w:r w:rsidRPr="00F97855">
        <w:rPr>
          <w:rFonts w:ascii="Arial" w:hAnsi="Arial" w:cs="Arial"/>
          <w:b/>
        </w:rPr>
        <w:t>Vaccine Effects on Susceptibility and Symptomatology Can Change the Optimal Allocation of COVID-19 Vaccines: South Korea as an Example</w:t>
      </w:r>
      <w:r w:rsidRPr="00F97855">
        <w:rPr>
          <w:rFonts w:ascii="Arial" w:hAnsi="Arial" w:cs="Arial"/>
        </w:rPr>
        <w:t xml:space="preserve">. </w:t>
      </w:r>
      <w:r w:rsidRPr="00F97855">
        <w:rPr>
          <w:rFonts w:ascii="Arial" w:hAnsi="Arial" w:cs="Arial"/>
          <w:i/>
        </w:rPr>
        <w:t xml:space="preserve">J Clin Med </w:t>
      </w:r>
      <w:r w:rsidRPr="00F97855">
        <w:rPr>
          <w:rFonts w:ascii="Arial" w:hAnsi="Arial" w:cs="Arial"/>
        </w:rPr>
        <w:t xml:space="preserve">2021, </w:t>
      </w:r>
      <w:r w:rsidRPr="00F97855">
        <w:rPr>
          <w:rFonts w:ascii="Arial" w:hAnsi="Arial" w:cs="Arial"/>
          <w:b/>
        </w:rPr>
        <w:t>10</w:t>
      </w:r>
      <w:r w:rsidRPr="00F97855">
        <w:rPr>
          <w:rFonts w:ascii="Arial" w:hAnsi="Arial" w:cs="Arial"/>
        </w:rPr>
        <w:t>(13).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56.</w:t>
      </w:r>
      <w:r w:rsidRPr="00F97855">
        <w:rPr>
          <w:rFonts w:ascii="Arial" w:hAnsi="Arial" w:cs="Arial"/>
        </w:rPr>
        <w:tab/>
        <w:t xml:space="preserve">Sunohara S, Asakura T, Kimura T, Ozawa S, Oshima S, Yamauchi D, Tamakoshi A: </w:t>
      </w:r>
      <w:r w:rsidRPr="00F97855">
        <w:rPr>
          <w:rFonts w:ascii="Arial" w:hAnsi="Arial" w:cs="Arial"/>
          <w:b/>
        </w:rPr>
        <w:t>Effective vaccine allocation strategies, balancing economy with infection control against COVID-19 in Japan</w:t>
      </w:r>
      <w:r w:rsidRPr="00F97855">
        <w:rPr>
          <w:rFonts w:ascii="Arial" w:hAnsi="Arial" w:cs="Arial"/>
        </w:rPr>
        <w:t xml:space="preserve">. </w:t>
      </w:r>
      <w:r w:rsidRPr="00F97855">
        <w:rPr>
          <w:rFonts w:ascii="Arial" w:hAnsi="Arial" w:cs="Arial"/>
          <w:i/>
        </w:rPr>
        <w:t xml:space="preserve">PLoS One </w:t>
      </w:r>
      <w:r w:rsidRPr="00F97855">
        <w:rPr>
          <w:rFonts w:ascii="Arial" w:hAnsi="Arial" w:cs="Arial"/>
        </w:rPr>
        <w:t xml:space="preserve">2021, </w:t>
      </w:r>
      <w:r w:rsidRPr="00F97855">
        <w:rPr>
          <w:rFonts w:ascii="Arial" w:hAnsi="Arial" w:cs="Arial"/>
          <w:b/>
        </w:rPr>
        <w:t>16</w:t>
      </w:r>
      <w:r w:rsidRPr="00F97855">
        <w:rPr>
          <w:rFonts w:ascii="Arial" w:hAnsi="Arial" w:cs="Arial"/>
        </w:rPr>
        <w:t>(9):e0257107.</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57.</w:t>
      </w:r>
      <w:r w:rsidRPr="00F97855">
        <w:rPr>
          <w:rFonts w:ascii="Arial" w:hAnsi="Arial" w:cs="Arial"/>
        </w:rPr>
        <w:tab/>
        <w:t xml:space="preserve">Liu Y, Gayle AA, Wilder-Smith A, Rocklov J: </w:t>
      </w:r>
      <w:r w:rsidRPr="00F97855">
        <w:rPr>
          <w:rFonts w:ascii="Arial" w:hAnsi="Arial" w:cs="Arial"/>
          <w:b/>
        </w:rPr>
        <w:t>The reproductive number of COVID-19 is higher compared to SARS coronavirus</w:t>
      </w:r>
      <w:r w:rsidRPr="00F97855">
        <w:rPr>
          <w:rFonts w:ascii="Arial" w:hAnsi="Arial" w:cs="Arial"/>
        </w:rPr>
        <w:t xml:space="preserve">. </w:t>
      </w:r>
      <w:r w:rsidRPr="00F97855">
        <w:rPr>
          <w:rFonts w:ascii="Arial" w:hAnsi="Arial" w:cs="Arial"/>
          <w:i/>
        </w:rPr>
        <w:t xml:space="preserve">J Travel Med </w:t>
      </w:r>
      <w:r w:rsidRPr="00F97855">
        <w:rPr>
          <w:rFonts w:ascii="Arial" w:hAnsi="Arial" w:cs="Arial"/>
        </w:rPr>
        <w:t xml:space="preserve">2020, </w:t>
      </w:r>
      <w:r w:rsidRPr="00F97855">
        <w:rPr>
          <w:rFonts w:ascii="Arial" w:hAnsi="Arial" w:cs="Arial"/>
          <w:b/>
        </w:rPr>
        <w:t>27</w:t>
      </w:r>
      <w:r w:rsidRPr="00F97855">
        <w:rPr>
          <w:rFonts w:ascii="Arial" w:hAnsi="Arial" w:cs="Arial"/>
        </w:rPr>
        <w:t>(2).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58.</w:t>
      </w:r>
      <w:r w:rsidRPr="00F97855">
        <w:rPr>
          <w:rFonts w:ascii="Arial" w:hAnsi="Arial" w:cs="Arial"/>
        </w:rPr>
        <w:tab/>
        <w:t xml:space="preserve">Liu Y, Rocklov J: </w:t>
      </w:r>
      <w:r w:rsidRPr="00F97855">
        <w:rPr>
          <w:rFonts w:ascii="Arial" w:hAnsi="Arial" w:cs="Arial"/>
          <w:b/>
        </w:rPr>
        <w:t>The reproductive number of the Delta variant of SARS-CoV-2 is far higher compared to the ancestral SARS-CoV-2 virus</w:t>
      </w:r>
      <w:r w:rsidRPr="00F97855">
        <w:rPr>
          <w:rFonts w:ascii="Arial" w:hAnsi="Arial" w:cs="Arial"/>
        </w:rPr>
        <w:t xml:space="preserve">. </w:t>
      </w:r>
      <w:r w:rsidRPr="00F97855">
        <w:rPr>
          <w:rFonts w:ascii="Arial" w:hAnsi="Arial" w:cs="Arial"/>
          <w:i/>
        </w:rPr>
        <w:t xml:space="preserve">J Travel Med </w:t>
      </w:r>
      <w:r w:rsidRPr="00F97855">
        <w:rPr>
          <w:rFonts w:ascii="Arial" w:hAnsi="Arial" w:cs="Arial"/>
        </w:rPr>
        <w:t xml:space="preserve">2021, </w:t>
      </w:r>
      <w:r w:rsidRPr="00F97855">
        <w:rPr>
          <w:rFonts w:ascii="Arial" w:hAnsi="Arial" w:cs="Arial"/>
          <w:b/>
        </w:rPr>
        <w:t>28</w:t>
      </w:r>
      <w:r w:rsidRPr="00F97855">
        <w:rPr>
          <w:rFonts w:ascii="Arial" w:hAnsi="Arial" w:cs="Arial"/>
        </w:rPr>
        <w:t>(7).</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59.</w:t>
      </w:r>
      <w:r w:rsidRPr="00F97855">
        <w:rPr>
          <w:rFonts w:ascii="Arial" w:hAnsi="Arial" w:cs="Arial"/>
        </w:rPr>
        <w:tab/>
        <w:t>Barrie MB, Lakoh S, Kelly JD, Kanu JS, Squire JS, Koroma Z, Bah S, Sankoh O, Brima A, Ansumana R</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SARS-CoV-2 antibody prevalence in Sierra Leone, March 2021: a cross-sectional, nationally representative, age-stratified serosurvey</w:t>
      </w:r>
      <w:r w:rsidRPr="00F97855">
        <w:rPr>
          <w:rFonts w:ascii="Arial" w:hAnsi="Arial" w:cs="Arial"/>
        </w:rPr>
        <w:t xml:space="preserve">. </w:t>
      </w:r>
      <w:r w:rsidRPr="00F97855">
        <w:rPr>
          <w:rFonts w:ascii="Arial" w:hAnsi="Arial" w:cs="Arial"/>
          <w:i/>
        </w:rPr>
        <w:t xml:space="preserve">BMJ Glob Health </w:t>
      </w:r>
      <w:r w:rsidRPr="00F97855">
        <w:rPr>
          <w:rFonts w:ascii="Arial" w:hAnsi="Arial" w:cs="Arial"/>
        </w:rPr>
        <w:t xml:space="preserve">2021, </w:t>
      </w:r>
      <w:r w:rsidRPr="00F97855">
        <w:rPr>
          <w:rFonts w:ascii="Arial" w:hAnsi="Arial" w:cs="Arial"/>
          <w:b/>
        </w:rPr>
        <w:t>6</w:t>
      </w:r>
      <w:r w:rsidRPr="00F97855">
        <w:rPr>
          <w:rFonts w:ascii="Arial" w:hAnsi="Arial" w:cs="Arial"/>
        </w:rPr>
        <w:t>(11):e007271.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60.</w:t>
      </w:r>
      <w:r w:rsidRPr="00F97855">
        <w:rPr>
          <w:rFonts w:ascii="Arial" w:hAnsi="Arial" w:cs="Arial"/>
        </w:rPr>
        <w:tab/>
        <w:t>Barber RM, Sorensen RJD, Pigott DM, Bisignano C, Carter A, Amlag JO, Collins JK, Abbafati C, Adolph C, Allorant A</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Estimating global, regional, and national daily and cumulative infections with SARS-CoV-2 through Nov 14, 2021: a statistical analysis</w:t>
      </w:r>
      <w:r w:rsidRPr="00F97855">
        <w:rPr>
          <w:rFonts w:ascii="Arial" w:hAnsi="Arial" w:cs="Arial"/>
        </w:rPr>
        <w:t xml:space="preserve">. </w:t>
      </w:r>
      <w:r w:rsidRPr="00F97855">
        <w:rPr>
          <w:rFonts w:ascii="Arial" w:hAnsi="Arial" w:cs="Arial"/>
          <w:i/>
        </w:rPr>
        <w:t xml:space="preserve">Lancet </w:t>
      </w:r>
      <w:r w:rsidRPr="00F97855">
        <w:rPr>
          <w:rFonts w:ascii="Arial" w:hAnsi="Arial" w:cs="Arial"/>
        </w:rPr>
        <w:t xml:space="preserve">2022, </w:t>
      </w:r>
      <w:r w:rsidRPr="00F97855">
        <w:rPr>
          <w:rFonts w:ascii="Arial" w:hAnsi="Arial" w:cs="Arial"/>
          <w:b/>
        </w:rPr>
        <w:t>399</w:t>
      </w:r>
      <w:r w:rsidRPr="00F97855">
        <w:rPr>
          <w:rFonts w:ascii="Arial" w:hAnsi="Arial" w:cs="Arial"/>
        </w:rPr>
        <w:t>(10344):2351-2380.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61.</w:t>
      </w:r>
      <w:r w:rsidRPr="00F97855">
        <w:rPr>
          <w:rFonts w:ascii="Arial" w:hAnsi="Arial" w:cs="Arial"/>
        </w:rPr>
        <w:tab/>
        <w:t xml:space="preserve">World Health Organization: </w:t>
      </w:r>
      <w:r w:rsidRPr="00F97855">
        <w:rPr>
          <w:rFonts w:ascii="Arial" w:hAnsi="Arial" w:cs="Arial"/>
          <w:b/>
        </w:rPr>
        <w:t>COVID-19 weekly epidemiological update, edition 82, 8 March 2022</w:t>
      </w:r>
      <w:r w:rsidRPr="00F97855">
        <w:rPr>
          <w:rFonts w:ascii="Arial" w:hAnsi="Arial" w:cs="Arial"/>
        </w:rPr>
        <w:t>. In</w:t>
      </w:r>
      <w:r w:rsidRPr="00F97855">
        <w:rPr>
          <w:rFonts w:ascii="Arial" w:hAnsi="Arial" w:cs="Arial"/>
          <w:i/>
        </w:rPr>
        <w:t>.</w:t>
      </w:r>
      <w:r w:rsidRPr="00F97855">
        <w:rPr>
          <w:rFonts w:ascii="Arial" w:hAnsi="Arial" w:cs="Arial"/>
        </w:rPr>
        <w:t xml:space="preserve"> Geneva: World Health Organization; 2022.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62.</w:t>
      </w:r>
      <w:r w:rsidRPr="00F97855">
        <w:rPr>
          <w:rFonts w:ascii="Arial" w:hAnsi="Arial" w:cs="Arial"/>
        </w:rPr>
        <w:tab/>
        <w:t xml:space="preserve">Antia R, Halloran ME: </w:t>
      </w:r>
      <w:r w:rsidRPr="00F97855">
        <w:rPr>
          <w:rFonts w:ascii="Arial" w:hAnsi="Arial" w:cs="Arial"/>
          <w:b/>
        </w:rPr>
        <w:t>Transition to endemicity: Understanding COVID-19</w:t>
      </w:r>
      <w:r w:rsidRPr="00F97855">
        <w:rPr>
          <w:rFonts w:ascii="Arial" w:hAnsi="Arial" w:cs="Arial"/>
        </w:rPr>
        <w:t xml:space="preserve">. </w:t>
      </w:r>
      <w:r w:rsidRPr="00F97855">
        <w:rPr>
          <w:rFonts w:ascii="Arial" w:hAnsi="Arial" w:cs="Arial"/>
          <w:i/>
        </w:rPr>
        <w:t xml:space="preserve">Immunity </w:t>
      </w:r>
      <w:r w:rsidRPr="00F97855">
        <w:rPr>
          <w:rFonts w:ascii="Arial" w:hAnsi="Arial" w:cs="Arial"/>
        </w:rPr>
        <w:t xml:space="preserve">2021, </w:t>
      </w:r>
      <w:r w:rsidRPr="00F97855">
        <w:rPr>
          <w:rFonts w:ascii="Arial" w:hAnsi="Arial" w:cs="Arial"/>
          <w:b/>
        </w:rPr>
        <w:t>54</w:t>
      </w:r>
      <w:r w:rsidRPr="00F97855">
        <w:rPr>
          <w:rFonts w:ascii="Arial" w:hAnsi="Arial" w:cs="Arial"/>
        </w:rPr>
        <w:t>(10):2172-2176.</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lastRenderedPageBreak/>
        <w:t>63.</w:t>
      </w:r>
      <w:r w:rsidRPr="00F97855">
        <w:rPr>
          <w:rFonts w:ascii="Arial" w:hAnsi="Arial" w:cs="Arial"/>
        </w:rPr>
        <w:tab/>
        <w:t xml:space="preserve">Al-Tawfiq JA, Chu DT, Hoang VT, Memish ZA: </w:t>
      </w:r>
      <w:r w:rsidRPr="00F97855">
        <w:rPr>
          <w:rFonts w:ascii="Arial" w:hAnsi="Arial" w:cs="Arial"/>
          <w:b/>
        </w:rPr>
        <w:t>From Pandemicity to Endemicity: The Journey of SARS-CoV-2</w:t>
      </w:r>
      <w:r w:rsidRPr="00F97855">
        <w:rPr>
          <w:rFonts w:ascii="Arial" w:hAnsi="Arial" w:cs="Arial"/>
        </w:rPr>
        <w:t xml:space="preserve">. </w:t>
      </w:r>
      <w:r w:rsidRPr="00F97855">
        <w:rPr>
          <w:rFonts w:ascii="Arial" w:hAnsi="Arial" w:cs="Arial"/>
          <w:i/>
        </w:rPr>
        <w:t xml:space="preserve">J Epidemiol Glob Health </w:t>
      </w:r>
      <w:r w:rsidRPr="00F97855">
        <w:rPr>
          <w:rFonts w:ascii="Arial" w:hAnsi="Arial" w:cs="Arial"/>
        </w:rPr>
        <w:t xml:space="preserve">2022, </w:t>
      </w:r>
      <w:r w:rsidRPr="00F97855">
        <w:rPr>
          <w:rFonts w:ascii="Arial" w:hAnsi="Arial" w:cs="Arial"/>
          <w:b/>
        </w:rPr>
        <w:t>12</w:t>
      </w:r>
      <w:r w:rsidRPr="00F97855">
        <w:rPr>
          <w:rFonts w:ascii="Arial" w:hAnsi="Arial" w:cs="Arial"/>
        </w:rPr>
        <w:t>(2):147-149.</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64.</w:t>
      </w:r>
      <w:r w:rsidRPr="00F97855">
        <w:rPr>
          <w:rFonts w:ascii="Arial" w:hAnsi="Arial" w:cs="Arial"/>
        </w:rPr>
        <w:tab/>
        <w:t xml:space="preserve">Skjefte M, Ngirbabul M, Akeju O, Escudero D, Hernandez-Diaz S, Wyszynski DF, Wu JW: </w:t>
      </w:r>
      <w:r w:rsidRPr="00F97855">
        <w:rPr>
          <w:rFonts w:ascii="Arial" w:hAnsi="Arial" w:cs="Arial"/>
          <w:b/>
        </w:rPr>
        <w:t>COVID-19 vaccine acceptance among pregnant women and mothers of young children: results of a survey in 16 countries</w:t>
      </w:r>
      <w:r w:rsidRPr="00F97855">
        <w:rPr>
          <w:rFonts w:ascii="Arial" w:hAnsi="Arial" w:cs="Arial"/>
        </w:rPr>
        <w:t xml:space="preserve">. </w:t>
      </w:r>
      <w:r w:rsidRPr="00F97855">
        <w:rPr>
          <w:rFonts w:ascii="Arial" w:hAnsi="Arial" w:cs="Arial"/>
          <w:i/>
        </w:rPr>
        <w:t xml:space="preserve">Eur J Epidemiol </w:t>
      </w:r>
      <w:r w:rsidRPr="00F97855">
        <w:rPr>
          <w:rFonts w:ascii="Arial" w:hAnsi="Arial" w:cs="Arial"/>
        </w:rPr>
        <w:t xml:space="preserve">2021, </w:t>
      </w:r>
      <w:r w:rsidRPr="00F97855">
        <w:rPr>
          <w:rFonts w:ascii="Arial" w:hAnsi="Arial" w:cs="Arial"/>
          <w:b/>
        </w:rPr>
        <w:t>36</w:t>
      </w:r>
      <w:r w:rsidRPr="00F97855">
        <w:rPr>
          <w:rFonts w:ascii="Arial" w:hAnsi="Arial" w:cs="Arial"/>
        </w:rPr>
        <w:t>(2):197-211.</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65.</w:t>
      </w:r>
      <w:r w:rsidRPr="00F97855">
        <w:rPr>
          <w:rFonts w:ascii="Arial" w:hAnsi="Arial" w:cs="Arial"/>
        </w:rPr>
        <w:tab/>
        <w:t xml:space="preserve">Riley LE, Jamieson DJ: </w:t>
      </w:r>
      <w:r w:rsidRPr="00F97855">
        <w:rPr>
          <w:rFonts w:ascii="Arial" w:hAnsi="Arial" w:cs="Arial"/>
          <w:b/>
        </w:rPr>
        <w:t>Inclusion of Pregnant and Lactating Persons in COVID-19 Vaccination Efforts</w:t>
      </w:r>
      <w:r w:rsidRPr="00F97855">
        <w:rPr>
          <w:rFonts w:ascii="Arial" w:hAnsi="Arial" w:cs="Arial"/>
        </w:rPr>
        <w:t xml:space="preserve">. </w:t>
      </w:r>
      <w:r w:rsidRPr="00F97855">
        <w:rPr>
          <w:rFonts w:ascii="Arial" w:hAnsi="Arial" w:cs="Arial"/>
          <w:i/>
        </w:rPr>
        <w:t xml:space="preserve">Ann Intern Med </w:t>
      </w:r>
      <w:r w:rsidRPr="00F97855">
        <w:rPr>
          <w:rFonts w:ascii="Arial" w:hAnsi="Arial" w:cs="Arial"/>
        </w:rPr>
        <w:t xml:space="preserve">2021, </w:t>
      </w:r>
      <w:r w:rsidRPr="00F97855">
        <w:rPr>
          <w:rFonts w:ascii="Arial" w:hAnsi="Arial" w:cs="Arial"/>
          <w:b/>
        </w:rPr>
        <w:t>174</w:t>
      </w:r>
      <w:r w:rsidRPr="00F97855">
        <w:rPr>
          <w:rFonts w:ascii="Arial" w:hAnsi="Arial" w:cs="Arial"/>
        </w:rPr>
        <w:t>(5):701-702.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66.</w:t>
      </w:r>
      <w:r w:rsidRPr="00F97855">
        <w:rPr>
          <w:rFonts w:ascii="Arial" w:hAnsi="Arial" w:cs="Arial"/>
        </w:rPr>
        <w:tab/>
        <w:t xml:space="preserve">Beigi RH, Krubiner C, Jamieson DJ, Lyerly AD, Hughes B, Riley L, Faden R, Karron R: </w:t>
      </w:r>
      <w:r w:rsidRPr="00F97855">
        <w:rPr>
          <w:rFonts w:ascii="Arial" w:hAnsi="Arial" w:cs="Arial"/>
          <w:b/>
        </w:rPr>
        <w:t>The need for inclusion of pregnant women in COVID-19 vaccine trials</w:t>
      </w:r>
      <w:r w:rsidRPr="00F97855">
        <w:rPr>
          <w:rFonts w:ascii="Arial" w:hAnsi="Arial" w:cs="Arial"/>
        </w:rPr>
        <w:t xml:space="preserve">. </w:t>
      </w:r>
      <w:r w:rsidRPr="00F97855">
        <w:rPr>
          <w:rFonts w:ascii="Arial" w:hAnsi="Arial" w:cs="Arial"/>
          <w:i/>
        </w:rPr>
        <w:t xml:space="preserve">Vaccine </w:t>
      </w:r>
      <w:r w:rsidRPr="00F97855">
        <w:rPr>
          <w:rFonts w:ascii="Arial" w:hAnsi="Arial" w:cs="Arial"/>
        </w:rPr>
        <w:t xml:space="preserve">2021, </w:t>
      </w:r>
      <w:r w:rsidRPr="00F97855">
        <w:rPr>
          <w:rFonts w:ascii="Arial" w:hAnsi="Arial" w:cs="Arial"/>
          <w:b/>
        </w:rPr>
        <w:t>39</w:t>
      </w:r>
      <w:r w:rsidRPr="00F97855">
        <w:rPr>
          <w:rFonts w:ascii="Arial" w:hAnsi="Arial" w:cs="Arial"/>
        </w:rPr>
        <w:t>(6):868-870.</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67.</w:t>
      </w:r>
      <w:r w:rsidRPr="00F97855">
        <w:rPr>
          <w:rFonts w:ascii="Arial" w:hAnsi="Arial" w:cs="Arial"/>
        </w:rPr>
        <w:tab/>
        <w:t>Prasad S, Kalafat E, Blakeway H, Townsend R, O'Brien P, Morris E, Draycott T, Thangaratinam S, Le Doare K, Ladhani S</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Systematic review and meta-analysis of the effectiveness and perinatal outcomes of COVID-19 vaccination in pregnancy</w:t>
      </w:r>
      <w:r w:rsidRPr="00F97855">
        <w:rPr>
          <w:rFonts w:ascii="Arial" w:hAnsi="Arial" w:cs="Arial"/>
        </w:rPr>
        <w:t xml:space="preserve">. </w:t>
      </w:r>
      <w:r w:rsidRPr="00F97855">
        <w:rPr>
          <w:rFonts w:ascii="Arial" w:hAnsi="Arial" w:cs="Arial"/>
          <w:i/>
        </w:rPr>
        <w:t xml:space="preserve">Nat Commun </w:t>
      </w:r>
      <w:r w:rsidRPr="00F97855">
        <w:rPr>
          <w:rFonts w:ascii="Arial" w:hAnsi="Arial" w:cs="Arial"/>
        </w:rPr>
        <w:t xml:space="preserve">2022, </w:t>
      </w:r>
      <w:r w:rsidRPr="00F97855">
        <w:rPr>
          <w:rFonts w:ascii="Arial" w:hAnsi="Arial" w:cs="Arial"/>
          <w:b/>
        </w:rPr>
        <w:t>13</w:t>
      </w:r>
      <w:r w:rsidRPr="00F97855">
        <w:rPr>
          <w:rFonts w:ascii="Arial" w:hAnsi="Arial" w:cs="Arial"/>
        </w:rPr>
        <w:t>(1):2414.</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68.</w:t>
      </w:r>
      <w:r w:rsidRPr="00F97855">
        <w:rPr>
          <w:rFonts w:ascii="Arial" w:hAnsi="Arial" w:cs="Arial"/>
        </w:rPr>
        <w:tab/>
        <w:t>Tenforde MW, Self WH, Zhu Y, Naioti EA, Gaglani M, Ginde AA, Jensen K, Talbot HK, Casey JD, Mohr NM</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Protection of mRNA vaccines against hospitalized COVID-19 in adults over the first year following authorization in the United States</w:t>
      </w:r>
      <w:r w:rsidRPr="00F97855">
        <w:rPr>
          <w:rFonts w:ascii="Arial" w:hAnsi="Arial" w:cs="Arial"/>
        </w:rPr>
        <w:t xml:space="preserve">. </w:t>
      </w:r>
      <w:r w:rsidRPr="00F97855">
        <w:rPr>
          <w:rFonts w:ascii="Arial" w:hAnsi="Arial" w:cs="Arial"/>
          <w:i/>
        </w:rPr>
        <w:t xml:space="preserve">Clin Infect Dis </w:t>
      </w:r>
      <w:r w:rsidRPr="00F97855">
        <w:rPr>
          <w:rFonts w:ascii="Arial" w:hAnsi="Arial" w:cs="Arial"/>
        </w:rPr>
        <w:t>2022.</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69.</w:t>
      </w:r>
      <w:r w:rsidRPr="00F97855">
        <w:rPr>
          <w:rFonts w:ascii="Arial" w:hAnsi="Arial" w:cs="Arial"/>
        </w:rPr>
        <w:tab/>
        <w:t xml:space="preserve">Kirsebom F, Andrews N, Sachdeva R, Stowe J, Ramsay M, Bernal JL: </w:t>
      </w:r>
      <w:r w:rsidRPr="00F97855">
        <w:rPr>
          <w:rFonts w:ascii="Arial" w:hAnsi="Arial" w:cs="Arial"/>
          <w:b/>
        </w:rPr>
        <w:t>Effectiveness of ChAdOx1-S COVID-19 Booster Vaccination against the Omicron and Delta variants in England</w:t>
      </w:r>
      <w:r w:rsidRPr="00F97855">
        <w:rPr>
          <w:rFonts w:ascii="Arial" w:hAnsi="Arial" w:cs="Arial"/>
        </w:rPr>
        <w:t xml:space="preserve">. </w:t>
      </w:r>
      <w:r w:rsidRPr="00F97855">
        <w:rPr>
          <w:rFonts w:ascii="Arial" w:hAnsi="Arial" w:cs="Arial"/>
          <w:i/>
        </w:rPr>
        <w:t xml:space="preserve">medRxiv </w:t>
      </w:r>
      <w:r w:rsidRPr="00F97855">
        <w:rPr>
          <w:rFonts w:ascii="Arial" w:hAnsi="Arial" w:cs="Arial"/>
        </w:rPr>
        <w:t>2022:2022.2004.2029.22274483.</w:t>
      </w:r>
    </w:p>
    <w:p w:rsidR="005D5162" w:rsidRPr="00F97855" w:rsidRDefault="005D5162" w:rsidP="00D75D94">
      <w:pPr>
        <w:pStyle w:val="EndNoteBibliography"/>
        <w:spacing w:after="0"/>
        <w:ind w:left="720" w:hanging="720"/>
        <w:rPr>
          <w:rFonts w:ascii="Arial" w:hAnsi="Arial" w:cs="Arial"/>
        </w:rPr>
      </w:pPr>
      <w:r w:rsidRPr="00F97855">
        <w:rPr>
          <w:rFonts w:ascii="Arial" w:hAnsi="Arial" w:cs="Arial"/>
        </w:rPr>
        <w:t>70.</w:t>
      </w:r>
      <w:r w:rsidRPr="00F97855">
        <w:rPr>
          <w:rFonts w:ascii="Arial" w:hAnsi="Arial" w:cs="Arial"/>
        </w:rPr>
        <w:tab/>
        <w:t>Lewis NM, Naioti EA, Self WH, Ginde AA, Douin DJ, Keipp Talbot H, Casey JD, Mohr NM, Zepeski A, Gaglani M</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mRNA Vaccines Against COVID-19 Hospitalization by Age and Chronic Medical Conditions Burden Among Immunocompetent US Adults, March-August 2021</w:t>
      </w:r>
      <w:r w:rsidRPr="00F97855">
        <w:rPr>
          <w:rFonts w:ascii="Arial" w:hAnsi="Arial" w:cs="Arial"/>
        </w:rPr>
        <w:t xml:space="preserve">. </w:t>
      </w:r>
      <w:r w:rsidRPr="00F97855">
        <w:rPr>
          <w:rFonts w:ascii="Arial" w:hAnsi="Arial" w:cs="Arial"/>
          <w:i/>
        </w:rPr>
        <w:t xml:space="preserve">J Infect Dis </w:t>
      </w:r>
      <w:r w:rsidRPr="00F97855">
        <w:rPr>
          <w:rFonts w:ascii="Arial" w:hAnsi="Arial" w:cs="Arial"/>
        </w:rPr>
        <w:t xml:space="preserve">2022, </w:t>
      </w:r>
      <w:r w:rsidRPr="00F97855">
        <w:rPr>
          <w:rFonts w:ascii="Arial" w:hAnsi="Arial" w:cs="Arial"/>
          <w:b/>
        </w:rPr>
        <w:t>225</w:t>
      </w:r>
      <w:r w:rsidRPr="00F97855">
        <w:rPr>
          <w:rFonts w:ascii="Arial" w:hAnsi="Arial" w:cs="Arial"/>
        </w:rPr>
        <w:t>(10):1694-1700.</w:t>
      </w:r>
    </w:p>
    <w:p w:rsidR="005D5162" w:rsidRPr="00F97855" w:rsidRDefault="005D5162" w:rsidP="00D75D94">
      <w:pPr>
        <w:pStyle w:val="EndNoteBibliography"/>
        <w:ind w:left="720" w:hanging="720"/>
        <w:rPr>
          <w:rFonts w:ascii="Arial" w:hAnsi="Arial" w:cs="Arial"/>
        </w:rPr>
      </w:pPr>
      <w:r w:rsidRPr="00F97855">
        <w:rPr>
          <w:rFonts w:ascii="Arial" w:hAnsi="Arial" w:cs="Arial"/>
        </w:rPr>
        <w:t>71.</w:t>
      </w:r>
      <w:r w:rsidRPr="00F97855">
        <w:rPr>
          <w:rFonts w:ascii="Arial" w:hAnsi="Arial" w:cs="Arial"/>
        </w:rPr>
        <w:tab/>
        <w:t>Kim SS, Chung JR, Talbot HK, Grijalva CG, Wernli KJ, Kiniry E, Martin ET, Monto AS, Belongia EA, McLean HQ</w:t>
      </w:r>
      <w:r w:rsidRPr="00F97855">
        <w:rPr>
          <w:rFonts w:ascii="Arial" w:hAnsi="Arial" w:cs="Arial"/>
          <w:i/>
        </w:rPr>
        <w:t xml:space="preserve"> et al</w:t>
      </w:r>
      <w:r w:rsidRPr="00F97855">
        <w:rPr>
          <w:rFonts w:ascii="Arial" w:hAnsi="Arial" w:cs="Arial"/>
        </w:rPr>
        <w:t xml:space="preserve">: </w:t>
      </w:r>
      <w:r w:rsidRPr="00F97855">
        <w:rPr>
          <w:rFonts w:ascii="Arial" w:hAnsi="Arial" w:cs="Arial"/>
          <w:b/>
        </w:rPr>
        <w:t>Effectiveness of two and three mRNA COVID-19 vaccine doses against Omicron- and Delta-Related outpatient illness among adults, October 2021–February 2022</w:t>
      </w:r>
      <w:r w:rsidRPr="00F97855">
        <w:rPr>
          <w:rFonts w:ascii="Arial" w:hAnsi="Arial" w:cs="Arial"/>
        </w:rPr>
        <w:t xml:space="preserve">. </w:t>
      </w:r>
      <w:r w:rsidRPr="00F97855">
        <w:rPr>
          <w:rFonts w:ascii="Arial" w:hAnsi="Arial" w:cs="Arial"/>
          <w:i/>
        </w:rPr>
        <w:t xml:space="preserve">Influenza and Other Respiratory Viruses </w:t>
      </w:r>
      <w:r w:rsidRPr="00F97855">
        <w:rPr>
          <w:rFonts w:ascii="Arial" w:hAnsi="Arial" w:cs="Arial"/>
        </w:rPr>
        <w:t xml:space="preserve">2022, </w:t>
      </w:r>
      <w:r w:rsidRPr="00F97855">
        <w:rPr>
          <w:rFonts w:ascii="Arial" w:hAnsi="Arial" w:cs="Arial"/>
          <w:b/>
        </w:rPr>
        <w:t>16</w:t>
      </w:r>
      <w:r w:rsidRPr="00F97855">
        <w:rPr>
          <w:rFonts w:ascii="Arial" w:hAnsi="Arial" w:cs="Arial"/>
        </w:rPr>
        <w:t>(6):975-985.</w:t>
      </w:r>
    </w:p>
    <w:p w:rsidR="005D5162" w:rsidRPr="00954640" w:rsidRDefault="005D5162">
      <w:pPr>
        <w:rPr>
          <w:rFonts w:ascii="Arial" w:hAnsi="Arial" w:cs="Arial"/>
        </w:rPr>
      </w:pPr>
      <w:bookmarkStart w:id="41" w:name="_GoBack"/>
      <w:bookmarkEnd w:id="41"/>
    </w:p>
    <w:p w:rsidR="004267D0" w:rsidRDefault="004267D0"/>
    <w:sectPr w:rsidR="004267D0" w:rsidSect="00D80B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calaLancetPro">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3156439"/>
      <w:docPartObj>
        <w:docPartGallery w:val="Page Numbers (Bottom of Page)"/>
        <w:docPartUnique/>
      </w:docPartObj>
    </w:sdtPr>
    <w:sdtEndPr>
      <w:rPr>
        <w:noProof/>
      </w:rPr>
    </w:sdtEndPr>
    <w:sdtContent>
      <w:p w:rsidR="00820F7C" w:rsidRDefault="00F97855">
        <w:pPr>
          <w:pStyle w:val="Footer"/>
          <w:jc w:val="right"/>
        </w:pPr>
        <w:r>
          <w:fldChar w:fldCharType="begin"/>
        </w:r>
        <w:r>
          <w:instrText xml:space="preserve"> PAGE   \* MERGEFORMAT </w:instrText>
        </w:r>
        <w:r>
          <w:fldChar w:fldCharType="separate"/>
        </w:r>
        <w:r>
          <w:rPr>
            <w:noProof/>
          </w:rPr>
          <w:t>31</w:t>
        </w:r>
        <w:r>
          <w:rPr>
            <w:noProof/>
          </w:rPr>
          <w:fldChar w:fldCharType="end"/>
        </w:r>
      </w:p>
    </w:sdtContent>
  </w:sdt>
  <w:p w:rsidR="00820F7C" w:rsidRDefault="00F9785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A1C81"/>
    <w:multiLevelType w:val="hybridMultilevel"/>
    <w:tmpl w:val="7916CBBC"/>
    <w:lvl w:ilvl="0" w:tplc="C56AEBE6">
      <w:start w:val="3"/>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43A16CA"/>
    <w:multiLevelType w:val="hybridMultilevel"/>
    <w:tmpl w:val="3CCCB794"/>
    <w:lvl w:ilvl="0" w:tplc="8A905690">
      <w:numFmt w:val="bullet"/>
      <w:lvlText w:val=""/>
      <w:lvlJc w:val="left"/>
      <w:pPr>
        <w:ind w:left="720" w:hanging="360"/>
      </w:pPr>
      <w:rPr>
        <w:rFonts w:ascii="Symbol" w:eastAsiaTheme="minorHAnsi" w:hAnsi="Symbol" w:cstheme="minorBidi" w:hint="default"/>
        <w:b w:val="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F5E184A"/>
    <w:multiLevelType w:val="hybridMultilevel"/>
    <w:tmpl w:val="CD4A4EE0"/>
    <w:lvl w:ilvl="0" w:tplc="78D850D0">
      <w:start w:val="7"/>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F7D2AF1"/>
    <w:multiLevelType w:val="hybridMultilevel"/>
    <w:tmpl w:val="2F7ABF48"/>
    <w:lvl w:ilvl="0" w:tplc="FFFFFFFF">
      <w:start w:val="2"/>
      <w:numFmt w:val="bullet"/>
      <w:lvlText w:val=""/>
      <w:lvlJc w:val="left"/>
      <w:pPr>
        <w:ind w:left="502" w:hanging="360"/>
      </w:pPr>
      <w:rPr>
        <w:rFonts w:ascii="Symbol" w:eastAsiaTheme="minorHAnsi" w:hAnsi="Symbol" w:cstheme="minorBidi" w:hint="default"/>
      </w:rPr>
    </w:lvl>
    <w:lvl w:ilvl="1" w:tplc="0C090003">
      <w:start w:val="1"/>
      <w:numFmt w:val="bullet"/>
      <w:lvlText w:val="o"/>
      <w:lvlJc w:val="left"/>
      <w:pPr>
        <w:ind w:left="1222" w:hanging="360"/>
      </w:pPr>
      <w:rPr>
        <w:rFonts w:ascii="Courier New" w:hAnsi="Courier New" w:cs="Courier New" w:hint="default"/>
      </w:rPr>
    </w:lvl>
    <w:lvl w:ilvl="2" w:tplc="FFFFFFFF">
      <w:start w:val="1"/>
      <w:numFmt w:val="bullet"/>
      <w:lvlText w:val="o"/>
      <w:lvlJc w:val="left"/>
      <w:rPr>
        <w:rFonts w:ascii="Courier New" w:hAnsi="Courier New" w:cs="Courier New" w:hint="default"/>
      </w:rPr>
    </w:lvl>
    <w:lvl w:ilvl="3" w:tplc="FFFFFFFF">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4" w15:restartNumberingAfterBreak="0">
    <w:nsid w:val="22CB7C35"/>
    <w:multiLevelType w:val="hybridMultilevel"/>
    <w:tmpl w:val="99246F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8FA3841"/>
    <w:multiLevelType w:val="hybridMultilevel"/>
    <w:tmpl w:val="CC8239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9001A71"/>
    <w:multiLevelType w:val="hybridMultilevel"/>
    <w:tmpl w:val="81B23260"/>
    <w:lvl w:ilvl="0" w:tplc="13E6B67E">
      <w:start w:val="1"/>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BED70E4"/>
    <w:multiLevelType w:val="hybridMultilevel"/>
    <w:tmpl w:val="73784D44"/>
    <w:lvl w:ilvl="0" w:tplc="A59CFC3C">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E900A3A"/>
    <w:multiLevelType w:val="hybridMultilevel"/>
    <w:tmpl w:val="5E6235FE"/>
    <w:lvl w:ilvl="0" w:tplc="E7DA549C">
      <w:start w:val="7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ECE5C29"/>
    <w:multiLevelType w:val="hybridMultilevel"/>
    <w:tmpl w:val="8BDCFFE6"/>
    <w:lvl w:ilvl="0" w:tplc="88A6DCAE">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3EA582D"/>
    <w:multiLevelType w:val="hybridMultilevel"/>
    <w:tmpl w:val="D16A521A"/>
    <w:lvl w:ilvl="0" w:tplc="350EE124">
      <w:start w:val="35"/>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8BB2FA5"/>
    <w:multiLevelType w:val="hybridMultilevel"/>
    <w:tmpl w:val="321E1FB6"/>
    <w:lvl w:ilvl="0" w:tplc="E4CE2F8A">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EA86CF9"/>
    <w:multiLevelType w:val="hybridMultilevel"/>
    <w:tmpl w:val="B25CFC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DA0005"/>
    <w:multiLevelType w:val="hybridMultilevel"/>
    <w:tmpl w:val="E8C2FD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6F5430B"/>
    <w:multiLevelType w:val="hybridMultilevel"/>
    <w:tmpl w:val="83525614"/>
    <w:lvl w:ilvl="0" w:tplc="0C09000F">
      <w:start w:val="1"/>
      <w:numFmt w:val="decimal"/>
      <w:lvlText w:val="%1."/>
      <w:lvlJc w:val="left"/>
      <w:pPr>
        <w:ind w:left="502" w:hanging="360"/>
      </w:pPr>
      <w:rPr>
        <w:rFonts w:hint="default"/>
      </w:rPr>
    </w:lvl>
    <w:lvl w:ilvl="1" w:tplc="FFFFFFFF">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5" w15:restartNumberingAfterBreak="0">
    <w:nsid w:val="59515258"/>
    <w:multiLevelType w:val="hybridMultilevel"/>
    <w:tmpl w:val="E2521BDE"/>
    <w:lvl w:ilvl="0" w:tplc="96304E36">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20E05C5"/>
    <w:multiLevelType w:val="hybridMultilevel"/>
    <w:tmpl w:val="E7067DDC"/>
    <w:lvl w:ilvl="0" w:tplc="13E6B67E">
      <w:start w:val="1"/>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41953CC"/>
    <w:multiLevelType w:val="hybridMultilevel"/>
    <w:tmpl w:val="0852A3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AE06219"/>
    <w:multiLevelType w:val="hybridMultilevel"/>
    <w:tmpl w:val="450EBB1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C35030D"/>
    <w:multiLevelType w:val="hybridMultilevel"/>
    <w:tmpl w:val="218E8B0E"/>
    <w:lvl w:ilvl="0" w:tplc="7D48C054">
      <w:numFmt w:val="bullet"/>
      <w:lvlText w:val=""/>
      <w:lvlJc w:val="left"/>
      <w:pPr>
        <w:ind w:left="720" w:hanging="360"/>
      </w:pPr>
      <w:rPr>
        <w:rFonts w:ascii="Symbol" w:eastAsiaTheme="minorHAnsi" w:hAnsi="Symbol" w:cstheme="minorBidi" w:hint="default"/>
        <w:b w:val="0"/>
        <w:sz w:val="22"/>
        <w:szCs w:val="22"/>
      </w:rPr>
    </w:lvl>
    <w:lvl w:ilvl="1" w:tplc="01F2FC78">
      <w:start w:val="1"/>
      <w:numFmt w:val="bullet"/>
      <w:lvlText w:val="o"/>
      <w:lvlJc w:val="left"/>
      <w:pPr>
        <w:ind w:left="1440" w:hanging="360"/>
      </w:pPr>
      <w:rPr>
        <w:rFonts w:ascii="Courier New" w:hAnsi="Courier New" w:cs="Courier New" w:hint="default"/>
        <w:sz w:val="22"/>
        <w:szCs w:val="22"/>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C432410"/>
    <w:multiLevelType w:val="hybridMultilevel"/>
    <w:tmpl w:val="28C437F4"/>
    <w:lvl w:ilvl="0" w:tplc="A790BF08">
      <w:start w:val="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CCC0D9C"/>
    <w:multiLevelType w:val="hybridMultilevel"/>
    <w:tmpl w:val="8C22563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E3B09A4"/>
    <w:multiLevelType w:val="hybridMultilevel"/>
    <w:tmpl w:val="0130075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34D2CFB"/>
    <w:multiLevelType w:val="hybridMultilevel"/>
    <w:tmpl w:val="62CEFF80"/>
    <w:lvl w:ilvl="0" w:tplc="36361FC0">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6"/>
  </w:num>
  <w:num w:numId="2">
    <w:abstractNumId w:val="15"/>
  </w:num>
  <w:num w:numId="3">
    <w:abstractNumId w:val="12"/>
  </w:num>
  <w:num w:numId="4">
    <w:abstractNumId w:val="10"/>
  </w:num>
  <w:num w:numId="5">
    <w:abstractNumId w:val="6"/>
  </w:num>
  <w:num w:numId="6">
    <w:abstractNumId w:val="20"/>
  </w:num>
  <w:num w:numId="7">
    <w:abstractNumId w:val="9"/>
  </w:num>
  <w:num w:numId="8">
    <w:abstractNumId w:val="7"/>
  </w:num>
  <w:num w:numId="9">
    <w:abstractNumId w:val="18"/>
  </w:num>
  <w:num w:numId="10">
    <w:abstractNumId w:val="1"/>
  </w:num>
  <w:num w:numId="11">
    <w:abstractNumId w:val="14"/>
  </w:num>
  <w:num w:numId="12">
    <w:abstractNumId w:val="3"/>
  </w:num>
  <w:num w:numId="13">
    <w:abstractNumId w:val="0"/>
  </w:num>
  <w:num w:numId="14">
    <w:abstractNumId w:val="5"/>
  </w:num>
  <w:num w:numId="15">
    <w:abstractNumId w:val="21"/>
  </w:num>
  <w:num w:numId="16">
    <w:abstractNumId w:val="2"/>
  </w:num>
  <w:num w:numId="17">
    <w:abstractNumId w:val="19"/>
  </w:num>
  <w:num w:numId="18">
    <w:abstractNumId w:val="22"/>
  </w:num>
  <w:num w:numId="19">
    <w:abstractNumId w:val="8"/>
  </w:num>
  <w:num w:numId="20">
    <w:abstractNumId w:val="4"/>
  </w:num>
  <w:num w:numId="21">
    <w:abstractNumId w:val="11"/>
  </w:num>
  <w:num w:numId="22">
    <w:abstractNumId w:val="17"/>
  </w:num>
  <w:num w:numId="23">
    <w:abstractNumId w:val="23"/>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D5162"/>
    <w:rsid w:val="004267D0"/>
    <w:rsid w:val="005D5162"/>
    <w:rsid w:val="00F978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ED65F9-EE35-4F36-8720-331DC5582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162"/>
  </w:style>
  <w:style w:type="paragraph" w:styleId="Heading1">
    <w:name w:val="heading 1"/>
    <w:basedOn w:val="Normal"/>
    <w:next w:val="Normal"/>
    <w:link w:val="Heading1Char"/>
    <w:uiPriority w:val="9"/>
    <w:qFormat/>
    <w:rsid w:val="005D516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D516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D51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rsid w:val="005D516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D5162"/>
  </w:style>
  <w:style w:type="character" w:customStyle="1" w:styleId="Heading1Char">
    <w:name w:val="Heading 1 Char"/>
    <w:basedOn w:val="DefaultParagraphFont"/>
    <w:link w:val="Heading1"/>
    <w:uiPriority w:val="9"/>
    <w:rsid w:val="005D516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D516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D5162"/>
    <w:rPr>
      <w:rFonts w:asciiTheme="majorHAnsi" w:eastAsiaTheme="majorEastAsia" w:hAnsiTheme="majorHAnsi" w:cstheme="majorBidi"/>
      <w:color w:val="1F4D78" w:themeColor="accent1" w:themeShade="7F"/>
      <w:sz w:val="24"/>
      <w:szCs w:val="24"/>
    </w:rPr>
  </w:style>
  <w:style w:type="paragraph" w:customStyle="1" w:styleId="EndNoteBibliographyTitle">
    <w:name w:val="EndNote Bibliography Title"/>
    <w:basedOn w:val="Normal"/>
    <w:link w:val="EndNoteBibliographyTitleChar"/>
    <w:rsid w:val="005D516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5D5162"/>
    <w:rPr>
      <w:rFonts w:ascii="Calibri" w:hAnsi="Calibri" w:cs="Calibri"/>
      <w:noProof/>
      <w:lang w:val="en-US"/>
    </w:rPr>
  </w:style>
  <w:style w:type="paragraph" w:customStyle="1" w:styleId="EndNoteBibliography">
    <w:name w:val="EndNote Bibliography"/>
    <w:basedOn w:val="Normal"/>
    <w:link w:val="EndNoteBibliographyChar"/>
    <w:rsid w:val="005D516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5D5162"/>
    <w:rPr>
      <w:rFonts w:ascii="Calibri" w:hAnsi="Calibri" w:cs="Calibri"/>
      <w:noProof/>
      <w:lang w:val="en-US"/>
    </w:rPr>
  </w:style>
  <w:style w:type="table" w:styleId="TableGrid">
    <w:name w:val="Table Grid"/>
    <w:basedOn w:val="TableNormal"/>
    <w:uiPriority w:val="39"/>
    <w:rsid w:val="005D5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5D5162"/>
    <w:pPr>
      <w:ind w:left="720"/>
      <w:contextualSpacing/>
    </w:pPr>
  </w:style>
  <w:style w:type="character" w:customStyle="1" w:styleId="ListParagraphChar">
    <w:name w:val="List Paragraph Char"/>
    <w:basedOn w:val="DefaultParagraphFont"/>
    <w:link w:val="ListParagraph"/>
    <w:uiPriority w:val="34"/>
    <w:rsid w:val="005D5162"/>
  </w:style>
  <w:style w:type="character" w:styleId="Hyperlink">
    <w:name w:val="Hyperlink"/>
    <w:basedOn w:val="DefaultParagraphFont"/>
    <w:uiPriority w:val="99"/>
    <w:unhideWhenUsed/>
    <w:rsid w:val="005D5162"/>
    <w:rPr>
      <w:color w:val="0000FF"/>
      <w:u w:val="single"/>
    </w:rPr>
  </w:style>
  <w:style w:type="character" w:styleId="FollowedHyperlink">
    <w:name w:val="FollowedHyperlink"/>
    <w:basedOn w:val="DefaultParagraphFont"/>
    <w:uiPriority w:val="99"/>
    <w:semiHidden/>
    <w:unhideWhenUsed/>
    <w:rsid w:val="005D5162"/>
    <w:rPr>
      <w:color w:val="954F72" w:themeColor="followedHyperlink"/>
      <w:u w:val="single"/>
    </w:rPr>
  </w:style>
  <w:style w:type="character" w:customStyle="1" w:styleId="A6">
    <w:name w:val="A6"/>
    <w:uiPriority w:val="99"/>
    <w:rsid w:val="005D5162"/>
    <w:rPr>
      <w:rFonts w:cs="ScalaLancetPro"/>
      <w:color w:val="000000"/>
      <w:sz w:val="9"/>
      <w:szCs w:val="9"/>
    </w:rPr>
  </w:style>
  <w:style w:type="paragraph" w:styleId="Title">
    <w:name w:val="Title"/>
    <w:basedOn w:val="Normal"/>
    <w:next w:val="Normal"/>
    <w:link w:val="TitleChar"/>
    <w:uiPriority w:val="10"/>
    <w:qFormat/>
    <w:rsid w:val="005D516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162"/>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5D5162"/>
    <w:pPr>
      <w:outlineLvl w:val="9"/>
    </w:pPr>
    <w:rPr>
      <w:lang w:val="en-US"/>
    </w:rPr>
  </w:style>
  <w:style w:type="paragraph" w:styleId="TOC1">
    <w:name w:val="toc 1"/>
    <w:basedOn w:val="Normal"/>
    <w:next w:val="Normal"/>
    <w:autoRedefine/>
    <w:uiPriority w:val="39"/>
    <w:unhideWhenUsed/>
    <w:rsid w:val="005D5162"/>
    <w:pPr>
      <w:spacing w:after="100"/>
    </w:pPr>
  </w:style>
  <w:style w:type="paragraph" w:styleId="TOC2">
    <w:name w:val="toc 2"/>
    <w:basedOn w:val="Normal"/>
    <w:next w:val="Normal"/>
    <w:autoRedefine/>
    <w:uiPriority w:val="39"/>
    <w:unhideWhenUsed/>
    <w:rsid w:val="005D5162"/>
    <w:pPr>
      <w:spacing w:after="100"/>
      <w:ind w:left="220"/>
    </w:pPr>
  </w:style>
  <w:style w:type="character" w:styleId="CommentReference">
    <w:name w:val="annotation reference"/>
    <w:basedOn w:val="DefaultParagraphFont"/>
    <w:uiPriority w:val="99"/>
    <w:semiHidden/>
    <w:unhideWhenUsed/>
    <w:rsid w:val="005D5162"/>
    <w:rPr>
      <w:sz w:val="16"/>
      <w:szCs w:val="16"/>
    </w:rPr>
  </w:style>
  <w:style w:type="paragraph" w:styleId="CommentText">
    <w:name w:val="annotation text"/>
    <w:basedOn w:val="Normal"/>
    <w:link w:val="CommentTextChar"/>
    <w:uiPriority w:val="99"/>
    <w:unhideWhenUsed/>
    <w:rsid w:val="005D5162"/>
    <w:pPr>
      <w:spacing w:line="240" w:lineRule="auto"/>
    </w:pPr>
    <w:rPr>
      <w:sz w:val="20"/>
      <w:szCs w:val="20"/>
    </w:rPr>
  </w:style>
  <w:style w:type="character" w:customStyle="1" w:styleId="CommentTextChar">
    <w:name w:val="Comment Text Char"/>
    <w:basedOn w:val="DefaultParagraphFont"/>
    <w:link w:val="CommentText"/>
    <w:uiPriority w:val="99"/>
    <w:rsid w:val="005D5162"/>
    <w:rPr>
      <w:sz w:val="20"/>
      <w:szCs w:val="20"/>
    </w:rPr>
  </w:style>
  <w:style w:type="paragraph" w:styleId="CommentSubject">
    <w:name w:val="annotation subject"/>
    <w:basedOn w:val="CommentText"/>
    <w:next w:val="CommentText"/>
    <w:link w:val="CommentSubjectChar"/>
    <w:uiPriority w:val="99"/>
    <w:semiHidden/>
    <w:unhideWhenUsed/>
    <w:rsid w:val="005D5162"/>
    <w:rPr>
      <w:b/>
      <w:bCs/>
    </w:rPr>
  </w:style>
  <w:style w:type="character" w:customStyle="1" w:styleId="CommentSubjectChar">
    <w:name w:val="Comment Subject Char"/>
    <w:basedOn w:val="CommentTextChar"/>
    <w:link w:val="CommentSubject"/>
    <w:uiPriority w:val="99"/>
    <w:semiHidden/>
    <w:rsid w:val="005D5162"/>
    <w:rPr>
      <w:b/>
      <w:bCs/>
      <w:sz w:val="20"/>
      <w:szCs w:val="20"/>
    </w:rPr>
  </w:style>
  <w:style w:type="character" w:customStyle="1" w:styleId="UnresolvedMention1">
    <w:name w:val="Unresolved Mention1"/>
    <w:basedOn w:val="DefaultParagraphFont"/>
    <w:uiPriority w:val="99"/>
    <w:semiHidden/>
    <w:unhideWhenUsed/>
    <w:rsid w:val="005D5162"/>
    <w:rPr>
      <w:color w:val="605E5C"/>
      <w:shd w:val="clear" w:color="auto" w:fill="E1DFDD"/>
    </w:rPr>
  </w:style>
  <w:style w:type="paragraph" w:styleId="Revision">
    <w:name w:val="Revision"/>
    <w:hidden/>
    <w:uiPriority w:val="99"/>
    <w:semiHidden/>
    <w:rsid w:val="005D5162"/>
    <w:pPr>
      <w:spacing w:after="0" w:line="240" w:lineRule="auto"/>
    </w:pPr>
  </w:style>
  <w:style w:type="paragraph" w:styleId="Header">
    <w:name w:val="header"/>
    <w:basedOn w:val="Normal"/>
    <w:link w:val="HeaderChar"/>
    <w:uiPriority w:val="99"/>
    <w:unhideWhenUsed/>
    <w:rsid w:val="005D51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5162"/>
  </w:style>
  <w:style w:type="paragraph" w:styleId="Footer">
    <w:name w:val="footer"/>
    <w:basedOn w:val="Normal"/>
    <w:link w:val="FooterChar"/>
    <w:uiPriority w:val="99"/>
    <w:unhideWhenUsed/>
    <w:rsid w:val="005D51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5162"/>
  </w:style>
  <w:style w:type="paragraph" w:styleId="BalloonText">
    <w:name w:val="Balloon Text"/>
    <w:basedOn w:val="Normal"/>
    <w:link w:val="BalloonTextChar"/>
    <w:uiPriority w:val="99"/>
    <w:semiHidden/>
    <w:unhideWhenUsed/>
    <w:rsid w:val="005D51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5162"/>
    <w:rPr>
      <w:rFonts w:ascii="Segoe UI" w:hAnsi="Segoe UI" w:cs="Segoe UI"/>
      <w:sz w:val="18"/>
      <w:szCs w:val="18"/>
    </w:rPr>
  </w:style>
  <w:style w:type="character" w:customStyle="1" w:styleId="UnresolvedMention2">
    <w:name w:val="Unresolved Mention2"/>
    <w:basedOn w:val="DefaultParagraphFont"/>
    <w:uiPriority w:val="99"/>
    <w:semiHidden/>
    <w:unhideWhenUsed/>
    <w:rsid w:val="005D5162"/>
    <w:rPr>
      <w:color w:val="605E5C"/>
      <w:shd w:val="clear" w:color="auto" w:fill="E1DFDD"/>
    </w:rPr>
  </w:style>
  <w:style w:type="paragraph" w:styleId="Subtitle">
    <w:name w:val="Subtitle"/>
    <w:basedOn w:val="Normal"/>
    <w:next w:val="Normal"/>
    <w:link w:val="SubtitleChar"/>
    <w:uiPriority w:val="11"/>
    <w:qFormat/>
    <w:rsid w:val="005D516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D5162"/>
    <w:rPr>
      <w:rFonts w:eastAsiaTheme="minorEastAsia"/>
      <w:color w:val="5A5A5A" w:themeColor="text1" w:themeTint="A5"/>
      <w:spacing w:val="15"/>
    </w:rPr>
  </w:style>
  <w:style w:type="paragraph" w:styleId="TOC3">
    <w:name w:val="toc 3"/>
    <w:basedOn w:val="Normal"/>
    <w:next w:val="Normal"/>
    <w:autoRedefine/>
    <w:uiPriority w:val="39"/>
    <w:unhideWhenUsed/>
    <w:rsid w:val="005D5162"/>
    <w:pPr>
      <w:spacing w:after="100"/>
      <w:ind w:left="440"/>
    </w:pPr>
  </w:style>
  <w:style w:type="character" w:customStyle="1" w:styleId="cf01">
    <w:name w:val="cf01"/>
    <w:basedOn w:val="DefaultParagraphFont"/>
    <w:rsid w:val="005D5162"/>
    <w:rPr>
      <w:rFonts w:ascii="Segoe UI" w:hAnsi="Segoe UI" w:cs="Segoe UI" w:hint="default"/>
      <w:sz w:val="18"/>
      <w:szCs w:val="18"/>
    </w:rPr>
  </w:style>
  <w:style w:type="character" w:styleId="PlaceholderText">
    <w:name w:val="Placeholder Text"/>
    <w:basedOn w:val="DefaultParagraphFont"/>
    <w:uiPriority w:val="99"/>
    <w:semiHidden/>
    <w:rsid w:val="005D516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hart" Target="charts/chart2.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u6044061\Documents\PhD\Research\2_scarce_COVID_vaccine_supply\3_parameter_estimation\rho.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u6044061\Documents\PhD\Research\2_scarce_COVID_vaccine_supply\3_parameter_estimation\rho.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infection_delta!$B$1</c:f>
              <c:strCache>
                <c:ptCount val="1"/>
                <c:pt idx="0">
                  <c:v>rho</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exp"/>
            <c:dispRSqr val="0"/>
            <c:dispEq val="0"/>
          </c:trendline>
          <c:errBars>
            <c:errDir val="y"/>
            <c:errBarType val="both"/>
            <c:errValType val="cust"/>
            <c:noEndCap val="0"/>
            <c:plus>
              <c:numRef>
                <c:f>infection_delta!$I$2:$I$8</c:f>
                <c:numCache>
                  <c:formatCode>General</c:formatCode>
                  <c:ptCount val="7"/>
                  <c:pt idx="1">
                    <c:v>3.0999999999999917E-2</c:v>
                  </c:pt>
                  <c:pt idx="2">
                    <c:v>4.1999999999999926E-2</c:v>
                  </c:pt>
                  <c:pt idx="3">
                    <c:v>8.7999999999999967E-2</c:v>
                  </c:pt>
                </c:numCache>
              </c:numRef>
            </c:plus>
            <c:minus>
              <c:numRef>
                <c:f>infection_delta!$H$2:$H$8</c:f>
                <c:numCache>
                  <c:formatCode>General</c:formatCode>
                  <c:ptCount val="7"/>
                  <c:pt idx="1">
                    <c:v>5.8000000000000052E-2</c:v>
                  </c:pt>
                  <c:pt idx="2">
                    <c:v>7.8000000000000069E-2</c:v>
                  </c:pt>
                  <c:pt idx="3">
                    <c:v>0.27700000000000002</c:v>
                  </c:pt>
                </c:numCache>
              </c:numRef>
            </c:minus>
            <c:spPr>
              <a:noFill/>
              <a:ln w="9525" cap="flat" cmpd="sng" algn="ctr">
                <a:solidFill>
                  <a:schemeClr val="tx1">
                    <a:lumMod val="65000"/>
                    <a:lumOff val="35000"/>
                  </a:schemeClr>
                </a:solidFill>
                <a:round/>
              </a:ln>
              <a:effectLst/>
            </c:spPr>
          </c:errBars>
          <c:errBars>
            <c:errDir val="x"/>
            <c:errBarType val="both"/>
            <c:errValType val="fixedVal"/>
            <c:noEndCap val="0"/>
            <c:val val="1"/>
            <c:spPr>
              <a:noFill/>
              <a:ln w="9525" cap="flat" cmpd="sng" algn="ctr">
                <a:solidFill>
                  <a:schemeClr val="tx1">
                    <a:lumMod val="65000"/>
                    <a:lumOff val="35000"/>
                  </a:schemeClr>
                </a:solidFill>
                <a:round/>
              </a:ln>
              <a:effectLst/>
            </c:spPr>
          </c:errBars>
          <c:xVal>
            <c:numRef>
              <c:f>infection_delta!$E$2:$E$8</c:f>
              <c:numCache>
                <c:formatCode>General</c:formatCode>
                <c:ptCount val="7"/>
                <c:pt idx="1">
                  <c:v>165</c:v>
                </c:pt>
                <c:pt idx="2">
                  <c:v>345</c:v>
                </c:pt>
                <c:pt idx="3">
                  <c:v>547.5</c:v>
                </c:pt>
              </c:numCache>
            </c:numRef>
          </c:xVal>
          <c:yVal>
            <c:numRef>
              <c:f>infection_delta!$B$2:$B$8</c:f>
              <c:numCache>
                <c:formatCode>General</c:formatCode>
                <c:ptCount val="7"/>
                <c:pt idx="1">
                  <c:v>0.93400000000000005</c:v>
                </c:pt>
                <c:pt idx="2">
                  <c:v>0.91100000000000003</c:v>
                </c:pt>
                <c:pt idx="3">
                  <c:v>0.871</c:v>
                </c:pt>
              </c:numCache>
            </c:numRef>
          </c:yVal>
          <c:smooth val="0"/>
          <c:extLst>
            <c:ext xmlns:c16="http://schemas.microsoft.com/office/drawing/2014/chart" uri="{C3380CC4-5D6E-409C-BE32-E72D297353CC}">
              <c16:uniqueId val="{00000001-4391-4D95-B6E6-5BB60B5864A6}"/>
            </c:ext>
          </c:extLst>
        </c:ser>
        <c:dLbls>
          <c:showLegendKey val="0"/>
          <c:showVal val="0"/>
          <c:showCatName val="0"/>
          <c:showSerName val="0"/>
          <c:showPercent val="0"/>
          <c:showBubbleSize val="0"/>
        </c:dLbls>
        <c:axId val="1809728911"/>
        <c:axId val="1809729327"/>
      </c:scatterChart>
      <c:valAx>
        <c:axId val="1809728911"/>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Days since recovery from infection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09729327"/>
        <c:crosses val="autoZero"/>
        <c:crossBetween val="midCat"/>
      </c:valAx>
      <c:valAx>
        <c:axId val="1809729327"/>
        <c:scaling>
          <c:orientation val="minMax"/>
          <c:max val="1"/>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Effectiveness</a:t>
                </a:r>
                <a:r>
                  <a:rPr lang="en-AU" baseline="0"/>
                  <a:t> of infection-derived protection</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0972891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347738098394267"/>
          <c:y val="2.7341079972658919E-2"/>
          <c:w val="0.8064777256378306"/>
          <c:h val="0.83411571161260345"/>
        </c:manualLayout>
      </c:layout>
      <c:scatterChart>
        <c:scatterStyle val="lineMarker"/>
        <c:varyColors val="0"/>
        <c:ser>
          <c:idx val="0"/>
          <c:order val="0"/>
          <c:tx>
            <c:strRef>
              <c:f>infection!$B$1</c:f>
              <c:strCache>
                <c:ptCount val="1"/>
                <c:pt idx="0">
                  <c:v>rho</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exp"/>
            <c:dispRSqr val="0"/>
            <c:dispEq val="0"/>
          </c:trendline>
          <c:errBars>
            <c:errDir val="y"/>
            <c:errBarType val="both"/>
            <c:errValType val="cust"/>
            <c:noEndCap val="0"/>
            <c:plus>
              <c:numRef>
                <c:f>infection!$I$2:$I$7</c:f>
                <c:numCache>
                  <c:formatCode>General</c:formatCode>
                  <c:ptCount val="6"/>
                  <c:pt idx="0">
                    <c:v>2.9000000000000026E-2</c:v>
                  </c:pt>
                  <c:pt idx="1">
                    <c:v>7.3999999999999955E-2</c:v>
                  </c:pt>
                  <c:pt idx="2">
                    <c:v>8.2000000000000073E-2</c:v>
                  </c:pt>
                  <c:pt idx="3">
                    <c:v>3.9999999999999925E-2</c:v>
                  </c:pt>
                  <c:pt idx="4">
                    <c:v>2.4999999999999967E-2</c:v>
                  </c:pt>
                  <c:pt idx="5">
                    <c:v>3.8000000000000006E-2</c:v>
                  </c:pt>
                </c:numCache>
              </c:numRef>
            </c:plus>
            <c:minus>
              <c:numRef>
                <c:f>infection!$H$2:$H$7</c:f>
                <c:numCache>
                  <c:formatCode>General</c:formatCode>
                  <c:ptCount val="6"/>
                  <c:pt idx="0">
                    <c:v>6.4999999999999947E-2</c:v>
                  </c:pt>
                  <c:pt idx="1">
                    <c:v>9.2999999999999972E-2</c:v>
                  </c:pt>
                  <c:pt idx="2">
                    <c:v>9.6999999999999975E-2</c:v>
                  </c:pt>
                  <c:pt idx="3">
                    <c:v>4.500000000000004E-2</c:v>
                  </c:pt>
                  <c:pt idx="4">
                    <c:v>2.5000000000000022E-2</c:v>
                  </c:pt>
                  <c:pt idx="5">
                    <c:v>3.8999999999999993E-2</c:v>
                  </c:pt>
                </c:numCache>
              </c:numRef>
            </c:minus>
            <c:spPr>
              <a:noFill/>
              <a:ln w="9525" cap="flat" cmpd="sng" algn="ctr">
                <a:solidFill>
                  <a:schemeClr val="tx1">
                    <a:lumMod val="65000"/>
                    <a:lumOff val="35000"/>
                  </a:schemeClr>
                </a:solidFill>
                <a:round/>
              </a:ln>
              <a:effectLst/>
            </c:spPr>
          </c:errBars>
          <c:errBars>
            <c:errDir val="x"/>
            <c:errBarType val="both"/>
            <c:errValType val="fixedVal"/>
            <c:noEndCap val="0"/>
            <c:val val="1"/>
            <c:spPr>
              <a:noFill/>
              <a:ln w="9525" cap="flat" cmpd="sng" algn="ctr">
                <a:solidFill>
                  <a:schemeClr val="tx1">
                    <a:lumMod val="65000"/>
                    <a:lumOff val="35000"/>
                  </a:schemeClr>
                </a:solidFill>
                <a:round/>
              </a:ln>
              <a:effectLst/>
            </c:spPr>
          </c:errBars>
          <c:xVal>
            <c:numRef>
              <c:f>infection!$E$2:$E$7</c:f>
              <c:numCache>
                <c:formatCode>General</c:formatCode>
                <c:ptCount val="6"/>
                <c:pt idx="0">
                  <c:v>7.5</c:v>
                </c:pt>
                <c:pt idx="1">
                  <c:v>165</c:v>
                </c:pt>
                <c:pt idx="2">
                  <c:v>345</c:v>
                </c:pt>
                <c:pt idx="3">
                  <c:v>120</c:v>
                </c:pt>
                <c:pt idx="4">
                  <c:v>270</c:v>
                </c:pt>
                <c:pt idx="5">
                  <c:v>410</c:v>
                </c:pt>
              </c:numCache>
            </c:numRef>
          </c:xVal>
          <c:yVal>
            <c:numRef>
              <c:f>infection!$B$2:$B$7</c:f>
              <c:numCache>
                <c:formatCode>General</c:formatCode>
                <c:ptCount val="6"/>
                <c:pt idx="0">
                  <c:v>0.94899999999999995</c:v>
                </c:pt>
                <c:pt idx="1">
                  <c:v>0.64</c:v>
                </c:pt>
                <c:pt idx="2">
                  <c:v>0.47199999999999998</c:v>
                </c:pt>
                <c:pt idx="3">
                  <c:v>0.52800000000000002</c:v>
                </c:pt>
                <c:pt idx="4">
                  <c:v>0.32700000000000001</c:v>
                </c:pt>
                <c:pt idx="5">
                  <c:v>0.14699999999999999</c:v>
                </c:pt>
              </c:numCache>
            </c:numRef>
          </c:yVal>
          <c:smooth val="0"/>
          <c:extLst>
            <c:ext xmlns:c16="http://schemas.microsoft.com/office/drawing/2014/chart" uri="{C3380CC4-5D6E-409C-BE32-E72D297353CC}">
              <c16:uniqueId val="{00000001-1B50-473A-9B7B-E5D40D0514FC}"/>
            </c:ext>
          </c:extLst>
        </c:ser>
        <c:dLbls>
          <c:showLegendKey val="0"/>
          <c:showVal val="0"/>
          <c:showCatName val="0"/>
          <c:showSerName val="0"/>
          <c:showPercent val="0"/>
          <c:showBubbleSize val="0"/>
        </c:dLbls>
        <c:axId val="1809728911"/>
        <c:axId val="1809729327"/>
      </c:scatterChart>
      <c:valAx>
        <c:axId val="1809728911"/>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Days since recovery from infection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09729327"/>
        <c:crosses val="autoZero"/>
        <c:crossBetween val="midCat"/>
      </c:valAx>
      <c:valAx>
        <c:axId val="1809729327"/>
        <c:scaling>
          <c:orientation val="minMax"/>
          <c:max val="1"/>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Effectiveness</a:t>
                </a:r>
                <a:r>
                  <a:rPr lang="en-AU" baseline="0"/>
                  <a:t> against reinfection</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0972891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9742</Words>
  <Characters>55531</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65143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Gizem Bilgin</dc:creator>
  <cp:keywords/>
  <dc:description/>
  <cp:lastModifiedBy>Gizem Bilgin</cp:lastModifiedBy>
  <cp:revision>2</cp:revision>
  <dcterms:created xsi:type="dcterms:W3CDTF">2022-12-14T23:56:00Z</dcterms:created>
  <dcterms:modified xsi:type="dcterms:W3CDTF">2022-12-14T23:57:00Z</dcterms:modified>
</cp:coreProperties>
</file>